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952395" w:rsidRDefault="00952395">
      <w:pPr>
        <w:pStyle w:val="abbreviation"/>
      </w:pPr>
    </w:p>
    <w:p w14:paraId="7FE1B2AF" w14:textId="77777777" w:rsidR="00952395" w:rsidRDefault="0083775C">
      <w:pPr>
        <w:pStyle w:val="P68B1DB1-ListParagraph1"/>
        <w:jc w:val="center"/>
        <w:rPr>
          <w:bCs/>
        </w:rPr>
      </w:pPr>
      <w:r>
        <w:t>II pielikums. Norādījumi</w:t>
      </w:r>
    </w:p>
    <w:p w14:paraId="7FE1B2B0" w14:textId="77777777" w:rsidR="00952395" w:rsidRDefault="00952395">
      <w:pPr>
        <w:rPr>
          <w:rFonts w:ascii="Times New Roman" w:hAnsi="Times New Roman" w:cs="Times New Roman"/>
          <w:b/>
          <w:color w:val="000000" w:themeColor="text1"/>
          <w:sz w:val="20"/>
          <w:szCs w:val="20"/>
        </w:rPr>
      </w:pPr>
    </w:p>
    <w:p w14:paraId="7FE1B2B1" w14:textId="77777777" w:rsidR="00952395" w:rsidRDefault="00952395">
      <w:pPr>
        <w:rPr>
          <w:rFonts w:ascii="Times New Roman" w:hAnsi="Times New Roman" w:cs="Times New Roman"/>
          <w:b/>
          <w:color w:val="000000" w:themeColor="text1"/>
          <w:sz w:val="20"/>
          <w:szCs w:val="20"/>
        </w:rPr>
      </w:pPr>
    </w:p>
    <w:p w14:paraId="2B033E99" w14:textId="461ABDA5" w:rsidR="0083775C" w:rsidRDefault="0083775C">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935" w:history="1">
        <w:r w:rsidRPr="00F74C08">
          <w:rPr>
            <w:rStyle w:val="Hyperlink"/>
            <w:noProof/>
          </w:rPr>
          <w:t>I.</w:t>
        </w:r>
        <w:r>
          <w:rPr>
            <w:noProof/>
            <w:kern w:val="2"/>
            <w:sz w:val="24"/>
            <w:szCs w:val="24"/>
            <w:lang w:val="en-GB"/>
            <w14:ligatures w14:val="standardContextual"/>
          </w:rPr>
          <w:tab/>
        </w:r>
        <w:r w:rsidRPr="00F74C08">
          <w:rPr>
            <w:rStyle w:val="Hyperlink"/>
            <w:noProof/>
          </w:rPr>
          <w:t>Vispārīgi norādījumi</w:t>
        </w:r>
        <w:r>
          <w:rPr>
            <w:noProof/>
            <w:webHidden/>
          </w:rPr>
          <w:tab/>
        </w:r>
        <w:r>
          <w:rPr>
            <w:noProof/>
            <w:webHidden/>
          </w:rPr>
          <w:fldChar w:fldCharType="begin"/>
        </w:r>
        <w:r>
          <w:rPr>
            <w:noProof/>
            <w:webHidden/>
          </w:rPr>
          <w:instrText xml:space="preserve"> PAGEREF _Toc208244935 \h </w:instrText>
        </w:r>
        <w:r>
          <w:rPr>
            <w:noProof/>
            <w:webHidden/>
          </w:rPr>
        </w:r>
        <w:r>
          <w:rPr>
            <w:noProof/>
            <w:webHidden/>
          </w:rPr>
          <w:fldChar w:fldCharType="separate"/>
        </w:r>
        <w:r>
          <w:rPr>
            <w:noProof/>
            <w:webHidden/>
          </w:rPr>
          <w:t>3</w:t>
        </w:r>
        <w:r>
          <w:rPr>
            <w:noProof/>
            <w:webHidden/>
          </w:rPr>
          <w:fldChar w:fldCharType="end"/>
        </w:r>
      </w:hyperlink>
    </w:p>
    <w:p w14:paraId="36854063" w14:textId="592A3F4F" w:rsidR="0083775C" w:rsidRDefault="0083775C">
      <w:pPr>
        <w:pStyle w:val="TOC2"/>
        <w:rPr>
          <w:noProof/>
          <w:kern w:val="2"/>
          <w:sz w:val="24"/>
          <w:szCs w:val="24"/>
          <w:lang w:val="en-GB"/>
          <w14:ligatures w14:val="standardContextual"/>
        </w:rPr>
      </w:pPr>
      <w:hyperlink w:anchor="_Toc208244936" w:history="1">
        <w:r w:rsidRPr="00F74C08">
          <w:rPr>
            <w:rStyle w:val="Hyperlink"/>
            <w:noProof/>
          </w:rPr>
          <w:t>I.1</w:t>
        </w:r>
        <w:r>
          <w:rPr>
            <w:noProof/>
            <w:kern w:val="2"/>
            <w:sz w:val="24"/>
            <w:szCs w:val="24"/>
            <w:lang w:val="en-GB"/>
            <w14:ligatures w14:val="standardContextual"/>
          </w:rPr>
          <w:tab/>
        </w:r>
        <w:r w:rsidRPr="00F74C08">
          <w:rPr>
            <w:rStyle w:val="Hyperlink"/>
            <w:noProof/>
          </w:rPr>
          <w:t>Konstrukcija</w:t>
        </w:r>
        <w:r>
          <w:rPr>
            <w:noProof/>
            <w:webHidden/>
          </w:rPr>
          <w:tab/>
        </w:r>
        <w:r>
          <w:rPr>
            <w:noProof/>
            <w:webHidden/>
          </w:rPr>
          <w:fldChar w:fldCharType="begin"/>
        </w:r>
        <w:r>
          <w:rPr>
            <w:noProof/>
            <w:webHidden/>
          </w:rPr>
          <w:instrText xml:space="preserve"> PAGEREF _Toc208244936 \h </w:instrText>
        </w:r>
        <w:r>
          <w:rPr>
            <w:noProof/>
            <w:webHidden/>
          </w:rPr>
        </w:r>
        <w:r>
          <w:rPr>
            <w:noProof/>
            <w:webHidden/>
          </w:rPr>
          <w:fldChar w:fldCharType="separate"/>
        </w:r>
        <w:r>
          <w:rPr>
            <w:noProof/>
            <w:webHidden/>
          </w:rPr>
          <w:t>3</w:t>
        </w:r>
        <w:r>
          <w:rPr>
            <w:noProof/>
            <w:webHidden/>
          </w:rPr>
          <w:fldChar w:fldCharType="end"/>
        </w:r>
      </w:hyperlink>
    </w:p>
    <w:p w14:paraId="3103E76A" w14:textId="50246F99" w:rsidR="0083775C" w:rsidRDefault="0083775C">
      <w:pPr>
        <w:pStyle w:val="TOC2"/>
        <w:rPr>
          <w:noProof/>
          <w:kern w:val="2"/>
          <w:sz w:val="24"/>
          <w:szCs w:val="24"/>
          <w:lang w:val="en-GB"/>
          <w14:ligatures w14:val="standardContextual"/>
        </w:rPr>
      </w:pPr>
      <w:hyperlink w:anchor="_Toc208244937" w:history="1">
        <w:r w:rsidRPr="00F74C08">
          <w:rPr>
            <w:rStyle w:val="Hyperlink"/>
            <w:noProof/>
          </w:rPr>
          <w:t>I.2</w:t>
        </w:r>
        <w:r>
          <w:rPr>
            <w:noProof/>
            <w:kern w:val="2"/>
            <w:sz w:val="24"/>
            <w:szCs w:val="24"/>
            <w:lang w:val="en-GB"/>
            <w14:ligatures w14:val="standardContextual"/>
          </w:rPr>
          <w:tab/>
        </w:r>
        <w:r w:rsidRPr="00F74C08">
          <w:rPr>
            <w:rStyle w:val="Hyperlink"/>
            <w:noProof/>
          </w:rPr>
          <w:t>Atsauce</w:t>
        </w:r>
        <w:r>
          <w:rPr>
            <w:noProof/>
            <w:webHidden/>
          </w:rPr>
          <w:tab/>
        </w:r>
        <w:r>
          <w:rPr>
            <w:noProof/>
            <w:webHidden/>
          </w:rPr>
          <w:fldChar w:fldCharType="begin"/>
        </w:r>
        <w:r>
          <w:rPr>
            <w:noProof/>
            <w:webHidden/>
          </w:rPr>
          <w:instrText xml:space="preserve"> PAGEREF _Toc208244937 \h </w:instrText>
        </w:r>
        <w:r>
          <w:rPr>
            <w:noProof/>
            <w:webHidden/>
          </w:rPr>
        </w:r>
        <w:r>
          <w:rPr>
            <w:noProof/>
            <w:webHidden/>
          </w:rPr>
          <w:fldChar w:fldCharType="separate"/>
        </w:r>
        <w:r>
          <w:rPr>
            <w:noProof/>
            <w:webHidden/>
          </w:rPr>
          <w:t>4</w:t>
        </w:r>
        <w:r>
          <w:rPr>
            <w:noProof/>
            <w:webHidden/>
          </w:rPr>
          <w:fldChar w:fldCharType="end"/>
        </w:r>
      </w:hyperlink>
    </w:p>
    <w:p w14:paraId="7DD191FD" w14:textId="6BE39F81" w:rsidR="0083775C" w:rsidRDefault="0083775C">
      <w:pPr>
        <w:pStyle w:val="TOC2"/>
        <w:rPr>
          <w:noProof/>
          <w:kern w:val="2"/>
          <w:sz w:val="24"/>
          <w:szCs w:val="24"/>
          <w:lang w:val="en-GB"/>
          <w14:ligatures w14:val="standardContextual"/>
        </w:rPr>
      </w:pPr>
      <w:hyperlink w:anchor="_Toc208244938" w:history="1">
        <w:r w:rsidRPr="00F74C08">
          <w:rPr>
            <w:rStyle w:val="Hyperlink"/>
            <w:noProof/>
          </w:rPr>
          <w:t>I.3</w:t>
        </w:r>
        <w:r>
          <w:rPr>
            <w:noProof/>
            <w:kern w:val="2"/>
            <w:sz w:val="24"/>
            <w:szCs w:val="24"/>
            <w:lang w:val="en-GB"/>
            <w14:ligatures w14:val="standardContextual"/>
          </w:rPr>
          <w:tab/>
        </w:r>
        <w:r w:rsidRPr="00F74C08">
          <w:rPr>
            <w:rStyle w:val="Hyperlink"/>
            <w:noProof/>
          </w:rPr>
          <w:t>Grāmatvedības standarti</w:t>
        </w:r>
        <w:r>
          <w:rPr>
            <w:noProof/>
            <w:webHidden/>
          </w:rPr>
          <w:tab/>
        </w:r>
        <w:r>
          <w:rPr>
            <w:noProof/>
            <w:webHidden/>
          </w:rPr>
          <w:fldChar w:fldCharType="begin"/>
        </w:r>
        <w:r>
          <w:rPr>
            <w:noProof/>
            <w:webHidden/>
          </w:rPr>
          <w:instrText xml:space="preserve"> PAGEREF _Toc208244938 \h </w:instrText>
        </w:r>
        <w:r>
          <w:rPr>
            <w:noProof/>
            <w:webHidden/>
          </w:rPr>
        </w:r>
        <w:r>
          <w:rPr>
            <w:noProof/>
            <w:webHidden/>
          </w:rPr>
          <w:fldChar w:fldCharType="separate"/>
        </w:r>
        <w:r>
          <w:rPr>
            <w:noProof/>
            <w:webHidden/>
          </w:rPr>
          <w:t>5</w:t>
        </w:r>
        <w:r>
          <w:rPr>
            <w:noProof/>
            <w:webHidden/>
          </w:rPr>
          <w:fldChar w:fldCharType="end"/>
        </w:r>
      </w:hyperlink>
    </w:p>
    <w:p w14:paraId="6BDA97DC" w14:textId="24CF1E34" w:rsidR="0083775C" w:rsidRDefault="0083775C">
      <w:pPr>
        <w:pStyle w:val="TOC2"/>
        <w:rPr>
          <w:noProof/>
          <w:kern w:val="2"/>
          <w:sz w:val="24"/>
          <w:szCs w:val="24"/>
          <w:lang w:val="en-GB"/>
          <w14:ligatures w14:val="standardContextual"/>
        </w:rPr>
      </w:pPr>
      <w:hyperlink w:anchor="_Toc208244939" w:history="1">
        <w:r w:rsidRPr="00F74C08">
          <w:rPr>
            <w:rStyle w:val="Hyperlink"/>
            <w:noProof/>
          </w:rPr>
          <w:t>I.4</w:t>
        </w:r>
        <w:r>
          <w:rPr>
            <w:noProof/>
            <w:kern w:val="2"/>
            <w:sz w:val="24"/>
            <w:szCs w:val="24"/>
            <w:lang w:val="en-GB"/>
            <w14:ligatures w14:val="standardContextual"/>
          </w:rPr>
          <w:tab/>
        </w:r>
        <w:r w:rsidRPr="00F74C08">
          <w:rPr>
            <w:rStyle w:val="Hyperlink"/>
            <w:noProof/>
          </w:rPr>
          <w:t>Uzraudzības datu ziņošana</w:t>
        </w:r>
        <w:r>
          <w:rPr>
            <w:noProof/>
            <w:webHidden/>
          </w:rPr>
          <w:tab/>
        </w:r>
        <w:r>
          <w:rPr>
            <w:noProof/>
            <w:webHidden/>
          </w:rPr>
          <w:fldChar w:fldCharType="begin"/>
        </w:r>
        <w:r>
          <w:rPr>
            <w:noProof/>
            <w:webHidden/>
          </w:rPr>
          <w:instrText xml:space="preserve"> PAGEREF _Toc208244939 \h </w:instrText>
        </w:r>
        <w:r>
          <w:rPr>
            <w:noProof/>
            <w:webHidden/>
          </w:rPr>
        </w:r>
        <w:r>
          <w:rPr>
            <w:noProof/>
            <w:webHidden/>
          </w:rPr>
          <w:fldChar w:fldCharType="separate"/>
        </w:r>
        <w:r>
          <w:rPr>
            <w:noProof/>
            <w:webHidden/>
          </w:rPr>
          <w:t>5</w:t>
        </w:r>
        <w:r>
          <w:rPr>
            <w:noProof/>
            <w:webHidden/>
          </w:rPr>
          <w:fldChar w:fldCharType="end"/>
        </w:r>
      </w:hyperlink>
    </w:p>
    <w:p w14:paraId="3C00C3FD" w14:textId="2E4758D9" w:rsidR="0083775C" w:rsidRDefault="0083775C">
      <w:pPr>
        <w:pStyle w:val="TOC2"/>
        <w:rPr>
          <w:noProof/>
          <w:kern w:val="2"/>
          <w:sz w:val="24"/>
          <w:szCs w:val="24"/>
          <w:lang w:val="en-GB"/>
          <w14:ligatures w14:val="standardContextual"/>
        </w:rPr>
      </w:pPr>
      <w:hyperlink w:anchor="_Toc208244940" w:history="1">
        <w:r w:rsidRPr="00F74C08">
          <w:rPr>
            <w:rStyle w:val="Hyperlink"/>
            <w:noProof/>
          </w:rPr>
          <w:t>I.5</w:t>
        </w:r>
        <w:r>
          <w:rPr>
            <w:noProof/>
            <w:kern w:val="2"/>
            <w:sz w:val="24"/>
            <w:szCs w:val="24"/>
            <w:lang w:val="en-GB"/>
            <w14:ligatures w14:val="standardContextual"/>
          </w:rPr>
          <w:tab/>
        </w:r>
        <w:r w:rsidRPr="00F74C08">
          <w:rPr>
            <w:rStyle w:val="Hyperlink"/>
            <w:noProof/>
          </w:rPr>
          <w:t>Konsolidācijas darbības joma</w:t>
        </w:r>
        <w:r>
          <w:rPr>
            <w:noProof/>
            <w:webHidden/>
          </w:rPr>
          <w:tab/>
        </w:r>
        <w:r>
          <w:rPr>
            <w:noProof/>
            <w:webHidden/>
          </w:rPr>
          <w:fldChar w:fldCharType="begin"/>
        </w:r>
        <w:r>
          <w:rPr>
            <w:noProof/>
            <w:webHidden/>
          </w:rPr>
          <w:instrText xml:space="preserve"> PAGEREF _Toc208244940 \h </w:instrText>
        </w:r>
        <w:r>
          <w:rPr>
            <w:noProof/>
            <w:webHidden/>
          </w:rPr>
        </w:r>
        <w:r>
          <w:rPr>
            <w:noProof/>
            <w:webHidden/>
          </w:rPr>
          <w:fldChar w:fldCharType="separate"/>
        </w:r>
        <w:r>
          <w:rPr>
            <w:noProof/>
            <w:webHidden/>
          </w:rPr>
          <w:t>6</w:t>
        </w:r>
        <w:r>
          <w:rPr>
            <w:noProof/>
            <w:webHidden/>
          </w:rPr>
          <w:fldChar w:fldCharType="end"/>
        </w:r>
      </w:hyperlink>
    </w:p>
    <w:p w14:paraId="046B9E80" w14:textId="5DCBD619" w:rsidR="0083775C" w:rsidRDefault="0083775C">
      <w:pPr>
        <w:pStyle w:val="TOC2"/>
        <w:rPr>
          <w:noProof/>
          <w:kern w:val="2"/>
          <w:sz w:val="24"/>
          <w:szCs w:val="24"/>
          <w:lang w:val="en-GB"/>
          <w14:ligatures w14:val="standardContextual"/>
        </w:rPr>
      </w:pPr>
      <w:hyperlink w:anchor="_Toc208244941" w:history="1">
        <w:r w:rsidRPr="00F74C08">
          <w:rPr>
            <w:rStyle w:val="Hyperlink"/>
            <w:noProof/>
          </w:rPr>
          <w:t>I.6</w:t>
        </w:r>
        <w:r>
          <w:rPr>
            <w:noProof/>
            <w:kern w:val="2"/>
            <w:sz w:val="24"/>
            <w:szCs w:val="24"/>
            <w:lang w:val="en-GB"/>
            <w14:ligatures w14:val="standardContextual"/>
          </w:rPr>
          <w:tab/>
        </w:r>
        <w:r w:rsidRPr="00F74C08">
          <w:rPr>
            <w:rStyle w:val="Hyperlink"/>
            <w:noProof/>
          </w:rPr>
          <w:t>Numerācija un citas konvencijas</w:t>
        </w:r>
        <w:r>
          <w:rPr>
            <w:noProof/>
            <w:webHidden/>
          </w:rPr>
          <w:tab/>
        </w:r>
        <w:r>
          <w:rPr>
            <w:noProof/>
            <w:webHidden/>
          </w:rPr>
          <w:fldChar w:fldCharType="begin"/>
        </w:r>
        <w:r>
          <w:rPr>
            <w:noProof/>
            <w:webHidden/>
          </w:rPr>
          <w:instrText xml:space="preserve"> PAGEREF _Toc208244941 \h </w:instrText>
        </w:r>
        <w:r>
          <w:rPr>
            <w:noProof/>
            <w:webHidden/>
          </w:rPr>
        </w:r>
        <w:r>
          <w:rPr>
            <w:noProof/>
            <w:webHidden/>
          </w:rPr>
          <w:fldChar w:fldCharType="separate"/>
        </w:r>
        <w:r>
          <w:rPr>
            <w:noProof/>
            <w:webHidden/>
          </w:rPr>
          <w:t>6</w:t>
        </w:r>
        <w:r>
          <w:rPr>
            <w:noProof/>
            <w:webHidden/>
          </w:rPr>
          <w:fldChar w:fldCharType="end"/>
        </w:r>
      </w:hyperlink>
    </w:p>
    <w:p w14:paraId="2FAC42F5" w14:textId="35D001E1" w:rsidR="0083775C" w:rsidRDefault="0083775C">
      <w:pPr>
        <w:pStyle w:val="TOC2"/>
        <w:rPr>
          <w:noProof/>
          <w:kern w:val="2"/>
          <w:sz w:val="24"/>
          <w:szCs w:val="24"/>
          <w:lang w:val="en-GB"/>
          <w14:ligatures w14:val="standardContextual"/>
        </w:rPr>
      </w:pPr>
      <w:hyperlink w:anchor="_Toc208244942" w:history="1">
        <w:r w:rsidRPr="00F74C08">
          <w:rPr>
            <w:rStyle w:val="Hyperlink"/>
            <w:noProof/>
          </w:rPr>
          <w:t>II.</w:t>
        </w:r>
        <w:r>
          <w:rPr>
            <w:noProof/>
            <w:kern w:val="2"/>
            <w:sz w:val="24"/>
            <w:szCs w:val="24"/>
            <w:lang w:val="en-GB"/>
            <w14:ligatures w14:val="standardContextual"/>
          </w:rPr>
          <w:tab/>
        </w:r>
        <w:r w:rsidRPr="00F74C08">
          <w:rPr>
            <w:rStyle w:val="Hyperlink"/>
            <w:noProof/>
          </w:rPr>
          <w:t>Norādījumi saistībā ar veidnēm</w:t>
        </w:r>
        <w:r>
          <w:rPr>
            <w:noProof/>
            <w:webHidden/>
          </w:rPr>
          <w:tab/>
        </w:r>
        <w:r>
          <w:rPr>
            <w:noProof/>
            <w:webHidden/>
          </w:rPr>
          <w:fldChar w:fldCharType="begin"/>
        </w:r>
        <w:r>
          <w:rPr>
            <w:noProof/>
            <w:webHidden/>
          </w:rPr>
          <w:instrText xml:space="preserve"> PAGEREF _Toc208244942 \h </w:instrText>
        </w:r>
        <w:r>
          <w:rPr>
            <w:noProof/>
            <w:webHidden/>
          </w:rPr>
        </w:r>
        <w:r>
          <w:rPr>
            <w:noProof/>
            <w:webHidden/>
          </w:rPr>
          <w:fldChar w:fldCharType="separate"/>
        </w:r>
        <w:r>
          <w:rPr>
            <w:noProof/>
            <w:webHidden/>
          </w:rPr>
          <w:t>6</w:t>
        </w:r>
        <w:r>
          <w:rPr>
            <w:noProof/>
            <w:webHidden/>
          </w:rPr>
          <w:fldChar w:fldCharType="end"/>
        </w:r>
      </w:hyperlink>
    </w:p>
    <w:p w14:paraId="7E917C27" w14:textId="7508F0C7" w:rsidR="0083775C" w:rsidRDefault="0083775C">
      <w:pPr>
        <w:pStyle w:val="TOC2"/>
        <w:rPr>
          <w:noProof/>
          <w:kern w:val="2"/>
          <w:sz w:val="24"/>
          <w:szCs w:val="24"/>
          <w:lang w:val="en-GB"/>
          <w14:ligatures w14:val="standardContextual"/>
        </w:rPr>
      </w:pPr>
      <w:hyperlink w:anchor="_Toc208244943" w:history="1">
        <w:r w:rsidRPr="00F74C08">
          <w:rPr>
            <w:rStyle w:val="Hyperlink"/>
            <w:noProof/>
          </w:rPr>
          <w:t>II.1</w:t>
        </w:r>
        <w:r>
          <w:rPr>
            <w:noProof/>
            <w:kern w:val="2"/>
            <w:sz w:val="24"/>
            <w:szCs w:val="24"/>
            <w:lang w:val="en-GB"/>
            <w14:ligatures w14:val="standardContextual"/>
          </w:rPr>
          <w:tab/>
        </w:r>
        <w:r w:rsidRPr="00F74C08">
          <w:rPr>
            <w:rStyle w:val="Hyperlink"/>
            <w:noProof/>
          </w:rPr>
          <w:t>Z 01.01 — juridiskās personas (ORG 1)</w:t>
        </w:r>
        <w:r>
          <w:rPr>
            <w:noProof/>
            <w:webHidden/>
          </w:rPr>
          <w:tab/>
        </w:r>
        <w:r>
          <w:rPr>
            <w:noProof/>
            <w:webHidden/>
          </w:rPr>
          <w:fldChar w:fldCharType="begin"/>
        </w:r>
        <w:r>
          <w:rPr>
            <w:noProof/>
            <w:webHidden/>
          </w:rPr>
          <w:instrText xml:space="preserve"> PAGEREF _Toc208244943 \h </w:instrText>
        </w:r>
        <w:r>
          <w:rPr>
            <w:noProof/>
            <w:webHidden/>
          </w:rPr>
        </w:r>
        <w:r>
          <w:rPr>
            <w:noProof/>
            <w:webHidden/>
          </w:rPr>
          <w:fldChar w:fldCharType="separate"/>
        </w:r>
        <w:r>
          <w:rPr>
            <w:noProof/>
            <w:webHidden/>
          </w:rPr>
          <w:t>6</w:t>
        </w:r>
        <w:r>
          <w:rPr>
            <w:noProof/>
            <w:webHidden/>
          </w:rPr>
          <w:fldChar w:fldCharType="end"/>
        </w:r>
      </w:hyperlink>
    </w:p>
    <w:p w14:paraId="2E54EB7D" w14:textId="62C0CBDD" w:rsidR="0083775C" w:rsidRDefault="0083775C">
      <w:pPr>
        <w:pStyle w:val="TOC2"/>
        <w:rPr>
          <w:noProof/>
          <w:kern w:val="2"/>
          <w:sz w:val="24"/>
          <w:szCs w:val="24"/>
          <w:lang w:val="en-GB"/>
          <w14:ligatures w14:val="standardContextual"/>
        </w:rPr>
      </w:pPr>
      <w:hyperlink w:anchor="_Toc208244944" w:history="1">
        <w:r w:rsidRPr="00F74C08">
          <w:rPr>
            <w:rStyle w:val="Hyperlink"/>
            <w:noProof/>
          </w:rPr>
          <w:t>II.2</w:t>
        </w:r>
        <w:r>
          <w:rPr>
            <w:noProof/>
            <w:kern w:val="2"/>
            <w:sz w:val="24"/>
            <w:szCs w:val="24"/>
            <w:lang w:val="en-GB"/>
            <w14:ligatures w14:val="standardContextual"/>
          </w:rPr>
          <w:tab/>
        </w:r>
        <w:r w:rsidRPr="00F74C08">
          <w:rPr>
            <w:rStyle w:val="Hyperlink"/>
            <w:noProof/>
          </w:rPr>
          <w:t>Z 01.02 — Īpašumtiesību struktūra (2.ORG)</w:t>
        </w:r>
        <w:r>
          <w:rPr>
            <w:noProof/>
            <w:webHidden/>
          </w:rPr>
          <w:tab/>
        </w:r>
        <w:r>
          <w:rPr>
            <w:noProof/>
            <w:webHidden/>
          </w:rPr>
          <w:fldChar w:fldCharType="begin"/>
        </w:r>
        <w:r>
          <w:rPr>
            <w:noProof/>
            <w:webHidden/>
          </w:rPr>
          <w:instrText xml:space="preserve"> PAGEREF _Toc208244944 \h </w:instrText>
        </w:r>
        <w:r>
          <w:rPr>
            <w:noProof/>
            <w:webHidden/>
          </w:rPr>
        </w:r>
        <w:r>
          <w:rPr>
            <w:noProof/>
            <w:webHidden/>
          </w:rPr>
          <w:fldChar w:fldCharType="separate"/>
        </w:r>
        <w:r>
          <w:rPr>
            <w:noProof/>
            <w:webHidden/>
          </w:rPr>
          <w:t>10</w:t>
        </w:r>
        <w:r>
          <w:rPr>
            <w:noProof/>
            <w:webHidden/>
          </w:rPr>
          <w:fldChar w:fldCharType="end"/>
        </w:r>
      </w:hyperlink>
    </w:p>
    <w:p w14:paraId="0ADAF60D" w14:textId="24C4366A" w:rsidR="0083775C" w:rsidRDefault="0083775C">
      <w:pPr>
        <w:pStyle w:val="TOC2"/>
        <w:rPr>
          <w:noProof/>
          <w:kern w:val="2"/>
          <w:sz w:val="24"/>
          <w:szCs w:val="24"/>
          <w:lang w:val="en-GB"/>
          <w14:ligatures w14:val="standardContextual"/>
        </w:rPr>
      </w:pPr>
      <w:hyperlink w:anchor="_Toc208244945" w:history="1">
        <w:r w:rsidRPr="00F74C08">
          <w:rPr>
            <w:rStyle w:val="Hyperlink"/>
            <w:noProof/>
          </w:rPr>
          <w:t>II.3</w:t>
        </w:r>
        <w:r>
          <w:rPr>
            <w:noProof/>
            <w:kern w:val="2"/>
            <w:sz w:val="24"/>
            <w:szCs w:val="24"/>
            <w:lang w:val="en-GB"/>
            <w14:ligatures w14:val="standardContextual"/>
          </w:rPr>
          <w:tab/>
        </w:r>
        <w:r w:rsidRPr="00F74C08">
          <w:rPr>
            <w:rStyle w:val="Hyperlink"/>
            <w:noProof/>
          </w:rPr>
          <w:t>Z 02.00 — saistību struktūra (LIAB 1)</w:t>
        </w:r>
        <w:r>
          <w:rPr>
            <w:noProof/>
            <w:webHidden/>
          </w:rPr>
          <w:tab/>
        </w:r>
        <w:r>
          <w:rPr>
            <w:noProof/>
            <w:webHidden/>
          </w:rPr>
          <w:fldChar w:fldCharType="begin"/>
        </w:r>
        <w:r>
          <w:rPr>
            <w:noProof/>
            <w:webHidden/>
          </w:rPr>
          <w:instrText xml:space="preserve"> PAGEREF _Toc208244945 \h </w:instrText>
        </w:r>
        <w:r>
          <w:rPr>
            <w:noProof/>
            <w:webHidden/>
          </w:rPr>
        </w:r>
        <w:r>
          <w:rPr>
            <w:noProof/>
            <w:webHidden/>
          </w:rPr>
          <w:fldChar w:fldCharType="separate"/>
        </w:r>
        <w:r>
          <w:rPr>
            <w:noProof/>
            <w:webHidden/>
          </w:rPr>
          <w:t>11</w:t>
        </w:r>
        <w:r>
          <w:rPr>
            <w:noProof/>
            <w:webHidden/>
          </w:rPr>
          <w:fldChar w:fldCharType="end"/>
        </w:r>
      </w:hyperlink>
    </w:p>
    <w:p w14:paraId="0D1E09D2" w14:textId="3B78E45A" w:rsidR="0083775C" w:rsidRDefault="0083775C">
      <w:pPr>
        <w:pStyle w:val="TOC2"/>
        <w:rPr>
          <w:noProof/>
          <w:kern w:val="2"/>
          <w:sz w:val="24"/>
          <w:szCs w:val="24"/>
          <w:lang w:val="en-GB"/>
          <w14:ligatures w14:val="standardContextual"/>
        </w:rPr>
      </w:pPr>
      <w:hyperlink w:anchor="_Toc208244946" w:history="1">
        <w:r w:rsidRPr="00F74C08">
          <w:rPr>
            <w:rStyle w:val="Hyperlink"/>
            <w:noProof/>
          </w:rPr>
          <w:t>II.4</w:t>
        </w:r>
        <w:r>
          <w:rPr>
            <w:noProof/>
            <w:kern w:val="2"/>
            <w:sz w:val="24"/>
            <w:szCs w:val="24"/>
            <w:lang w:val="en-GB"/>
            <w14:ligatures w14:val="standardContextual"/>
          </w:rPr>
          <w:tab/>
        </w:r>
        <w:r w:rsidRPr="00F74C08">
          <w:rPr>
            <w:rStyle w:val="Hyperlink"/>
            <w:noProof/>
          </w:rPr>
          <w:t>Z 03.01 — Pašu kapitāla prasības — Kredītiestādes (LIAB 2)</w:t>
        </w:r>
        <w:r>
          <w:rPr>
            <w:noProof/>
            <w:webHidden/>
          </w:rPr>
          <w:tab/>
        </w:r>
        <w:r>
          <w:rPr>
            <w:noProof/>
            <w:webHidden/>
          </w:rPr>
          <w:fldChar w:fldCharType="begin"/>
        </w:r>
        <w:r>
          <w:rPr>
            <w:noProof/>
            <w:webHidden/>
          </w:rPr>
          <w:instrText xml:space="preserve"> PAGEREF _Toc208244946 \h </w:instrText>
        </w:r>
        <w:r>
          <w:rPr>
            <w:noProof/>
            <w:webHidden/>
          </w:rPr>
        </w:r>
        <w:r>
          <w:rPr>
            <w:noProof/>
            <w:webHidden/>
          </w:rPr>
          <w:fldChar w:fldCharType="separate"/>
        </w:r>
        <w:r>
          <w:rPr>
            <w:noProof/>
            <w:webHidden/>
          </w:rPr>
          <w:t>19</w:t>
        </w:r>
        <w:r>
          <w:rPr>
            <w:noProof/>
            <w:webHidden/>
          </w:rPr>
          <w:fldChar w:fldCharType="end"/>
        </w:r>
      </w:hyperlink>
    </w:p>
    <w:p w14:paraId="546B8080" w14:textId="684E771D" w:rsidR="0083775C" w:rsidRDefault="0083775C">
      <w:pPr>
        <w:pStyle w:val="TOC2"/>
        <w:rPr>
          <w:noProof/>
          <w:kern w:val="2"/>
          <w:sz w:val="24"/>
          <w:szCs w:val="24"/>
          <w:lang w:val="en-GB"/>
          <w14:ligatures w14:val="standardContextual"/>
        </w:rPr>
      </w:pPr>
      <w:hyperlink w:anchor="_Toc208244947" w:history="1">
        <w:r w:rsidRPr="00F74C08">
          <w:rPr>
            <w:rStyle w:val="Hyperlink"/>
            <w:noProof/>
          </w:rPr>
          <w:t>II.5</w:t>
        </w:r>
        <w:r>
          <w:rPr>
            <w:noProof/>
            <w:kern w:val="2"/>
            <w:sz w:val="24"/>
            <w:szCs w:val="24"/>
            <w:lang w:val="en-GB"/>
            <w14:ligatures w14:val="standardContextual"/>
          </w:rPr>
          <w:tab/>
        </w:r>
        <w:r w:rsidRPr="00F74C08">
          <w:rPr>
            <w:rStyle w:val="Hyperlink"/>
            <w:noProof/>
          </w:rPr>
          <w:t>Z 03.02 — Pašu kapitāla prasības — ieguldījumu brokeru sabiedrības (LIAB 3)</w:t>
        </w:r>
        <w:r>
          <w:rPr>
            <w:noProof/>
            <w:webHidden/>
          </w:rPr>
          <w:tab/>
        </w:r>
        <w:r>
          <w:rPr>
            <w:noProof/>
            <w:webHidden/>
          </w:rPr>
          <w:fldChar w:fldCharType="begin"/>
        </w:r>
        <w:r>
          <w:rPr>
            <w:noProof/>
            <w:webHidden/>
          </w:rPr>
          <w:instrText xml:space="preserve"> PAGEREF _Toc208244947 \h </w:instrText>
        </w:r>
        <w:r>
          <w:rPr>
            <w:noProof/>
            <w:webHidden/>
          </w:rPr>
        </w:r>
        <w:r>
          <w:rPr>
            <w:noProof/>
            <w:webHidden/>
          </w:rPr>
          <w:fldChar w:fldCharType="separate"/>
        </w:r>
        <w:r>
          <w:rPr>
            <w:noProof/>
            <w:webHidden/>
          </w:rPr>
          <w:t>22</w:t>
        </w:r>
        <w:r>
          <w:rPr>
            <w:noProof/>
            <w:webHidden/>
          </w:rPr>
          <w:fldChar w:fldCharType="end"/>
        </w:r>
      </w:hyperlink>
    </w:p>
    <w:p w14:paraId="3B2D85B8" w14:textId="1FDA0CE3" w:rsidR="0083775C" w:rsidRDefault="0083775C">
      <w:pPr>
        <w:pStyle w:val="TOC2"/>
        <w:rPr>
          <w:noProof/>
          <w:kern w:val="2"/>
          <w:sz w:val="24"/>
          <w:szCs w:val="24"/>
          <w:lang w:val="en-GB"/>
          <w14:ligatures w14:val="standardContextual"/>
        </w:rPr>
      </w:pPr>
      <w:hyperlink w:anchor="_Toc208244948" w:history="1">
        <w:r w:rsidRPr="00F74C08">
          <w:rPr>
            <w:rStyle w:val="Hyperlink"/>
            <w:noProof/>
          </w:rPr>
          <w:t>II.6</w:t>
        </w:r>
        <w:r>
          <w:rPr>
            <w:noProof/>
            <w:kern w:val="2"/>
            <w:sz w:val="24"/>
            <w:szCs w:val="24"/>
            <w:lang w:val="en-GB"/>
            <w14:ligatures w14:val="standardContextual"/>
          </w:rPr>
          <w:tab/>
        </w:r>
        <w:r w:rsidRPr="00F74C08">
          <w:rPr>
            <w:rStyle w:val="Hyperlink"/>
            <w:noProof/>
          </w:rPr>
          <w:t>Z 04.00 — finansiālās saiknes grupā (LIAB 4)</w:t>
        </w:r>
        <w:r>
          <w:rPr>
            <w:noProof/>
            <w:webHidden/>
          </w:rPr>
          <w:tab/>
        </w:r>
        <w:r>
          <w:rPr>
            <w:noProof/>
            <w:webHidden/>
          </w:rPr>
          <w:fldChar w:fldCharType="begin"/>
        </w:r>
        <w:r>
          <w:rPr>
            <w:noProof/>
            <w:webHidden/>
          </w:rPr>
          <w:instrText xml:space="preserve"> PAGEREF _Toc208244948 \h </w:instrText>
        </w:r>
        <w:r>
          <w:rPr>
            <w:noProof/>
            <w:webHidden/>
          </w:rPr>
        </w:r>
        <w:r>
          <w:rPr>
            <w:noProof/>
            <w:webHidden/>
          </w:rPr>
          <w:fldChar w:fldCharType="separate"/>
        </w:r>
        <w:r>
          <w:rPr>
            <w:noProof/>
            <w:webHidden/>
          </w:rPr>
          <w:t>23</w:t>
        </w:r>
        <w:r>
          <w:rPr>
            <w:noProof/>
            <w:webHidden/>
          </w:rPr>
          <w:fldChar w:fldCharType="end"/>
        </w:r>
      </w:hyperlink>
    </w:p>
    <w:p w14:paraId="5C6FA7CD" w14:textId="5CFB03DB" w:rsidR="0083775C" w:rsidRDefault="0083775C">
      <w:pPr>
        <w:pStyle w:val="TOC2"/>
        <w:rPr>
          <w:noProof/>
          <w:kern w:val="2"/>
          <w:sz w:val="24"/>
          <w:szCs w:val="24"/>
          <w:lang w:val="en-GB"/>
          <w14:ligatures w14:val="standardContextual"/>
        </w:rPr>
      </w:pPr>
      <w:hyperlink w:anchor="_Toc208244949" w:history="1">
        <w:r w:rsidRPr="00F74C08">
          <w:rPr>
            <w:rStyle w:val="Hyperlink"/>
            <w:noProof/>
          </w:rPr>
          <w:t>II.7</w:t>
        </w:r>
        <w:r>
          <w:rPr>
            <w:noProof/>
            <w:kern w:val="2"/>
            <w:sz w:val="24"/>
            <w:szCs w:val="24"/>
            <w:lang w:val="en-GB"/>
            <w14:ligatures w14:val="standardContextual"/>
          </w:rPr>
          <w:tab/>
        </w:r>
        <w:r w:rsidRPr="00F74C08">
          <w:rPr>
            <w:rStyle w:val="Hyperlink"/>
            <w:noProof/>
          </w:rPr>
          <w:t>Lielākie darījumu partneri (LIAB 5 &amp; 6)</w:t>
        </w:r>
        <w:r>
          <w:rPr>
            <w:noProof/>
            <w:webHidden/>
          </w:rPr>
          <w:tab/>
        </w:r>
        <w:r>
          <w:rPr>
            <w:noProof/>
            <w:webHidden/>
          </w:rPr>
          <w:fldChar w:fldCharType="begin"/>
        </w:r>
        <w:r>
          <w:rPr>
            <w:noProof/>
            <w:webHidden/>
          </w:rPr>
          <w:instrText xml:space="preserve"> PAGEREF _Toc208244949 \h </w:instrText>
        </w:r>
        <w:r>
          <w:rPr>
            <w:noProof/>
            <w:webHidden/>
          </w:rPr>
        </w:r>
        <w:r>
          <w:rPr>
            <w:noProof/>
            <w:webHidden/>
          </w:rPr>
          <w:fldChar w:fldCharType="separate"/>
        </w:r>
        <w:r>
          <w:rPr>
            <w:noProof/>
            <w:webHidden/>
          </w:rPr>
          <w:t>25</w:t>
        </w:r>
        <w:r>
          <w:rPr>
            <w:noProof/>
            <w:webHidden/>
          </w:rPr>
          <w:fldChar w:fldCharType="end"/>
        </w:r>
      </w:hyperlink>
    </w:p>
    <w:p w14:paraId="42855A02" w14:textId="559A6419" w:rsidR="0083775C" w:rsidRDefault="0083775C">
      <w:pPr>
        <w:pStyle w:val="TOC2"/>
        <w:rPr>
          <w:noProof/>
          <w:kern w:val="2"/>
          <w:sz w:val="24"/>
          <w:szCs w:val="24"/>
          <w:lang w:val="en-GB"/>
          <w14:ligatures w14:val="standardContextual"/>
        </w:rPr>
      </w:pPr>
      <w:hyperlink w:anchor="_Toc208244950" w:history="1">
        <w:r w:rsidRPr="00F74C08">
          <w:rPr>
            <w:rStyle w:val="Hyperlink"/>
            <w:noProof/>
          </w:rPr>
          <w:t>II.8</w:t>
        </w:r>
        <w:r>
          <w:rPr>
            <w:noProof/>
            <w:kern w:val="2"/>
            <w:sz w:val="24"/>
            <w:szCs w:val="24"/>
            <w:lang w:val="en-GB"/>
            <w14:ligatures w14:val="standardContextual"/>
          </w:rPr>
          <w:tab/>
        </w:r>
        <w:r w:rsidRPr="00F74C08">
          <w:rPr>
            <w:rStyle w:val="Hyperlink"/>
            <w:noProof/>
          </w:rPr>
          <w:t>Z 05.01 — nozīmīgākie saistību partneri (LIAB 5)</w:t>
        </w:r>
        <w:r>
          <w:rPr>
            <w:noProof/>
            <w:webHidden/>
          </w:rPr>
          <w:tab/>
        </w:r>
        <w:r>
          <w:rPr>
            <w:noProof/>
            <w:webHidden/>
          </w:rPr>
          <w:fldChar w:fldCharType="begin"/>
        </w:r>
        <w:r>
          <w:rPr>
            <w:noProof/>
            <w:webHidden/>
          </w:rPr>
          <w:instrText xml:space="preserve"> PAGEREF _Toc208244950 \h </w:instrText>
        </w:r>
        <w:r>
          <w:rPr>
            <w:noProof/>
            <w:webHidden/>
          </w:rPr>
        </w:r>
        <w:r>
          <w:rPr>
            <w:noProof/>
            <w:webHidden/>
          </w:rPr>
          <w:fldChar w:fldCharType="separate"/>
        </w:r>
        <w:r>
          <w:rPr>
            <w:noProof/>
            <w:webHidden/>
          </w:rPr>
          <w:t>26</w:t>
        </w:r>
        <w:r>
          <w:rPr>
            <w:noProof/>
            <w:webHidden/>
          </w:rPr>
          <w:fldChar w:fldCharType="end"/>
        </w:r>
      </w:hyperlink>
    </w:p>
    <w:p w14:paraId="10DAE635" w14:textId="384383D5" w:rsidR="0083775C" w:rsidRDefault="0083775C">
      <w:pPr>
        <w:pStyle w:val="TOC2"/>
        <w:rPr>
          <w:noProof/>
          <w:kern w:val="2"/>
          <w:sz w:val="24"/>
          <w:szCs w:val="24"/>
          <w:lang w:val="en-GB"/>
          <w14:ligatures w14:val="standardContextual"/>
        </w:rPr>
      </w:pPr>
      <w:hyperlink w:anchor="_Toc208244951" w:history="1">
        <w:r w:rsidRPr="00F74C08">
          <w:rPr>
            <w:rStyle w:val="Hyperlink"/>
            <w:noProof/>
          </w:rPr>
          <w:t>II.9</w:t>
        </w:r>
        <w:r>
          <w:rPr>
            <w:noProof/>
            <w:kern w:val="2"/>
            <w:sz w:val="24"/>
            <w:szCs w:val="24"/>
            <w:lang w:val="en-GB"/>
            <w14:ligatures w14:val="standardContextual"/>
          </w:rPr>
          <w:tab/>
        </w:r>
        <w:r w:rsidRPr="00F74C08">
          <w:rPr>
            <w:rStyle w:val="Hyperlink"/>
            <w:noProof/>
          </w:rPr>
          <w:t>Z 05.02 — nozīmīgākie ārpusbilances darījumu partneri (LIAB 6)</w:t>
        </w:r>
        <w:r>
          <w:rPr>
            <w:noProof/>
            <w:webHidden/>
          </w:rPr>
          <w:tab/>
        </w:r>
        <w:r>
          <w:rPr>
            <w:noProof/>
            <w:webHidden/>
          </w:rPr>
          <w:fldChar w:fldCharType="begin"/>
        </w:r>
        <w:r>
          <w:rPr>
            <w:noProof/>
            <w:webHidden/>
          </w:rPr>
          <w:instrText xml:space="preserve"> PAGEREF _Toc208244951 \h </w:instrText>
        </w:r>
        <w:r>
          <w:rPr>
            <w:noProof/>
            <w:webHidden/>
          </w:rPr>
        </w:r>
        <w:r>
          <w:rPr>
            <w:noProof/>
            <w:webHidden/>
          </w:rPr>
          <w:fldChar w:fldCharType="separate"/>
        </w:r>
        <w:r>
          <w:rPr>
            <w:noProof/>
            <w:webHidden/>
          </w:rPr>
          <w:t>27</w:t>
        </w:r>
        <w:r>
          <w:rPr>
            <w:noProof/>
            <w:webHidden/>
          </w:rPr>
          <w:fldChar w:fldCharType="end"/>
        </w:r>
      </w:hyperlink>
    </w:p>
    <w:p w14:paraId="38BE2CD0" w14:textId="61FC1A41" w:rsidR="0083775C" w:rsidRDefault="0083775C">
      <w:pPr>
        <w:pStyle w:val="TOC2"/>
        <w:rPr>
          <w:noProof/>
          <w:kern w:val="2"/>
          <w:sz w:val="24"/>
          <w:szCs w:val="24"/>
          <w:lang w:val="en-GB"/>
          <w14:ligatures w14:val="standardContextual"/>
        </w:rPr>
      </w:pPr>
      <w:hyperlink w:anchor="_Toc208244952" w:history="1">
        <w:r w:rsidRPr="00F74C08">
          <w:rPr>
            <w:rStyle w:val="Hyperlink"/>
            <w:noProof/>
          </w:rPr>
          <w:t>II.10</w:t>
        </w:r>
        <w:r>
          <w:rPr>
            <w:noProof/>
            <w:kern w:val="2"/>
            <w:sz w:val="24"/>
            <w:szCs w:val="24"/>
            <w:lang w:val="en-GB"/>
            <w14:ligatures w14:val="standardContextual"/>
          </w:rPr>
          <w:tab/>
        </w:r>
        <w:r w:rsidRPr="00F74C08">
          <w:rPr>
            <w:rStyle w:val="Hyperlink"/>
            <w:noProof/>
          </w:rPr>
          <w:t>Z 06.00 — noguldījumu apdrošināšana (LIAB 7)</w:t>
        </w:r>
        <w:r>
          <w:rPr>
            <w:noProof/>
            <w:webHidden/>
          </w:rPr>
          <w:tab/>
        </w:r>
        <w:r>
          <w:rPr>
            <w:noProof/>
            <w:webHidden/>
          </w:rPr>
          <w:fldChar w:fldCharType="begin"/>
        </w:r>
        <w:r>
          <w:rPr>
            <w:noProof/>
            <w:webHidden/>
          </w:rPr>
          <w:instrText xml:space="preserve"> PAGEREF _Toc208244952 \h </w:instrText>
        </w:r>
        <w:r>
          <w:rPr>
            <w:noProof/>
            <w:webHidden/>
          </w:rPr>
        </w:r>
        <w:r>
          <w:rPr>
            <w:noProof/>
            <w:webHidden/>
          </w:rPr>
          <w:fldChar w:fldCharType="separate"/>
        </w:r>
        <w:r>
          <w:rPr>
            <w:noProof/>
            <w:webHidden/>
          </w:rPr>
          <w:t>29</w:t>
        </w:r>
        <w:r>
          <w:rPr>
            <w:noProof/>
            <w:webHidden/>
          </w:rPr>
          <w:fldChar w:fldCharType="end"/>
        </w:r>
      </w:hyperlink>
    </w:p>
    <w:p w14:paraId="72C9EBD2" w14:textId="43FE94DC" w:rsidR="0083775C" w:rsidRDefault="0083775C">
      <w:pPr>
        <w:pStyle w:val="TOC2"/>
        <w:rPr>
          <w:noProof/>
          <w:kern w:val="2"/>
          <w:sz w:val="24"/>
          <w:szCs w:val="24"/>
          <w:lang w:val="en-GB"/>
          <w14:ligatures w14:val="standardContextual"/>
        </w:rPr>
      </w:pPr>
      <w:hyperlink w:anchor="_Toc208244953" w:history="1">
        <w:r w:rsidRPr="00F74C08">
          <w:rPr>
            <w:rStyle w:val="Hyperlink"/>
            <w:noProof/>
          </w:rPr>
          <w:t>II.11</w:t>
        </w:r>
        <w:r>
          <w:rPr>
            <w:noProof/>
            <w:kern w:val="2"/>
            <w:sz w:val="24"/>
            <w:szCs w:val="24"/>
            <w:lang w:val="en-GB"/>
            <w14:ligatures w14:val="standardContextual"/>
          </w:rPr>
          <w:tab/>
        </w:r>
        <w:r w:rsidRPr="00F74C08">
          <w:rPr>
            <w:rStyle w:val="Hyperlink"/>
            <w:noProof/>
          </w:rPr>
          <w:t>Kritiski svarīgas funkcijas un pamatdarbības virzieni (galvenās darbības jomas)</w:t>
        </w:r>
        <w:r>
          <w:rPr>
            <w:noProof/>
            <w:webHidden/>
          </w:rPr>
          <w:tab/>
        </w:r>
        <w:r>
          <w:rPr>
            <w:noProof/>
            <w:webHidden/>
          </w:rPr>
          <w:fldChar w:fldCharType="begin"/>
        </w:r>
        <w:r>
          <w:rPr>
            <w:noProof/>
            <w:webHidden/>
          </w:rPr>
          <w:instrText xml:space="preserve"> PAGEREF _Toc208244953 \h </w:instrText>
        </w:r>
        <w:r>
          <w:rPr>
            <w:noProof/>
            <w:webHidden/>
          </w:rPr>
        </w:r>
        <w:r>
          <w:rPr>
            <w:noProof/>
            <w:webHidden/>
          </w:rPr>
          <w:fldChar w:fldCharType="separate"/>
        </w:r>
        <w:r>
          <w:rPr>
            <w:noProof/>
            <w:webHidden/>
          </w:rPr>
          <w:t>32</w:t>
        </w:r>
        <w:r>
          <w:rPr>
            <w:noProof/>
            <w:webHidden/>
          </w:rPr>
          <w:fldChar w:fldCharType="end"/>
        </w:r>
      </w:hyperlink>
    </w:p>
    <w:p w14:paraId="4768C356" w14:textId="0AB3233D" w:rsidR="0083775C" w:rsidRDefault="0083775C">
      <w:pPr>
        <w:pStyle w:val="TOC2"/>
        <w:rPr>
          <w:noProof/>
          <w:kern w:val="2"/>
          <w:sz w:val="24"/>
          <w:szCs w:val="24"/>
          <w:lang w:val="en-GB"/>
          <w14:ligatures w14:val="standardContextual"/>
        </w:rPr>
      </w:pPr>
      <w:hyperlink w:anchor="_Toc208244954" w:history="1">
        <w:r w:rsidRPr="00F74C08">
          <w:rPr>
            <w:rStyle w:val="Hyperlink"/>
            <w:noProof/>
          </w:rPr>
          <w:t>II.12</w:t>
        </w:r>
        <w:r>
          <w:rPr>
            <w:noProof/>
            <w:kern w:val="2"/>
            <w:sz w:val="24"/>
            <w:szCs w:val="24"/>
            <w:lang w:val="en-GB"/>
            <w14:ligatures w14:val="standardContextual"/>
          </w:rPr>
          <w:tab/>
        </w:r>
        <w:r w:rsidRPr="00F74C08">
          <w:rPr>
            <w:rStyle w:val="Hyperlink"/>
            <w:noProof/>
          </w:rPr>
          <w:t>Z 07.01 — ekonomisko funkciju kritiskā svarīguma novērtējums (FUNC 1)</w:t>
        </w:r>
        <w:r>
          <w:rPr>
            <w:noProof/>
            <w:webHidden/>
          </w:rPr>
          <w:tab/>
        </w:r>
        <w:r>
          <w:rPr>
            <w:noProof/>
            <w:webHidden/>
          </w:rPr>
          <w:fldChar w:fldCharType="begin"/>
        </w:r>
        <w:r>
          <w:rPr>
            <w:noProof/>
            <w:webHidden/>
          </w:rPr>
          <w:instrText xml:space="preserve"> PAGEREF _Toc208244954 \h </w:instrText>
        </w:r>
        <w:r>
          <w:rPr>
            <w:noProof/>
            <w:webHidden/>
          </w:rPr>
        </w:r>
        <w:r>
          <w:rPr>
            <w:noProof/>
            <w:webHidden/>
          </w:rPr>
          <w:fldChar w:fldCharType="separate"/>
        </w:r>
        <w:r>
          <w:rPr>
            <w:noProof/>
            <w:webHidden/>
          </w:rPr>
          <w:t>34</w:t>
        </w:r>
        <w:r>
          <w:rPr>
            <w:noProof/>
            <w:webHidden/>
          </w:rPr>
          <w:fldChar w:fldCharType="end"/>
        </w:r>
      </w:hyperlink>
    </w:p>
    <w:p w14:paraId="191A9163" w14:textId="75228D62" w:rsidR="0083775C" w:rsidRDefault="0083775C">
      <w:pPr>
        <w:pStyle w:val="TOC2"/>
        <w:rPr>
          <w:noProof/>
          <w:kern w:val="2"/>
          <w:sz w:val="24"/>
          <w:szCs w:val="24"/>
          <w:lang w:val="en-GB"/>
          <w14:ligatures w14:val="standardContextual"/>
        </w:rPr>
      </w:pPr>
      <w:hyperlink w:anchor="_Toc208244955" w:history="1">
        <w:r w:rsidRPr="00F74C08">
          <w:rPr>
            <w:rStyle w:val="Hyperlink"/>
            <w:noProof/>
          </w:rPr>
          <w:t>II.13</w:t>
        </w:r>
        <w:r>
          <w:rPr>
            <w:noProof/>
            <w:kern w:val="2"/>
            <w:sz w:val="24"/>
            <w:szCs w:val="24"/>
            <w:lang w:val="en-GB"/>
            <w14:ligatures w14:val="standardContextual"/>
          </w:rPr>
          <w:tab/>
        </w:r>
        <w:r w:rsidRPr="00F74C08">
          <w:rPr>
            <w:rStyle w:val="Hyperlink"/>
            <w:noProof/>
          </w:rPr>
          <w:t>Z 07.01.1 FUNC 1 DEP</w:t>
        </w:r>
        <w:r>
          <w:rPr>
            <w:noProof/>
            <w:webHidden/>
          </w:rPr>
          <w:tab/>
        </w:r>
        <w:r>
          <w:rPr>
            <w:noProof/>
            <w:webHidden/>
          </w:rPr>
          <w:fldChar w:fldCharType="begin"/>
        </w:r>
        <w:r>
          <w:rPr>
            <w:noProof/>
            <w:webHidden/>
          </w:rPr>
          <w:instrText xml:space="preserve"> PAGEREF _Toc208244955 \h </w:instrText>
        </w:r>
        <w:r>
          <w:rPr>
            <w:noProof/>
            <w:webHidden/>
          </w:rPr>
        </w:r>
        <w:r>
          <w:rPr>
            <w:noProof/>
            <w:webHidden/>
          </w:rPr>
          <w:fldChar w:fldCharType="separate"/>
        </w:r>
        <w:r>
          <w:rPr>
            <w:noProof/>
            <w:webHidden/>
          </w:rPr>
          <w:t>37</w:t>
        </w:r>
        <w:r>
          <w:rPr>
            <w:noProof/>
            <w:webHidden/>
          </w:rPr>
          <w:fldChar w:fldCharType="end"/>
        </w:r>
      </w:hyperlink>
    </w:p>
    <w:p w14:paraId="2B483FF5" w14:textId="3C09889F" w:rsidR="0083775C" w:rsidRDefault="0083775C">
      <w:pPr>
        <w:pStyle w:val="TOC2"/>
        <w:rPr>
          <w:noProof/>
          <w:kern w:val="2"/>
          <w:sz w:val="24"/>
          <w:szCs w:val="24"/>
          <w:lang w:val="en-GB"/>
          <w14:ligatures w14:val="standardContextual"/>
        </w:rPr>
      </w:pPr>
      <w:hyperlink w:anchor="_Toc208244956" w:history="1">
        <w:r w:rsidRPr="00F74C08">
          <w:rPr>
            <w:rStyle w:val="Hyperlink"/>
            <w:noProof/>
          </w:rPr>
          <w:t>II.14</w:t>
        </w:r>
        <w:r>
          <w:rPr>
            <w:noProof/>
            <w:kern w:val="2"/>
            <w:sz w:val="24"/>
            <w:szCs w:val="24"/>
            <w:lang w:val="en-GB"/>
            <w14:ligatures w14:val="standardContextual"/>
          </w:rPr>
          <w:tab/>
        </w:r>
        <w:r w:rsidRPr="00F74C08">
          <w:rPr>
            <w:rStyle w:val="Hyperlink"/>
            <w:noProof/>
          </w:rPr>
          <w:t>Z 07.01.2 FUNC 1 LEN</w:t>
        </w:r>
        <w:r>
          <w:rPr>
            <w:noProof/>
            <w:webHidden/>
          </w:rPr>
          <w:tab/>
        </w:r>
        <w:r>
          <w:rPr>
            <w:noProof/>
            <w:webHidden/>
          </w:rPr>
          <w:fldChar w:fldCharType="begin"/>
        </w:r>
        <w:r>
          <w:rPr>
            <w:noProof/>
            <w:webHidden/>
          </w:rPr>
          <w:instrText xml:space="preserve"> PAGEREF _Toc208244956 \h </w:instrText>
        </w:r>
        <w:r>
          <w:rPr>
            <w:noProof/>
            <w:webHidden/>
          </w:rPr>
        </w:r>
        <w:r>
          <w:rPr>
            <w:noProof/>
            <w:webHidden/>
          </w:rPr>
          <w:fldChar w:fldCharType="separate"/>
        </w:r>
        <w:r>
          <w:rPr>
            <w:noProof/>
            <w:webHidden/>
          </w:rPr>
          <w:t>42</w:t>
        </w:r>
        <w:r>
          <w:rPr>
            <w:noProof/>
            <w:webHidden/>
          </w:rPr>
          <w:fldChar w:fldCharType="end"/>
        </w:r>
      </w:hyperlink>
    </w:p>
    <w:p w14:paraId="0DCA6E4D" w14:textId="0B1A4860" w:rsidR="0083775C" w:rsidRDefault="0083775C">
      <w:pPr>
        <w:pStyle w:val="TOC2"/>
        <w:rPr>
          <w:noProof/>
          <w:kern w:val="2"/>
          <w:sz w:val="24"/>
          <w:szCs w:val="24"/>
          <w:lang w:val="en-GB"/>
          <w14:ligatures w14:val="standardContextual"/>
        </w:rPr>
      </w:pPr>
      <w:hyperlink w:anchor="_Toc208244957" w:history="1">
        <w:r w:rsidRPr="00F74C08">
          <w:rPr>
            <w:rStyle w:val="Hyperlink"/>
            <w:noProof/>
          </w:rPr>
          <w:t>II.15</w:t>
        </w:r>
        <w:r>
          <w:rPr>
            <w:noProof/>
            <w:kern w:val="2"/>
            <w:sz w:val="24"/>
            <w:szCs w:val="24"/>
            <w:lang w:val="en-GB"/>
            <w14:ligatures w14:val="standardContextual"/>
          </w:rPr>
          <w:tab/>
        </w:r>
        <w:r w:rsidRPr="00F74C08">
          <w:rPr>
            <w:rStyle w:val="Hyperlink"/>
            <w:noProof/>
          </w:rPr>
          <w:t>Z 07.01.3 FUNC 1 ALGA</w:t>
        </w:r>
        <w:r>
          <w:rPr>
            <w:noProof/>
            <w:webHidden/>
          </w:rPr>
          <w:tab/>
        </w:r>
        <w:r>
          <w:rPr>
            <w:noProof/>
            <w:webHidden/>
          </w:rPr>
          <w:fldChar w:fldCharType="begin"/>
        </w:r>
        <w:r>
          <w:rPr>
            <w:noProof/>
            <w:webHidden/>
          </w:rPr>
          <w:instrText xml:space="preserve"> PAGEREF _Toc208244957 \h </w:instrText>
        </w:r>
        <w:r>
          <w:rPr>
            <w:noProof/>
            <w:webHidden/>
          </w:rPr>
        </w:r>
        <w:r>
          <w:rPr>
            <w:noProof/>
            <w:webHidden/>
          </w:rPr>
          <w:fldChar w:fldCharType="separate"/>
        </w:r>
        <w:r>
          <w:rPr>
            <w:noProof/>
            <w:webHidden/>
          </w:rPr>
          <w:t>47</w:t>
        </w:r>
        <w:r>
          <w:rPr>
            <w:noProof/>
            <w:webHidden/>
          </w:rPr>
          <w:fldChar w:fldCharType="end"/>
        </w:r>
      </w:hyperlink>
    </w:p>
    <w:p w14:paraId="29F640B6" w14:textId="502532AF" w:rsidR="0083775C" w:rsidRDefault="0083775C">
      <w:pPr>
        <w:pStyle w:val="TOC2"/>
        <w:rPr>
          <w:noProof/>
          <w:kern w:val="2"/>
          <w:sz w:val="24"/>
          <w:szCs w:val="24"/>
          <w:lang w:val="en-GB"/>
          <w14:ligatures w14:val="standardContextual"/>
        </w:rPr>
      </w:pPr>
      <w:hyperlink w:anchor="_Toc208244958" w:history="1">
        <w:r w:rsidRPr="00F74C08">
          <w:rPr>
            <w:rStyle w:val="Hyperlink"/>
            <w:noProof/>
          </w:rPr>
          <w:t>II.13.</w:t>
        </w:r>
        <w:r>
          <w:rPr>
            <w:noProof/>
            <w:kern w:val="2"/>
            <w:sz w:val="24"/>
            <w:szCs w:val="24"/>
            <w:lang w:val="en-GB"/>
            <w14:ligatures w14:val="standardContextual"/>
          </w:rPr>
          <w:tab/>
        </w:r>
        <w:r w:rsidRPr="00F74C08">
          <w:rPr>
            <w:rStyle w:val="Hyperlink"/>
            <w:noProof/>
          </w:rPr>
          <w:t>Z 07.01.4 FUNC 1 CM</w:t>
        </w:r>
        <w:r>
          <w:rPr>
            <w:noProof/>
            <w:webHidden/>
          </w:rPr>
          <w:tab/>
        </w:r>
        <w:r>
          <w:rPr>
            <w:noProof/>
            <w:webHidden/>
          </w:rPr>
          <w:fldChar w:fldCharType="begin"/>
        </w:r>
        <w:r>
          <w:rPr>
            <w:noProof/>
            <w:webHidden/>
          </w:rPr>
          <w:instrText xml:space="preserve"> PAGEREF _Toc208244958 \h </w:instrText>
        </w:r>
        <w:r>
          <w:rPr>
            <w:noProof/>
            <w:webHidden/>
          </w:rPr>
        </w:r>
        <w:r>
          <w:rPr>
            <w:noProof/>
            <w:webHidden/>
          </w:rPr>
          <w:fldChar w:fldCharType="separate"/>
        </w:r>
        <w:r>
          <w:rPr>
            <w:noProof/>
            <w:webHidden/>
          </w:rPr>
          <w:t>53</w:t>
        </w:r>
        <w:r>
          <w:rPr>
            <w:noProof/>
            <w:webHidden/>
          </w:rPr>
          <w:fldChar w:fldCharType="end"/>
        </w:r>
      </w:hyperlink>
    </w:p>
    <w:p w14:paraId="671D5D8E" w14:textId="79A5D5FE" w:rsidR="0083775C" w:rsidRDefault="0083775C">
      <w:pPr>
        <w:pStyle w:val="TOC2"/>
        <w:rPr>
          <w:noProof/>
          <w:kern w:val="2"/>
          <w:sz w:val="24"/>
          <w:szCs w:val="24"/>
          <w:lang w:val="en-GB"/>
          <w14:ligatures w14:val="standardContextual"/>
        </w:rPr>
      </w:pPr>
      <w:hyperlink w:anchor="_Toc208244959" w:history="1">
        <w:r w:rsidRPr="00F74C08">
          <w:rPr>
            <w:rStyle w:val="Hyperlink"/>
            <w:noProof/>
          </w:rPr>
          <w:t>II.13.</w:t>
        </w:r>
        <w:r>
          <w:rPr>
            <w:noProof/>
            <w:kern w:val="2"/>
            <w:sz w:val="24"/>
            <w:szCs w:val="24"/>
            <w:lang w:val="en-GB"/>
            <w14:ligatures w14:val="standardContextual"/>
          </w:rPr>
          <w:tab/>
        </w:r>
        <w:r w:rsidRPr="00F74C08">
          <w:rPr>
            <w:rStyle w:val="Hyperlink"/>
            <w:noProof/>
          </w:rPr>
          <w:t>Z 07.01.5 FUNC 1 WF</w:t>
        </w:r>
        <w:r>
          <w:rPr>
            <w:noProof/>
            <w:webHidden/>
          </w:rPr>
          <w:tab/>
        </w:r>
        <w:r>
          <w:rPr>
            <w:noProof/>
            <w:webHidden/>
          </w:rPr>
          <w:fldChar w:fldCharType="begin"/>
        </w:r>
        <w:r>
          <w:rPr>
            <w:noProof/>
            <w:webHidden/>
          </w:rPr>
          <w:instrText xml:space="preserve"> PAGEREF _Toc208244959 \h </w:instrText>
        </w:r>
        <w:r>
          <w:rPr>
            <w:noProof/>
            <w:webHidden/>
          </w:rPr>
        </w:r>
        <w:r>
          <w:rPr>
            <w:noProof/>
            <w:webHidden/>
          </w:rPr>
          <w:fldChar w:fldCharType="separate"/>
        </w:r>
        <w:r>
          <w:rPr>
            <w:noProof/>
            <w:webHidden/>
          </w:rPr>
          <w:t>58</w:t>
        </w:r>
        <w:r>
          <w:rPr>
            <w:noProof/>
            <w:webHidden/>
          </w:rPr>
          <w:fldChar w:fldCharType="end"/>
        </w:r>
      </w:hyperlink>
    </w:p>
    <w:p w14:paraId="6C9B0FD0" w14:textId="6A482C1B" w:rsidR="0083775C" w:rsidRDefault="0083775C">
      <w:pPr>
        <w:pStyle w:val="TOC2"/>
        <w:rPr>
          <w:noProof/>
          <w:kern w:val="2"/>
          <w:sz w:val="24"/>
          <w:szCs w:val="24"/>
          <w:lang w:val="en-GB"/>
          <w14:ligatures w14:val="standardContextual"/>
        </w:rPr>
      </w:pPr>
      <w:hyperlink w:anchor="_Toc208244960" w:history="1">
        <w:r w:rsidRPr="00F74C08">
          <w:rPr>
            <w:rStyle w:val="Hyperlink"/>
            <w:noProof/>
          </w:rPr>
          <w:t>II.16</w:t>
        </w:r>
        <w:r>
          <w:rPr>
            <w:noProof/>
            <w:kern w:val="2"/>
            <w:sz w:val="24"/>
            <w:szCs w:val="24"/>
            <w:lang w:val="en-GB"/>
            <w14:ligatures w14:val="standardContextual"/>
          </w:rPr>
          <w:tab/>
        </w:r>
        <w:r w:rsidRPr="00F74C08">
          <w:rPr>
            <w:rStyle w:val="Hyperlink"/>
            <w:noProof/>
          </w:rPr>
          <w:t>Z 07.02 — ekonomiski svarīgu funkciju sasaistīšana pēc juridiskajām personām (FUNC 2)</w:t>
        </w:r>
        <w:r>
          <w:rPr>
            <w:noProof/>
            <w:webHidden/>
          </w:rPr>
          <w:tab/>
        </w:r>
        <w:r>
          <w:rPr>
            <w:noProof/>
            <w:webHidden/>
          </w:rPr>
          <w:fldChar w:fldCharType="begin"/>
        </w:r>
        <w:r>
          <w:rPr>
            <w:noProof/>
            <w:webHidden/>
          </w:rPr>
          <w:instrText xml:space="preserve"> PAGEREF _Toc208244960 \h </w:instrText>
        </w:r>
        <w:r>
          <w:rPr>
            <w:noProof/>
            <w:webHidden/>
          </w:rPr>
        </w:r>
        <w:r>
          <w:rPr>
            <w:noProof/>
            <w:webHidden/>
          </w:rPr>
          <w:fldChar w:fldCharType="separate"/>
        </w:r>
        <w:r>
          <w:rPr>
            <w:noProof/>
            <w:webHidden/>
          </w:rPr>
          <w:t>62</w:t>
        </w:r>
        <w:r>
          <w:rPr>
            <w:noProof/>
            <w:webHidden/>
          </w:rPr>
          <w:fldChar w:fldCharType="end"/>
        </w:r>
      </w:hyperlink>
    </w:p>
    <w:p w14:paraId="13BA88BD" w14:textId="0621D8CB" w:rsidR="0083775C" w:rsidRDefault="0083775C">
      <w:pPr>
        <w:pStyle w:val="TOC2"/>
        <w:rPr>
          <w:noProof/>
          <w:kern w:val="2"/>
          <w:sz w:val="24"/>
          <w:szCs w:val="24"/>
          <w:lang w:val="en-GB"/>
          <w14:ligatures w14:val="standardContextual"/>
        </w:rPr>
      </w:pPr>
      <w:hyperlink w:anchor="_Toc208244961" w:history="1">
        <w:r w:rsidRPr="00F74C08">
          <w:rPr>
            <w:rStyle w:val="Hyperlink"/>
            <w:noProof/>
          </w:rPr>
          <w:t>II.17</w:t>
        </w:r>
        <w:r>
          <w:rPr>
            <w:noProof/>
            <w:kern w:val="2"/>
            <w:sz w:val="24"/>
            <w:szCs w:val="24"/>
            <w:lang w:val="en-GB"/>
            <w14:ligatures w14:val="standardContextual"/>
          </w:rPr>
          <w:tab/>
        </w:r>
        <w:r w:rsidRPr="00F74C08">
          <w:rPr>
            <w:rStyle w:val="Hyperlink"/>
            <w:noProof/>
          </w:rPr>
          <w:t>Z 07.03 — pamatdarbības virzienu sasaistīšana ar juridiskajām personām (FUNC 3)</w:t>
        </w:r>
        <w:r>
          <w:rPr>
            <w:noProof/>
            <w:webHidden/>
          </w:rPr>
          <w:tab/>
        </w:r>
        <w:r>
          <w:rPr>
            <w:noProof/>
            <w:webHidden/>
          </w:rPr>
          <w:fldChar w:fldCharType="begin"/>
        </w:r>
        <w:r>
          <w:rPr>
            <w:noProof/>
            <w:webHidden/>
          </w:rPr>
          <w:instrText xml:space="preserve"> PAGEREF _Toc208244961 \h </w:instrText>
        </w:r>
        <w:r>
          <w:rPr>
            <w:noProof/>
            <w:webHidden/>
          </w:rPr>
        </w:r>
        <w:r>
          <w:rPr>
            <w:noProof/>
            <w:webHidden/>
          </w:rPr>
          <w:fldChar w:fldCharType="separate"/>
        </w:r>
        <w:r>
          <w:rPr>
            <w:noProof/>
            <w:webHidden/>
          </w:rPr>
          <w:t>63</w:t>
        </w:r>
        <w:r>
          <w:rPr>
            <w:noProof/>
            <w:webHidden/>
          </w:rPr>
          <w:fldChar w:fldCharType="end"/>
        </w:r>
      </w:hyperlink>
    </w:p>
    <w:p w14:paraId="761C7CF8" w14:textId="554778AC" w:rsidR="0083775C" w:rsidRDefault="0083775C">
      <w:pPr>
        <w:pStyle w:val="TOC2"/>
        <w:rPr>
          <w:noProof/>
          <w:kern w:val="2"/>
          <w:sz w:val="24"/>
          <w:szCs w:val="24"/>
          <w:lang w:val="en-GB"/>
          <w14:ligatures w14:val="standardContextual"/>
        </w:rPr>
      </w:pPr>
      <w:hyperlink w:anchor="_Toc208244962" w:history="1">
        <w:r w:rsidRPr="00F74C08">
          <w:rPr>
            <w:rStyle w:val="Hyperlink"/>
            <w:noProof/>
          </w:rPr>
          <w:t>II.18</w:t>
        </w:r>
        <w:r>
          <w:rPr>
            <w:noProof/>
            <w:kern w:val="2"/>
            <w:sz w:val="24"/>
            <w:szCs w:val="24"/>
            <w:lang w:val="en-GB"/>
            <w14:ligatures w14:val="standardContextual"/>
          </w:rPr>
          <w:tab/>
        </w:r>
        <w:r w:rsidRPr="00F74C08">
          <w:rPr>
            <w:rStyle w:val="Hyperlink"/>
            <w:noProof/>
          </w:rPr>
          <w:t>Z 07.04 — ekonomiski svarīgo funkciju sasaistīšana ar pamatdarbības virzieniem (FUNC 4)</w:t>
        </w:r>
        <w:r>
          <w:rPr>
            <w:noProof/>
            <w:webHidden/>
          </w:rPr>
          <w:tab/>
        </w:r>
        <w:r>
          <w:rPr>
            <w:noProof/>
            <w:webHidden/>
          </w:rPr>
          <w:fldChar w:fldCharType="begin"/>
        </w:r>
        <w:r>
          <w:rPr>
            <w:noProof/>
            <w:webHidden/>
          </w:rPr>
          <w:instrText xml:space="preserve"> PAGEREF _Toc208244962 \h </w:instrText>
        </w:r>
        <w:r>
          <w:rPr>
            <w:noProof/>
            <w:webHidden/>
          </w:rPr>
        </w:r>
        <w:r>
          <w:rPr>
            <w:noProof/>
            <w:webHidden/>
          </w:rPr>
          <w:fldChar w:fldCharType="separate"/>
        </w:r>
        <w:r>
          <w:rPr>
            <w:noProof/>
            <w:webHidden/>
          </w:rPr>
          <w:t>64</w:t>
        </w:r>
        <w:r>
          <w:rPr>
            <w:noProof/>
            <w:webHidden/>
          </w:rPr>
          <w:fldChar w:fldCharType="end"/>
        </w:r>
      </w:hyperlink>
    </w:p>
    <w:p w14:paraId="3DF32CC8" w14:textId="74F295AF" w:rsidR="0083775C" w:rsidRDefault="0083775C">
      <w:pPr>
        <w:pStyle w:val="TOC2"/>
        <w:rPr>
          <w:noProof/>
          <w:kern w:val="2"/>
          <w:sz w:val="24"/>
          <w:szCs w:val="24"/>
          <w:lang w:val="en-GB"/>
          <w14:ligatures w14:val="standardContextual"/>
        </w:rPr>
      </w:pPr>
      <w:hyperlink w:anchor="_Toc208244963" w:history="1">
        <w:r w:rsidRPr="00F74C08">
          <w:rPr>
            <w:rStyle w:val="Hyperlink"/>
            <w:noProof/>
          </w:rPr>
          <w:t>II.19</w:t>
        </w:r>
        <w:r>
          <w:rPr>
            <w:noProof/>
            <w:kern w:val="2"/>
            <w:sz w:val="24"/>
            <w:szCs w:val="24"/>
            <w:lang w:val="en-GB"/>
            <w14:ligatures w14:val="standardContextual"/>
          </w:rPr>
          <w:tab/>
        </w:r>
        <w:r w:rsidRPr="00F74C08">
          <w:rPr>
            <w:rStyle w:val="Hyperlink"/>
            <w:noProof/>
          </w:rPr>
          <w:t>Attiecīgie pakalpojumi</w:t>
        </w:r>
        <w:r>
          <w:rPr>
            <w:noProof/>
            <w:webHidden/>
          </w:rPr>
          <w:tab/>
        </w:r>
        <w:r>
          <w:rPr>
            <w:noProof/>
            <w:webHidden/>
          </w:rPr>
          <w:fldChar w:fldCharType="begin"/>
        </w:r>
        <w:r>
          <w:rPr>
            <w:noProof/>
            <w:webHidden/>
          </w:rPr>
          <w:instrText xml:space="preserve"> PAGEREF _Toc208244963 \h </w:instrText>
        </w:r>
        <w:r>
          <w:rPr>
            <w:noProof/>
            <w:webHidden/>
          </w:rPr>
        </w:r>
        <w:r>
          <w:rPr>
            <w:noProof/>
            <w:webHidden/>
          </w:rPr>
          <w:fldChar w:fldCharType="separate"/>
        </w:r>
        <w:r>
          <w:rPr>
            <w:noProof/>
            <w:webHidden/>
          </w:rPr>
          <w:t>65</w:t>
        </w:r>
        <w:r>
          <w:rPr>
            <w:noProof/>
            <w:webHidden/>
          </w:rPr>
          <w:fldChar w:fldCharType="end"/>
        </w:r>
      </w:hyperlink>
    </w:p>
    <w:p w14:paraId="3509C3B5" w14:textId="5DC333C8" w:rsidR="0083775C" w:rsidRDefault="0083775C">
      <w:pPr>
        <w:pStyle w:val="TOC2"/>
        <w:rPr>
          <w:noProof/>
          <w:kern w:val="2"/>
          <w:sz w:val="24"/>
          <w:szCs w:val="24"/>
          <w:lang w:val="en-GB"/>
          <w14:ligatures w14:val="standardContextual"/>
        </w:rPr>
      </w:pPr>
      <w:hyperlink w:anchor="_Toc208244964" w:history="1">
        <w:r w:rsidRPr="00F74C08">
          <w:rPr>
            <w:rStyle w:val="Hyperlink"/>
            <w:rFonts w:eastAsia="Calibri"/>
            <w:noProof/>
          </w:rPr>
          <w:t>II.20</w:t>
        </w:r>
        <w:r>
          <w:rPr>
            <w:noProof/>
            <w:kern w:val="2"/>
            <w:sz w:val="24"/>
            <w:szCs w:val="24"/>
            <w:lang w:val="en-GB"/>
            <w14:ligatures w14:val="standardContextual"/>
          </w:rPr>
          <w:tab/>
        </w:r>
        <w:r w:rsidRPr="00F74C08">
          <w:rPr>
            <w:rStyle w:val="Hyperlink"/>
            <w:noProof/>
          </w:rPr>
          <w:t>Z 08.01 — svarīgi pakalpojumi (SERV 1)</w:t>
        </w:r>
        <w:r>
          <w:rPr>
            <w:noProof/>
            <w:webHidden/>
          </w:rPr>
          <w:tab/>
        </w:r>
        <w:r>
          <w:rPr>
            <w:noProof/>
            <w:webHidden/>
          </w:rPr>
          <w:fldChar w:fldCharType="begin"/>
        </w:r>
        <w:r>
          <w:rPr>
            <w:noProof/>
            <w:webHidden/>
          </w:rPr>
          <w:instrText xml:space="preserve"> PAGEREF _Toc208244964 \h </w:instrText>
        </w:r>
        <w:r>
          <w:rPr>
            <w:noProof/>
            <w:webHidden/>
          </w:rPr>
        </w:r>
        <w:r>
          <w:rPr>
            <w:noProof/>
            <w:webHidden/>
          </w:rPr>
          <w:fldChar w:fldCharType="separate"/>
        </w:r>
        <w:r>
          <w:rPr>
            <w:noProof/>
            <w:webHidden/>
          </w:rPr>
          <w:t>65</w:t>
        </w:r>
        <w:r>
          <w:rPr>
            <w:noProof/>
            <w:webHidden/>
          </w:rPr>
          <w:fldChar w:fldCharType="end"/>
        </w:r>
      </w:hyperlink>
    </w:p>
    <w:p w14:paraId="52A5C26E" w14:textId="21CED4BE" w:rsidR="0083775C" w:rsidRDefault="0083775C">
      <w:pPr>
        <w:pStyle w:val="TOC2"/>
        <w:rPr>
          <w:noProof/>
          <w:kern w:val="2"/>
          <w:sz w:val="24"/>
          <w:szCs w:val="24"/>
          <w:lang w:val="en-GB"/>
          <w14:ligatures w14:val="standardContextual"/>
        </w:rPr>
      </w:pPr>
      <w:hyperlink w:anchor="_Toc208244965" w:history="1">
        <w:r w:rsidRPr="00F74C08">
          <w:rPr>
            <w:rStyle w:val="Hyperlink"/>
            <w:noProof/>
          </w:rPr>
          <w:t>II.21</w:t>
        </w:r>
        <w:r>
          <w:rPr>
            <w:noProof/>
            <w:kern w:val="2"/>
            <w:sz w:val="24"/>
            <w:szCs w:val="24"/>
            <w:lang w:val="en-GB"/>
            <w14:ligatures w14:val="standardContextual"/>
          </w:rPr>
          <w:tab/>
        </w:r>
        <w:r w:rsidRPr="00F74C08">
          <w:rPr>
            <w:rStyle w:val="Hyperlink"/>
            <w:noProof/>
          </w:rPr>
          <w:t>Z 08.02 — Attiecīgie pakalpojumi — attiecināšana uz operacionālajiem aktīviem (SERV 2)</w:t>
        </w:r>
        <w:r>
          <w:rPr>
            <w:noProof/>
            <w:webHidden/>
          </w:rPr>
          <w:tab/>
        </w:r>
        <w:r>
          <w:rPr>
            <w:noProof/>
            <w:webHidden/>
          </w:rPr>
          <w:fldChar w:fldCharType="begin"/>
        </w:r>
        <w:r>
          <w:rPr>
            <w:noProof/>
            <w:webHidden/>
          </w:rPr>
          <w:instrText xml:space="preserve"> PAGEREF _Toc208244965 \h </w:instrText>
        </w:r>
        <w:r>
          <w:rPr>
            <w:noProof/>
            <w:webHidden/>
          </w:rPr>
        </w:r>
        <w:r>
          <w:rPr>
            <w:noProof/>
            <w:webHidden/>
          </w:rPr>
          <w:fldChar w:fldCharType="separate"/>
        </w:r>
        <w:r>
          <w:rPr>
            <w:noProof/>
            <w:webHidden/>
          </w:rPr>
          <w:t>71</w:t>
        </w:r>
        <w:r>
          <w:rPr>
            <w:noProof/>
            <w:webHidden/>
          </w:rPr>
          <w:fldChar w:fldCharType="end"/>
        </w:r>
      </w:hyperlink>
    </w:p>
    <w:p w14:paraId="3C20E155" w14:textId="03DDDE20" w:rsidR="0083775C" w:rsidRDefault="0083775C">
      <w:pPr>
        <w:pStyle w:val="TOC2"/>
        <w:rPr>
          <w:noProof/>
          <w:kern w:val="2"/>
          <w:sz w:val="24"/>
          <w:szCs w:val="24"/>
          <w:lang w:val="en-GB"/>
          <w14:ligatures w14:val="standardContextual"/>
        </w:rPr>
      </w:pPr>
      <w:hyperlink w:anchor="_Toc208244966" w:history="1">
        <w:r w:rsidRPr="00F74C08">
          <w:rPr>
            <w:rStyle w:val="Hyperlink"/>
            <w:rFonts w:eastAsia="Calibri"/>
            <w:noProof/>
          </w:rPr>
          <w:t>II.22</w:t>
        </w:r>
        <w:r>
          <w:rPr>
            <w:noProof/>
            <w:kern w:val="2"/>
            <w:sz w:val="24"/>
            <w:szCs w:val="24"/>
            <w:lang w:val="en-GB"/>
            <w14:ligatures w14:val="standardContextual"/>
          </w:rPr>
          <w:tab/>
        </w:r>
        <w:r w:rsidRPr="00F74C08">
          <w:rPr>
            <w:rStyle w:val="Hyperlink"/>
            <w:noProof/>
          </w:rPr>
          <w:t>Z 08.03 — Attiecīgie pakalpojumi — kartografēšana pēc lomām (SERV 3)</w:t>
        </w:r>
        <w:r>
          <w:rPr>
            <w:noProof/>
            <w:webHidden/>
          </w:rPr>
          <w:tab/>
        </w:r>
        <w:r>
          <w:rPr>
            <w:noProof/>
            <w:webHidden/>
          </w:rPr>
          <w:fldChar w:fldCharType="begin"/>
        </w:r>
        <w:r>
          <w:rPr>
            <w:noProof/>
            <w:webHidden/>
          </w:rPr>
          <w:instrText xml:space="preserve"> PAGEREF _Toc208244966 \h </w:instrText>
        </w:r>
        <w:r>
          <w:rPr>
            <w:noProof/>
            <w:webHidden/>
          </w:rPr>
        </w:r>
        <w:r>
          <w:rPr>
            <w:noProof/>
            <w:webHidden/>
          </w:rPr>
          <w:fldChar w:fldCharType="separate"/>
        </w:r>
        <w:r>
          <w:rPr>
            <w:noProof/>
            <w:webHidden/>
          </w:rPr>
          <w:t>74</w:t>
        </w:r>
        <w:r>
          <w:rPr>
            <w:noProof/>
            <w:webHidden/>
          </w:rPr>
          <w:fldChar w:fldCharType="end"/>
        </w:r>
      </w:hyperlink>
    </w:p>
    <w:p w14:paraId="54715EE2" w14:textId="03C36C93" w:rsidR="0083775C" w:rsidRDefault="0083775C">
      <w:pPr>
        <w:pStyle w:val="TOC2"/>
        <w:rPr>
          <w:noProof/>
          <w:kern w:val="2"/>
          <w:sz w:val="24"/>
          <w:szCs w:val="24"/>
          <w:lang w:val="en-GB"/>
          <w14:ligatures w14:val="standardContextual"/>
        </w:rPr>
      </w:pPr>
      <w:hyperlink w:anchor="_Toc208244967" w:history="1">
        <w:r w:rsidRPr="00F74C08">
          <w:rPr>
            <w:rStyle w:val="Hyperlink"/>
            <w:rFonts w:eastAsia="Calibri"/>
            <w:noProof/>
          </w:rPr>
          <w:t>II.23</w:t>
        </w:r>
        <w:r>
          <w:rPr>
            <w:noProof/>
            <w:kern w:val="2"/>
            <w:sz w:val="24"/>
            <w:szCs w:val="24"/>
            <w:lang w:val="en-GB"/>
            <w14:ligatures w14:val="standardContextual"/>
          </w:rPr>
          <w:tab/>
        </w:r>
        <w:r w:rsidRPr="00F74C08">
          <w:rPr>
            <w:rStyle w:val="Hyperlink"/>
            <w:noProof/>
          </w:rPr>
          <w:t>Z 08.04 — Kritiski svarīgi pakalpojumi — kartografēšana ar kritiski svarīgām funkcijām (SERV 4)</w:t>
        </w:r>
        <w:r>
          <w:rPr>
            <w:noProof/>
            <w:webHidden/>
          </w:rPr>
          <w:tab/>
        </w:r>
        <w:r>
          <w:rPr>
            <w:noProof/>
            <w:webHidden/>
          </w:rPr>
          <w:fldChar w:fldCharType="begin"/>
        </w:r>
        <w:r>
          <w:rPr>
            <w:noProof/>
            <w:webHidden/>
          </w:rPr>
          <w:instrText xml:space="preserve"> PAGEREF _Toc208244967 \h </w:instrText>
        </w:r>
        <w:r>
          <w:rPr>
            <w:noProof/>
            <w:webHidden/>
          </w:rPr>
        </w:r>
        <w:r>
          <w:rPr>
            <w:noProof/>
            <w:webHidden/>
          </w:rPr>
          <w:fldChar w:fldCharType="separate"/>
        </w:r>
        <w:r>
          <w:rPr>
            <w:noProof/>
            <w:webHidden/>
          </w:rPr>
          <w:t>75</w:t>
        </w:r>
        <w:r>
          <w:rPr>
            <w:noProof/>
            <w:webHidden/>
          </w:rPr>
          <w:fldChar w:fldCharType="end"/>
        </w:r>
      </w:hyperlink>
    </w:p>
    <w:p w14:paraId="1C51D840" w14:textId="6E34E02A" w:rsidR="0083775C" w:rsidRDefault="0083775C">
      <w:pPr>
        <w:pStyle w:val="TOC2"/>
        <w:rPr>
          <w:noProof/>
          <w:kern w:val="2"/>
          <w:sz w:val="24"/>
          <w:szCs w:val="24"/>
          <w:lang w:val="en-GB"/>
          <w14:ligatures w14:val="standardContextual"/>
        </w:rPr>
      </w:pPr>
      <w:hyperlink w:anchor="_Toc208244968" w:history="1">
        <w:r w:rsidRPr="00F74C08">
          <w:rPr>
            <w:rStyle w:val="Hyperlink"/>
            <w:noProof/>
          </w:rPr>
          <w:t>Vispārīgi norādījumi</w:t>
        </w:r>
        <w:r>
          <w:rPr>
            <w:noProof/>
            <w:webHidden/>
          </w:rPr>
          <w:tab/>
        </w:r>
        <w:r>
          <w:rPr>
            <w:noProof/>
            <w:webHidden/>
          </w:rPr>
          <w:fldChar w:fldCharType="begin"/>
        </w:r>
        <w:r>
          <w:rPr>
            <w:noProof/>
            <w:webHidden/>
          </w:rPr>
          <w:instrText xml:space="preserve"> PAGEREF _Toc208244968 \h </w:instrText>
        </w:r>
        <w:r>
          <w:rPr>
            <w:noProof/>
            <w:webHidden/>
          </w:rPr>
        </w:r>
        <w:r>
          <w:rPr>
            <w:noProof/>
            <w:webHidden/>
          </w:rPr>
          <w:fldChar w:fldCharType="separate"/>
        </w:r>
        <w:r>
          <w:rPr>
            <w:noProof/>
            <w:webHidden/>
          </w:rPr>
          <w:t>75</w:t>
        </w:r>
        <w:r>
          <w:rPr>
            <w:noProof/>
            <w:webHidden/>
          </w:rPr>
          <w:fldChar w:fldCharType="end"/>
        </w:r>
      </w:hyperlink>
    </w:p>
    <w:p w14:paraId="0AE1C20E" w14:textId="7F04212A" w:rsidR="0083775C" w:rsidRDefault="0083775C">
      <w:pPr>
        <w:pStyle w:val="TOC2"/>
        <w:rPr>
          <w:noProof/>
          <w:kern w:val="2"/>
          <w:sz w:val="24"/>
          <w:szCs w:val="24"/>
          <w:lang w:val="en-GB"/>
          <w14:ligatures w14:val="standardContextual"/>
        </w:rPr>
      </w:pPr>
      <w:hyperlink w:anchor="_Toc208244969" w:history="1">
        <w:r w:rsidRPr="00F74C08">
          <w:rPr>
            <w:rStyle w:val="Hyperlink"/>
            <w:rFonts w:eastAsia="Calibri"/>
            <w:noProof/>
          </w:rPr>
          <w:t>II.24</w:t>
        </w:r>
        <w:r>
          <w:rPr>
            <w:noProof/>
            <w:kern w:val="2"/>
            <w:sz w:val="24"/>
            <w:szCs w:val="24"/>
            <w:lang w:val="en-GB"/>
            <w14:ligatures w14:val="standardContextual"/>
          </w:rPr>
          <w:tab/>
        </w:r>
        <w:r w:rsidRPr="00F74C08">
          <w:rPr>
            <w:rStyle w:val="Hyperlink"/>
            <w:noProof/>
          </w:rPr>
          <w:t>Z 08.05 — Būtiskie pakalpojumi — attiecināšana uz galvenajām darbības jomām (SERV 5)</w:t>
        </w:r>
        <w:r>
          <w:rPr>
            <w:noProof/>
            <w:webHidden/>
          </w:rPr>
          <w:tab/>
        </w:r>
        <w:r>
          <w:rPr>
            <w:noProof/>
            <w:webHidden/>
          </w:rPr>
          <w:fldChar w:fldCharType="begin"/>
        </w:r>
        <w:r>
          <w:rPr>
            <w:noProof/>
            <w:webHidden/>
          </w:rPr>
          <w:instrText xml:space="preserve"> PAGEREF _Toc208244969 \h </w:instrText>
        </w:r>
        <w:r>
          <w:rPr>
            <w:noProof/>
            <w:webHidden/>
          </w:rPr>
        </w:r>
        <w:r>
          <w:rPr>
            <w:noProof/>
            <w:webHidden/>
          </w:rPr>
          <w:fldChar w:fldCharType="separate"/>
        </w:r>
        <w:r>
          <w:rPr>
            <w:noProof/>
            <w:webHidden/>
          </w:rPr>
          <w:t>76</w:t>
        </w:r>
        <w:r>
          <w:rPr>
            <w:noProof/>
            <w:webHidden/>
          </w:rPr>
          <w:fldChar w:fldCharType="end"/>
        </w:r>
      </w:hyperlink>
    </w:p>
    <w:p w14:paraId="11DE4C69" w14:textId="30C44C4F" w:rsidR="0083775C" w:rsidRDefault="0083775C">
      <w:pPr>
        <w:pStyle w:val="TOC2"/>
        <w:rPr>
          <w:noProof/>
          <w:kern w:val="2"/>
          <w:sz w:val="24"/>
          <w:szCs w:val="24"/>
          <w:lang w:val="en-GB"/>
          <w14:ligatures w14:val="standardContextual"/>
        </w:rPr>
      </w:pPr>
      <w:hyperlink w:anchor="_Toc208244970" w:history="1">
        <w:r w:rsidRPr="00F74C08">
          <w:rPr>
            <w:rStyle w:val="Hyperlink"/>
            <w:noProof/>
          </w:rPr>
          <w:t>II.25</w:t>
        </w:r>
        <w:r>
          <w:rPr>
            <w:noProof/>
            <w:kern w:val="2"/>
            <w:sz w:val="24"/>
            <w:szCs w:val="24"/>
            <w:lang w:val="en-GB"/>
            <w14:ligatures w14:val="standardContextual"/>
          </w:rPr>
          <w:tab/>
        </w:r>
        <w:r w:rsidRPr="00F74C08">
          <w:rPr>
            <w:rStyle w:val="Hyperlink"/>
            <w:noProof/>
          </w:rPr>
          <w:t>FMI pakalpojumi</w:t>
        </w:r>
        <w:r>
          <w:rPr>
            <w:noProof/>
            <w:webHidden/>
          </w:rPr>
          <w:tab/>
        </w:r>
        <w:r>
          <w:rPr>
            <w:noProof/>
            <w:webHidden/>
          </w:rPr>
          <w:fldChar w:fldCharType="begin"/>
        </w:r>
        <w:r>
          <w:rPr>
            <w:noProof/>
            <w:webHidden/>
          </w:rPr>
          <w:instrText xml:space="preserve"> PAGEREF _Toc208244970 \h </w:instrText>
        </w:r>
        <w:r>
          <w:rPr>
            <w:noProof/>
            <w:webHidden/>
          </w:rPr>
        </w:r>
        <w:r>
          <w:rPr>
            <w:noProof/>
            <w:webHidden/>
          </w:rPr>
          <w:fldChar w:fldCharType="separate"/>
        </w:r>
        <w:r>
          <w:rPr>
            <w:noProof/>
            <w:webHidden/>
          </w:rPr>
          <w:t>77</w:t>
        </w:r>
        <w:r>
          <w:rPr>
            <w:noProof/>
            <w:webHidden/>
          </w:rPr>
          <w:fldChar w:fldCharType="end"/>
        </w:r>
      </w:hyperlink>
    </w:p>
    <w:p w14:paraId="182609E6" w14:textId="0669C7D6" w:rsidR="0083775C" w:rsidRDefault="0083775C">
      <w:pPr>
        <w:pStyle w:val="TOC2"/>
        <w:rPr>
          <w:noProof/>
          <w:kern w:val="2"/>
          <w:sz w:val="24"/>
          <w:szCs w:val="24"/>
          <w:lang w:val="en-GB"/>
          <w14:ligatures w14:val="standardContextual"/>
        </w:rPr>
      </w:pPr>
      <w:hyperlink w:anchor="_Toc208244971" w:history="1">
        <w:r w:rsidRPr="00F74C08">
          <w:rPr>
            <w:rStyle w:val="Hyperlink"/>
            <w:noProof/>
          </w:rPr>
          <w:t>II.26</w:t>
        </w:r>
        <w:r>
          <w:rPr>
            <w:noProof/>
            <w:kern w:val="2"/>
            <w:sz w:val="24"/>
            <w:szCs w:val="24"/>
            <w:lang w:val="en-GB"/>
            <w14:ligatures w14:val="standardContextual"/>
          </w:rPr>
          <w:tab/>
        </w:r>
        <w:r w:rsidRPr="00F74C08">
          <w:rPr>
            <w:rStyle w:val="Hyperlink"/>
            <w:noProof/>
          </w:rPr>
          <w:t>Z 09.01 — FMI pakalpojumi — pakalpojumu sniedzēji un lietotāji (1. FMI)</w:t>
        </w:r>
        <w:r>
          <w:rPr>
            <w:noProof/>
            <w:webHidden/>
          </w:rPr>
          <w:tab/>
        </w:r>
        <w:r>
          <w:rPr>
            <w:noProof/>
            <w:webHidden/>
          </w:rPr>
          <w:fldChar w:fldCharType="begin"/>
        </w:r>
        <w:r>
          <w:rPr>
            <w:noProof/>
            <w:webHidden/>
          </w:rPr>
          <w:instrText xml:space="preserve"> PAGEREF _Toc208244971 \h </w:instrText>
        </w:r>
        <w:r>
          <w:rPr>
            <w:noProof/>
            <w:webHidden/>
          </w:rPr>
        </w:r>
        <w:r>
          <w:rPr>
            <w:noProof/>
            <w:webHidden/>
          </w:rPr>
          <w:fldChar w:fldCharType="separate"/>
        </w:r>
        <w:r>
          <w:rPr>
            <w:noProof/>
            <w:webHidden/>
          </w:rPr>
          <w:t>77</w:t>
        </w:r>
        <w:r>
          <w:rPr>
            <w:noProof/>
            <w:webHidden/>
          </w:rPr>
          <w:fldChar w:fldCharType="end"/>
        </w:r>
      </w:hyperlink>
    </w:p>
    <w:p w14:paraId="06568769" w14:textId="3972474F" w:rsidR="0083775C" w:rsidRDefault="0083775C">
      <w:pPr>
        <w:pStyle w:val="TOC2"/>
        <w:rPr>
          <w:noProof/>
          <w:kern w:val="2"/>
          <w:sz w:val="24"/>
          <w:szCs w:val="24"/>
          <w:lang w:val="en-GB"/>
          <w14:ligatures w14:val="standardContextual"/>
        </w:rPr>
      </w:pPr>
      <w:hyperlink w:anchor="_Toc208244972" w:history="1">
        <w:r w:rsidRPr="00F74C08">
          <w:rPr>
            <w:rStyle w:val="Hyperlink"/>
            <w:rFonts w:eastAsia="Calibri"/>
            <w:noProof/>
          </w:rPr>
          <w:t>II.27</w:t>
        </w:r>
        <w:r>
          <w:rPr>
            <w:noProof/>
            <w:kern w:val="2"/>
            <w:sz w:val="24"/>
            <w:szCs w:val="24"/>
            <w:lang w:val="en-GB"/>
            <w14:ligatures w14:val="standardContextual"/>
          </w:rPr>
          <w:tab/>
        </w:r>
        <w:r w:rsidRPr="00F74C08">
          <w:rPr>
            <w:rStyle w:val="Hyperlink"/>
            <w:noProof/>
          </w:rPr>
          <w:t>Z 09.02 — sasaistīšana ar kritiski svarīgām un būtiskām FMI (2. FMI)</w:t>
        </w:r>
        <w:r>
          <w:rPr>
            <w:noProof/>
            <w:webHidden/>
          </w:rPr>
          <w:tab/>
        </w:r>
        <w:r>
          <w:rPr>
            <w:noProof/>
            <w:webHidden/>
          </w:rPr>
          <w:fldChar w:fldCharType="begin"/>
        </w:r>
        <w:r>
          <w:rPr>
            <w:noProof/>
            <w:webHidden/>
          </w:rPr>
          <w:instrText xml:space="preserve"> PAGEREF _Toc208244972 \h </w:instrText>
        </w:r>
        <w:r>
          <w:rPr>
            <w:noProof/>
            <w:webHidden/>
          </w:rPr>
        </w:r>
        <w:r>
          <w:rPr>
            <w:noProof/>
            <w:webHidden/>
          </w:rPr>
          <w:fldChar w:fldCharType="separate"/>
        </w:r>
        <w:r>
          <w:rPr>
            <w:noProof/>
            <w:webHidden/>
          </w:rPr>
          <w:t>81</w:t>
        </w:r>
        <w:r>
          <w:rPr>
            <w:noProof/>
            <w:webHidden/>
          </w:rPr>
          <w:fldChar w:fldCharType="end"/>
        </w:r>
      </w:hyperlink>
    </w:p>
    <w:p w14:paraId="40958C3B" w14:textId="0FBA2AAB" w:rsidR="0083775C" w:rsidRDefault="0083775C">
      <w:pPr>
        <w:pStyle w:val="TOC2"/>
        <w:rPr>
          <w:noProof/>
          <w:kern w:val="2"/>
          <w:sz w:val="24"/>
          <w:szCs w:val="24"/>
          <w:lang w:val="en-GB"/>
          <w14:ligatures w14:val="standardContextual"/>
        </w:rPr>
      </w:pPr>
      <w:hyperlink w:anchor="_Toc208244973" w:history="1">
        <w:r w:rsidRPr="00F74C08">
          <w:rPr>
            <w:rStyle w:val="Hyperlink"/>
            <w:noProof/>
          </w:rPr>
          <w:t>II.28</w:t>
        </w:r>
        <w:r>
          <w:rPr>
            <w:noProof/>
            <w:kern w:val="2"/>
            <w:sz w:val="24"/>
            <w:szCs w:val="24"/>
            <w:lang w:val="en-GB"/>
            <w14:ligatures w14:val="standardContextual"/>
          </w:rPr>
          <w:tab/>
        </w:r>
        <w:r w:rsidRPr="00F74C08">
          <w:rPr>
            <w:rStyle w:val="Hyperlink"/>
            <w:noProof/>
          </w:rPr>
          <w:t>Z 09.03 — FMI pakalpojumi — galvenie rādītāji (3. FMI)</w:t>
        </w:r>
        <w:r>
          <w:rPr>
            <w:noProof/>
            <w:webHidden/>
          </w:rPr>
          <w:tab/>
        </w:r>
        <w:r>
          <w:rPr>
            <w:noProof/>
            <w:webHidden/>
          </w:rPr>
          <w:fldChar w:fldCharType="begin"/>
        </w:r>
        <w:r>
          <w:rPr>
            <w:noProof/>
            <w:webHidden/>
          </w:rPr>
          <w:instrText xml:space="preserve"> PAGEREF _Toc208244973 \h </w:instrText>
        </w:r>
        <w:r>
          <w:rPr>
            <w:noProof/>
            <w:webHidden/>
          </w:rPr>
        </w:r>
        <w:r>
          <w:rPr>
            <w:noProof/>
            <w:webHidden/>
          </w:rPr>
          <w:fldChar w:fldCharType="separate"/>
        </w:r>
        <w:r>
          <w:rPr>
            <w:noProof/>
            <w:webHidden/>
          </w:rPr>
          <w:t>83</w:t>
        </w:r>
        <w:r>
          <w:rPr>
            <w:noProof/>
            <w:webHidden/>
          </w:rPr>
          <w:fldChar w:fldCharType="end"/>
        </w:r>
      </w:hyperlink>
    </w:p>
    <w:p w14:paraId="4431790B" w14:textId="4BBF3B86" w:rsidR="0083775C" w:rsidRDefault="0083775C">
      <w:pPr>
        <w:pStyle w:val="TOC2"/>
        <w:rPr>
          <w:noProof/>
          <w:kern w:val="2"/>
          <w:sz w:val="24"/>
          <w:szCs w:val="24"/>
          <w:lang w:val="en-GB"/>
          <w14:ligatures w14:val="standardContextual"/>
        </w:rPr>
      </w:pPr>
      <w:hyperlink w:anchor="_Toc208244974" w:history="1">
        <w:r w:rsidRPr="00F74C08">
          <w:rPr>
            <w:rStyle w:val="Hyperlink"/>
            <w:noProof/>
          </w:rPr>
          <w:t>II.29</w:t>
        </w:r>
        <w:r>
          <w:rPr>
            <w:noProof/>
            <w:kern w:val="2"/>
            <w:sz w:val="24"/>
            <w:szCs w:val="24"/>
            <w:lang w:val="en-GB"/>
            <w14:ligatures w14:val="standardContextual"/>
          </w:rPr>
          <w:tab/>
        </w:r>
        <w:r w:rsidRPr="00F74C08">
          <w:rPr>
            <w:rStyle w:val="Hyperlink"/>
            <w:noProof/>
          </w:rPr>
          <w:t>Z 09.04 — FTI pakalpojumi — CCP — Alternatīvie pakalpojumu sniedzēji (4. FMI)</w:t>
        </w:r>
        <w:r>
          <w:rPr>
            <w:noProof/>
            <w:webHidden/>
          </w:rPr>
          <w:tab/>
        </w:r>
        <w:r>
          <w:rPr>
            <w:noProof/>
            <w:webHidden/>
          </w:rPr>
          <w:fldChar w:fldCharType="begin"/>
        </w:r>
        <w:r>
          <w:rPr>
            <w:noProof/>
            <w:webHidden/>
          </w:rPr>
          <w:instrText xml:space="preserve"> PAGEREF _Toc208244974 \h </w:instrText>
        </w:r>
        <w:r>
          <w:rPr>
            <w:noProof/>
            <w:webHidden/>
          </w:rPr>
        </w:r>
        <w:r>
          <w:rPr>
            <w:noProof/>
            <w:webHidden/>
          </w:rPr>
          <w:fldChar w:fldCharType="separate"/>
        </w:r>
        <w:r>
          <w:rPr>
            <w:noProof/>
            <w:webHidden/>
          </w:rPr>
          <w:t>84</w:t>
        </w:r>
        <w:r>
          <w:rPr>
            <w:noProof/>
            <w:webHidden/>
          </w:rPr>
          <w:fldChar w:fldCharType="end"/>
        </w:r>
      </w:hyperlink>
    </w:p>
    <w:p w14:paraId="38FD6B05" w14:textId="08E868EB" w:rsidR="0083775C" w:rsidRDefault="0083775C">
      <w:pPr>
        <w:pStyle w:val="TOC2"/>
        <w:rPr>
          <w:noProof/>
          <w:kern w:val="2"/>
          <w:sz w:val="24"/>
          <w:szCs w:val="24"/>
          <w:lang w:val="en-GB"/>
          <w14:ligatures w14:val="standardContextual"/>
        </w:rPr>
      </w:pPr>
      <w:hyperlink w:anchor="_Toc208244975" w:history="1">
        <w:r w:rsidRPr="00F74C08">
          <w:rPr>
            <w:rStyle w:val="Hyperlink"/>
            <w:noProof/>
          </w:rPr>
          <w:t>II.30</w:t>
        </w:r>
        <w:r>
          <w:rPr>
            <w:noProof/>
            <w:kern w:val="2"/>
            <w:sz w:val="24"/>
            <w:szCs w:val="24"/>
            <w:lang w:val="en-GB"/>
            <w14:ligatures w14:val="standardContextual"/>
          </w:rPr>
          <w:tab/>
        </w:r>
        <w:r w:rsidRPr="00F74C08">
          <w:rPr>
            <w:rStyle w:val="Hyperlink"/>
            <w:noProof/>
          </w:rPr>
          <w:t>Atbildības analīze</w:t>
        </w:r>
        <w:r>
          <w:rPr>
            <w:noProof/>
            <w:webHidden/>
          </w:rPr>
          <w:tab/>
        </w:r>
        <w:r>
          <w:rPr>
            <w:noProof/>
            <w:webHidden/>
          </w:rPr>
          <w:fldChar w:fldCharType="begin"/>
        </w:r>
        <w:r>
          <w:rPr>
            <w:noProof/>
            <w:webHidden/>
          </w:rPr>
          <w:instrText xml:space="preserve"> PAGEREF _Toc208244975 \h </w:instrText>
        </w:r>
        <w:r>
          <w:rPr>
            <w:noProof/>
            <w:webHidden/>
          </w:rPr>
        </w:r>
        <w:r>
          <w:rPr>
            <w:noProof/>
            <w:webHidden/>
          </w:rPr>
          <w:fldChar w:fldCharType="separate"/>
        </w:r>
        <w:r>
          <w:rPr>
            <w:noProof/>
            <w:webHidden/>
          </w:rPr>
          <w:t>85</w:t>
        </w:r>
        <w:r>
          <w:rPr>
            <w:noProof/>
            <w:webHidden/>
          </w:rPr>
          <w:fldChar w:fldCharType="end"/>
        </w:r>
      </w:hyperlink>
    </w:p>
    <w:p w14:paraId="6CFF785A" w14:textId="4592C07A" w:rsidR="0083775C" w:rsidRDefault="0083775C">
      <w:pPr>
        <w:pStyle w:val="TOC2"/>
        <w:rPr>
          <w:noProof/>
          <w:kern w:val="2"/>
          <w:sz w:val="24"/>
          <w:szCs w:val="24"/>
          <w:lang w:val="en-GB"/>
          <w14:ligatures w14:val="standardContextual"/>
        </w:rPr>
      </w:pPr>
      <w:hyperlink w:anchor="_Toc208244976" w:history="1">
        <w:r w:rsidRPr="00F74C08">
          <w:rPr>
            <w:rStyle w:val="Hyperlink"/>
            <w:rFonts w:ascii="Times New Roman" w:hAnsi="Times New Roman" w:cs="Times New Roman"/>
            <w:noProof/>
          </w:rPr>
          <w:t>II.31</w:t>
        </w:r>
        <w:r>
          <w:rPr>
            <w:noProof/>
            <w:kern w:val="2"/>
            <w:sz w:val="24"/>
            <w:szCs w:val="24"/>
            <w:lang w:val="en-GB"/>
            <w14:ligatures w14:val="standardContextual"/>
          </w:rPr>
          <w:tab/>
        </w:r>
        <w:r w:rsidRPr="00F74C08">
          <w:rPr>
            <w:rStyle w:val="Hyperlink"/>
            <w:rFonts w:ascii="Times New Roman" w:hAnsi="Times New Roman" w:cs="Times New Roman"/>
            <w:noProof/>
          </w:rPr>
          <w:t>Z 11.00 Grupas iekšējās saistības</w:t>
        </w:r>
        <w:r w:rsidRPr="00F74C08">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_Toc208244976 \h </w:instrText>
        </w:r>
        <w:r>
          <w:rPr>
            <w:noProof/>
            <w:webHidden/>
          </w:rPr>
        </w:r>
        <w:r>
          <w:rPr>
            <w:noProof/>
            <w:webHidden/>
          </w:rPr>
          <w:fldChar w:fldCharType="separate"/>
        </w:r>
        <w:r>
          <w:rPr>
            <w:noProof/>
            <w:webHidden/>
          </w:rPr>
          <w:t>85</w:t>
        </w:r>
        <w:r>
          <w:rPr>
            <w:noProof/>
            <w:webHidden/>
          </w:rPr>
          <w:fldChar w:fldCharType="end"/>
        </w:r>
      </w:hyperlink>
    </w:p>
    <w:p w14:paraId="1FB91739" w14:textId="4DBD212D" w:rsidR="0083775C" w:rsidRDefault="0083775C">
      <w:pPr>
        <w:pStyle w:val="TOC2"/>
        <w:rPr>
          <w:noProof/>
          <w:kern w:val="2"/>
          <w:sz w:val="24"/>
          <w:szCs w:val="24"/>
          <w:lang w:val="en-GB"/>
          <w14:ligatures w14:val="standardContextual"/>
        </w:rPr>
      </w:pPr>
      <w:hyperlink w:anchor="_Toc208244977" w:history="1">
        <w:r w:rsidRPr="00F74C08">
          <w:rPr>
            <w:rStyle w:val="Hyperlink"/>
            <w:rFonts w:ascii="Times New Roman" w:hAnsi="Times New Roman" w:cs="Times New Roman"/>
            <w:noProof/>
          </w:rPr>
          <w:t>II.32</w:t>
        </w:r>
        <w:r>
          <w:rPr>
            <w:noProof/>
            <w:kern w:val="2"/>
            <w:sz w:val="24"/>
            <w:szCs w:val="24"/>
            <w:lang w:val="en-GB"/>
            <w14:ligatures w14:val="standardContextual"/>
          </w:rPr>
          <w:tab/>
        </w:r>
        <w:r w:rsidRPr="00F74C08">
          <w:rPr>
            <w:rStyle w:val="Hyperlink"/>
            <w:rFonts w:ascii="Times New Roman" w:hAnsi="Times New Roman" w:cs="Times New Roman"/>
            <w:noProof/>
          </w:rPr>
          <w:t xml:space="preserve">Z 12.00 — vērtspapīri </w:t>
        </w:r>
        <w:r w:rsidRPr="00F74C08">
          <w:rPr>
            <w:rStyle w:val="Hyperlink"/>
            <w:rFonts w:ascii="Times New Roman" w:eastAsia="Cambria" w:hAnsi="Times New Roman" w:cs="Times New Roman"/>
            <w:noProof/>
          </w:rPr>
          <w:t xml:space="preserve">(tostarp pirmā līmeņa pamata kapitāla, pirmā līmeņa papildu kapitāla un otrā līmeņa kapitāla instrumenti; izņemot grupas ietvaros) </w:t>
        </w:r>
        <w:r w:rsidRPr="00F74C08">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_Toc208244977 \h </w:instrText>
        </w:r>
        <w:r>
          <w:rPr>
            <w:noProof/>
            <w:webHidden/>
          </w:rPr>
        </w:r>
        <w:r>
          <w:rPr>
            <w:noProof/>
            <w:webHidden/>
          </w:rPr>
          <w:fldChar w:fldCharType="separate"/>
        </w:r>
        <w:r>
          <w:rPr>
            <w:noProof/>
            <w:webHidden/>
          </w:rPr>
          <w:t>88</w:t>
        </w:r>
        <w:r>
          <w:rPr>
            <w:noProof/>
            <w:webHidden/>
          </w:rPr>
          <w:fldChar w:fldCharType="end"/>
        </w:r>
      </w:hyperlink>
    </w:p>
    <w:p w14:paraId="1ABCA95F" w14:textId="24CBF688" w:rsidR="0083775C" w:rsidRDefault="0083775C">
      <w:pPr>
        <w:pStyle w:val="TOC2"/>
        <w:rPr>
          <w:noProof/>
          <w:kern w:val="2"/>
          <w:sz w:val="24"/>
          <w:szCs w:val="24"/>
          <w:lang w:val="en-GB"/>
          <w14:ligatures w14:val="standardContextual"/>
        </w:rPr>
      </w:pPr>
      <w:hyperlink w:anchor="_Toc208244978" w:history="1">
        <w:r w:rsidRPr="00F74C08">
          <w:rPr>
            <w:rStyle w:val="Hyperlink"/>
            <w:rFonts w:ascii="Times New Roman" w:hAnsi="Times New Roman" w:cs="Times New Roman"/>
            <w:noProof/>
          </w:rPr>
          <w:t>II.33</w:t>
        </w:r>
        <w:r>
          <w:rPr>
            <w:noProof/>
            <w:kern w:val="2"/>
            <w:sz w:val="24"/>
            <w:szCs w:val="24"/>
            <w:lang w:val="en-GB"/>
            <w14:ligatures w14:val="standardContextual"/>
          </w:rPr>
          <w:tab/>
        </w:r>
        <w:r w:rsidRPr="00F74C08">
          <w:rPr>
            <w:rStyle w:val="Hyperlink"/>
            <w:rFonts w:ascii="Times New Roman" w:hAnsi="Times New Roman" w:cs="Times New Roman"/>
            <w:noProof/>
          </w:rPr>
          <w:t xml:space="preserve">Z 13.00 — visi noguldījumi (izņemot grupas iekšējos noguldījumus) </w:t>
        </w:r>
        <w:r w:rsidRPr="00F74C08">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_Toc208244978 \h </w:instrText>
        </w:r>
        <w:r>
          <w:rPr>
            <w:noProof/>
            <w:webHidden/>
          </w:rPr>
        </w:r>
        <w:r>
          <w:rPr>
            <w:noProof/>
            <w:webHidden/>
          </w:rPr>
          <w:fldChar w:fldCharType="separate"/>
        </w:r>
        <w:r>
          <w:rPr>
            <w:noProof/>
            <w:webHidden/>
          </w:rPr>
          <w:t>92</w:t>
        </w:r>
        <w:r>
          <w:rPr>
            <w:noProof/>
            <w:webHidden/>
          </w:rPr>
          <w:fldChar w:fldCharType="end"/>
        </w:r>
      </w:hyperlink>
    </w:p>
    <w:p w14:paraId="52BA55D0" w14:textId="66036AB2" w:rsidR="0083775C" w:rsidRDefault="0083775C">
      <w:pPr>
        <w:pStyle w:val="TOC2"/>
        <w:rPr>
          <w:noProof/>
          <w:kern w:val="2"/>
          <w:sz w:val="24"/>
          <w:szCs w:val="24"/>
          <w:lang w:val="en-GB"/>
          <w14:ligatures w14:val="standardContextual"/>
        </w:rPr>
      </w:pPr>
      <w:hyperlink w:anchor="_Toc208244979" w:history="1">
        <w:r w:rsidRPr="00F74C08">
          <w:rPr>
            <w:rStyle w:val="Hyperlink"/>
            <w:rFonts w:ascii="Times New Roman" w:hAnsi="Times New Roman" w:cs="Times New Roman"/>
            <w:noProof/>
          </w:rPr>
          <w:t>II.34</w:t>
        </w:r>
        <w:r>
          <w:rPr>
            <w:noProof/>
            <w:kern w:val="2"/>
            <w:sz w:val="24"/>
            <w:szCs w:val="24"/>
            <w:lang w:val="en-GB"/>
            <w14:ligatures w14:val="standardContextual"/>
          </w:rPr>
          <w:tab/>
        </w:r>
        <w:r w:rsidRPr="00F74C08">
          <w:rPr>
            <w:rStyle w:val="Hyperlink"/>
            <w:rFonts w:ascii="Times New Roman" w:hAnsi="Times New Roman" w:cs="Times New Roman"/>
            <w:noProof/>
          </w:rPr>
          <w:t xml:space="preserve">Z 14.00 — Citas finanšu saistības (kas nav iekļautas citās cilnēs, izņemot grupas iekšējās saistības) </w:t>
        </w:r>
        <w:r w:rsidRPr="00F74C08">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_Toc208244979 \h </w:instrText>
        </w:r>
        <w:r>
          <w:rPr>
            <w:noProof/>
            <w:webHidden/>
          </w:rPr>
        </w:r>
        <w:r>
          <w:rPr>
            <w:noProof/>
            <w:webHidden/>
          </w:rPr>
          <w:fldChar w:fldCharType="separate"/>
        </w:r>
        <w:r>
          <w:rPr>
            <w:noProof/>
            <w:webHidden/>
          </w:rPr>
          <w:t>94</w:t>
        </w:r>
        <w:r>
          <w:rPr>
            <w:noProof/>
            <w:webHidden/>
          </w:rPr>
          <w:fldChar w:fldCharType="end"/>
        </w:r>
      </w:hyperlink>
    </w:p>
    <w:p w14:paraId="517ADE29" w14:textId="0F6913D3" w:rsidR="0083775C" w:rsidRDefault="0083775C">
      <w:pPr>
        <w:pStyle w:val="TOC2"/>
        <w:rPr>
          <w:noProof/>
          <w:kern w:val="2"/>
          <w:sz w:val="24"/>
          <w:szCs w:val="24"/>
          <w:lang w:val="en-GB"/>
          <w14:ligatures w14:val="standardContextual"/>
        </w:rPr>
      </w:pPr>
      <w:hyperlink w:anchor="_Toc208244980" w:history="1">
        <w:r w:rsidRPr="00F74C08">
          <w:rPr>
            <w:rStyle w:val="Hyperlink"/>
            <w:rFonts w:ascii="Times New Roman" w:hAnsi="Times New Roman" w:cs="Times New Roman"/>
            <w:noProof/>
          </w:rPr>
          <w:t>II.35</w:t>
        </w:r>
        <w:r>
          <w:rPr>
            <w:noProof/>
            <w:kern w:val="2"/>
            <w:sz w:val="24"/>
            <w:szCs w:val="24"/>
            <w:lang w:val="en-GB"/>
            <w14:ligatures w14:val="standardContextual"/>
          </w:rPr>
          <w:tab/>
        </w:r>
        <w:r w:rsidRPr="00F74C08">
          <w:rPr>
            <w:rStyle w:val="Hyperlink"/>
            <w:rFonts w:ascii="Times New Roman" w:hAnsi="Times New Roman" w:cs="Times New Roman"/>
            <w:noProof/>
          </w:rPr>
          <w:t xml:space="preserve">Z 15.00 — Atvasinātie instrumenti </w:t>
        </w:r>
        <w:r w:rsidRPr="00F74C08">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_Toc208244980 \h </w:instrText>
        </w:r>
        <w:r>
          <w:rPr>
            <w:noProof/>
            <w:webHidden/>
          </w:rPr>
        </w:r>
        <w:r>
          <w:rPr>
            <w:noProof/>
            <w:webHidden/>
          </w:rPr>
          <w:fldChar w:fldCharType="separate"/>
        </w:r>
        <w:r>
          <w:rPr>
            <w:noProof/>
            <w:webHidden/>
          </w:rPr>
          <w:t>96</w:t>
        </w:r>
        <w:r>
          <w:rPr>
            <w:noProof/>
            <w:webHidden/>
          </w:rPr>
          <w:fldChar w:fldCharType="end"/>
        </w:r>
      </w:hyperlink>
    </w:p>
    <w:p w14:paraId="71A99D50" w14:textId="69206A2C" w:rsidR="0083775C" w:rsidRDefault="0083775C">
      <w:pPr>
        <w:pStyle w:val="TOC2"/>
        <w:rPr>
          <w:noProof/>
          <w:kern w:val="2"/>
          <w:sz w:val="24"/>
          <w:szCs w:val="24"/>
          <w:lang w:val="en-GB"/>
          <w14:ligatures w14:val="standardContextual"/>
        </w:rPr>
      </w:pPr>
      <w:hyperlink w:anchor="_Toc208244981" w:history="1">
        <w:r w:rsidRPr="00F74C08">
          <w:rPr>
            <w:rStyle w:val="Hyperlink"/>
            <w:rFonts w:ascii="Times New Roman" w:hAnsi="Times New Roman" w:cs="Times New Roman"/>
            <w:noProof/>
          </w:rPr>
          <w:t>II.36</w:t>
        </w:r>
        <w:r>
          <w:rPr>
            <w:noProof/>
            <w:kern w:val="2"/>
            <w:sz w:val="24"/>
            <w:szCs w:val="24"/>
            <w:lang w:val="en-GB"/>
            <w14:ligatures w14:val="standardContextual"/>
          </w:rPr>
          <w:tab/>
        </w:r>
        <w:r w:rsidRPr="00F74C08">
          <w:rPr>
            <w:rStyle w:val="Hyperlink"/>
            <w:rFonts w:ascii="Times New Roman" w:hAnsi="Times New Roman" w:cs="Times New Roman"/>
            <w:noProof/>
          </w:rPr>
          <w:t xml:space="preserve">Z 16.00 — nodrošinātie finanšu darījumi, izņemot grupas iekšējos darījumus </w:t>
        </w:r>
        <w:r w:rsidRPr="00F74C08">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_Toc208244981 \h </w:instrText>
        </w:r>
        <w:r>
          <w:rPr>
            <w:noProof/>
            <w:webHidden/>
          </w:rPr>
        </w:r>
        <w:r>
          <w:rPr>
            <w:noProof/>
            <w:webHidden/>
          </w:rPr>
          <w:fldChar w:fldCharType="separate"/>
        </w:r>
        <w:r>
          <w:rPr>
            <w:noProof/>
            <w:webHidden/>
          </w:rPr>
          <w:t>98</w:t>
        </w:r>
        <w:r>
          <w:rPr>
            <w:noProof/>
            <w:webHidden/>
          </w:rPr>
          <w:fldChar w:fldCharType="end"/>
        </w:r>
      </w:hyperlink>
    </w:p>
    <w:p w14:paraId="1304FEC6" w14:textId="683837F4" w:rsidR="0083775C" w:rsidRDefault="0083775C">
      <w:pPr>
        <w:pStyle w:val="TOC2"/>
        <w:rPr>
          <w:noProof/>
          <w:kern w:val="2"/>
          <w:sz w:val="24"/>
          <w:szCs w:val="24"/>
          <w:lang w:val="en-GB"/>
          <w14:ligatures w14:val="standardContextual"/>
        </w:rPr>
      </w:pPr>
      <w:hyperlink w:anchor="_Toc208244982" w:history="1">
        <w:r w:rsidRPr="00F74C08">
          <w:rPr>
            <w:rStyle w:val="Hyperlink"/>
            <w:rFonts w:ascii="Times New Roman" w:hAnsi="Times New Roman" w:cs="Times New Roman"/>
            <w:noProof/>
          </w:rPr>
          <w:t>II.37</w:t>
        </w:r>
        <w:r>
          <w:rPr>
            <w:noProof/>
            <w:kern w:val="2"/>
            <w:sz w:val="24"/>
            <w:szCs w:val="24"/>
            <w:lang w:val="en-GB"/>
            <w14:ligatures w14:val="standardContextual"/>
          </w:rPr>
          <w:tab/>
        </w:r>
        <w:r w:rsidRPr="00F74C08">
          <w:rPr>
            <w:rStyle w:val="Hyperlink"/>
            <w:rFonts w:ascii="Times New Roman" w:hAnsi="Times New Roman" w:cs="Times New Roman"/>
            <w:noProof/>
          </w:rPr>
          <w:t xml:space="preserve">Z 17.00 — Citas nefinanšu saistības (kas nav iekļautas citās cilnēs, izņemot grupas iekšējās saistības) </w:t>
        </w:r>
        <w:r w:rsidRPr="00F74C08">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_Toc208244982 \h </w:instrText>
        </w:r>
        <w:r>
          <w:rPr>
            <w:noProof/>
            <w:webHidden/>
          </w:rPr>
        </w:r>
        <w:r>
          <w:rPr>
            <w:noProof/>
            <w:webHidden/>
          </w:rPr>
          <w:fldChar w:fldCharType="separate"/>
        </w:r>
        <w:r>
          <w:rPr>
            <w:noProof/>
            <w:webHidden/>
          </w:rPr>
          <w:t>100</w:t>
        </w:r>
        <w:r>
          <w:rPr>
            <w:noProof/>
            <w:webHidden/>
          </w:rPr>
          <w:fldChar w:fldCharType="end"/>
        </w:r>
      </w:hyperlink>
    </w:p>
    <w:p w14:paraId="41AEBD62" w14:textId="31925A14" w:rsidR="0083775C" w:rsidRDefault="0083775C">
      <w:pPr>
        <w:pStyle w:val="TOC2"/>
        <w:rPr>
          <w:noProof/>
          <w:kern w:val="2"/>
          <w:sz w:val="24"/>
          <w:szCs w:val="24"/>
          <w:lang w:val="en-GB"/>
          <w14:ligatures w14:val="standardContextual"/>
        </w:rPr>
      </w:pPr>
      <w:hyperlink w:anchor="_Toc208244983" w:history="1">
        <w:r w:rsidRPr="00F74C08">
          <w:rPr>
            <w:rStyle w:val="Hyperlink"/>
            <w:noProof/>
          </w:rPr>
          <w:t>II.38</w:t>
        </w:r>
        <w:r>
          <w:rPr>
            <w:noProof/>
            <w:kern w:val="2"/>
            <w:sz w:val="24"/>
            <w:szCs w:val="24"/>
            <w:lang w:val="en-GB"/>
            <w14:ligatures w14:val="standardContextual"/>
          </w:rPr>
          <w:tab/>
        </w:r>
        <w:r w:rsidRPr="00F74C08">
          <w:rPr>
            <w:rStyle w:val="Hyperlink"/>
            <w:noProof/>
          </w:rPr>
          <w:t>I pielikums — attiecībā uz Z 09.01–c0050 izmantojamo FTI saraksts</w:t>
        </w:r>
        <w:r>
          <w:rPr>
            <w:noProof/>
            <w:webHidden/>
          </w:rPr>
          <w:tab/>
        </w:r>
        <w:r>
          <w:rPr>
            <w:noProof/>
            <w:webHidden/>
          </w:rPr>
          <w:fldChar w:fldCharType="begin"/>
        </w:r>
        <w:r>
          <w:rPr>
            <w:noProof/>
            <w:webHidden/>
          </w:rPr>
          <w:instrText xml:space="preserve"> PAGEREF _Toc208244983 \h </w:instrText>
        </w:r>
        <w:r>
          <w:rPr>
            <w:noProof/>
            <w:webHidden/>
          </w:rPr>
        </w:r>
        <w:r>
          <w:rPr>
            <w:noProof/>
            <w:webHidden/>
          </w:rPr>
          <w:fldChar w:fldCharType="separate"/>
        </w:r>
        <w:r>
          <w:rPr>
            <w:noProof/>
            <w:webHidden/>
          </w:rPr>
          <w:t>102</w:t>
        </w:r>
        <w:r>
          <w:rPr>
            <w:noProof/>
            <w:webHidden/>
          </w:rPr>
          <w:fldChar w:fldCharType="end"/>
        </w:r>
      </w:hyperlink>
    </w:p>
    <w:p w14:paraId="7FE1B2E2" w14:textId="67A42F11" w:rsidR="00952395" w:rsidRDefault="0083775C">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952395" w:rsidRDefault="00952395">
      <w:pPr>
        <w:rPr>
          <w:rFonts w:ascii="Times New Roman" w:hAnsi="Times New Roman" w:cs="Times New Roman"/>
          <w:b/>
          <w:color w:val="000000" w:themeColor="text1"/>
          <w:sz w:val="20"/>
          <w:szCs w:val="20"/>
        </w:rPr>
      </w:pPr>
    </w:p>
    <w:p w14:paraId="7FE1B2E4" w14:textId="77777777" w:rsidR="00952395" w:rsidRDefault="00952395">
      <w:pPr>
        <w:pStyle w:val="ListParagraph"/>
        <w:rPr>
          <w:rFonts w:ascii="Times New Roman" w:hAnsi="Times New Roman"/>
          <w:b/>
          <w:color w:val="000000" w:themeColor="text1"/>
          <w:sz w:val="20"/>
          <w:szCs w:val="20"/>
        </w:rPr>
      </w:pPr>
    </w:p>
    <w:p w14:paraId="7FE1B2E5" w14:textId="77777777" w:rsidR="00952395" w:rsidRDefault="0083775C">
      <w:pPr>
        <w:pStyle w:val="P68B1DB1-Normal3"/>
        <w:spacing w:after="200" w:line="276" w:lineRule="auto"/>
        <w:rPr>
          <w:rFonts w:eastAsiaTheme="majorEastAsia"/>
          <w:kern w:val="28"/>
        </w:rPr>
      </w:pPr>
      <w:bookmarkStart w:id="0" w:name="_Toc492542318"/>
      <w:r>
        <w:br w:type="page"/>
      </w:r>
    </w:p>
    <w:p w14:paraId="7FE1B2E6" w14:textId="77777777" w:rsidR="00952395" w:rsidRDefault="0083775C">
      <w:pPr>
        <w:pStyle w:val="P68B1DB1-Instructionsberschrift24"/>
        <w:numPr>
          <w:ilvl w:val="0"/>
          <w:numId w:val="49"/>
        </w:numPr>
        <w:ind w:left="357" w:hanging="357"/>
      </w:pPr>
      <w:bookmarkStart w:id="1" w:name="_Toc81454170"/>
      <w:bookmarkStart w:id="2" w:name="_Toc208244935"/>
      <w:r>
        <w:lastRenderedPageBreak/>
        <w:t>Vispārīgi norādījumi</w:t>
      </w:r>
      <w:bookmarkEnd w:id="0"/>
      <w:bookmarkEnd w:id="1"/>
      <w:bookmarkEnd w:id="2"/>
    </w:p>
    <w:p w14:paraId="7FE1B2E7" w14:textId="77777777" w:rsidR="00952395" w:rsidRDefault="0083775C">
      <w:pPr>
        <w:pStyle w:val="P68B1DB1-Instructionsberschrift25"/>
        <w:numPr>
          <w:ilvl w:val="1"/>
          <w:numId w:val="49"/>
        </w:numPr>
        <w:ind w:left="357" w:hanging="357"/>
      </w:pPr>
      <w:bookmarkStart w:id="3" w:name="_Toc81454171"/>
      <w:bookmarkStart w:id="4" w:name="_Toc208244936"/>
      <w:r>
        <w:t>Konstrukcija</w:t>
      </w:r>
      <w:bookmarkEnd w:id="3"/>
      <w:bookmarkEnd w:id="4"/>
    </w:p>
    <w:p w14:paraId="7FE1B2E8" w14:textId="261F32BB" w:rsidR="00952395" w:rsidRDefault="0083775C">
      <w:pPr>
        <w:pStyle w:val="P68B1DB1-InstructionsText26"/>
        <w:numPr>
          <w:ilvl w:val="0"/>
          <w:numId w:val="71"/>
        </w:numPr>
        <w:spacing w:before="0"/>
        <w:ind w:left="714" w:hanging="357"/>
      </w:pPr>
      <w:r>
        <w:t>Satvaru veido 29 veidnes, kas sakārtotas 6 blokos.</w:t>
      </w:r>
    </w:p>
    <w:p w14:paraId="7FE1B2EA" w14:textId="45B1FB28" w:rsidR="00952395" w:rsidRDefault="0083775C">
      <w:pPr>
        <w:pStyle w:val="P68B1DB1-body7"/>
        <w:numPr>
          <w:ilvl w:val="0"/>
          <w:numId w:val="61"/>
        </w:numPr>
      </w:pPr>
      <w:r>
        <w:t>“Vispārīga informācija”, kurā sniegts pārskats par grupas organizatorisko struktūru un tās vienībām, aktīvu sadalījumu un riska darījumu vērtībām. Šajā blokā ir veidnes:</w:t>
      </w:r>
    </w:p>
    <w:p w14:paraId="7FE1B2EB" w14:textId="75468367" w:rsidR="00952395" w:rsidRDefault="0083775C">
      <w:pPr>
        <w:pStyle w:val="P68B1DB1-body7"/>
        <w:numPr>
          <w:ilvl w:val="1"/>
          <w:numId w:val="207"/>
        </w:numPr>
      </w:pPr>
      <w:r>
        <w:t>Z 01.01 — Juridiskas vienības (1.ORG)”</w:t>
      </w:r>
    </w:p>
    <w:p w14:paraId="7FE1B2EC" w14:textId="77777777" w:rsidR="00952395" w:rsidRDefault="0083775C">
      <w:pPr>
        <w:pStyle w:val="P68B1DB1-body7"/>
        <w:numPr>
          <w:ilvl w:val="1"/>
          <w:numId w:val="207"/>
        </w:numPr>
      </w:pPr>
      <w:r>
        <w:t>Z 01.02 — īpašnieku struktūra (ORG 2)</w:t>
      </w:r>
    </w:p>
    <w:p w14:paraId="7FE1B2ED" w14:textId="0B29A8FB" w:rsidR="00952395" w:rsidRDefault="0083775C">
      <w:pPr>
        <w:pStyle w:val="P68B1DB1-body7"/>
        <w:numPr>
          <w:ilvl w:val="0"/>
          <w:numId w:val="61"/>
        </w:numPr>
      </w:pPr>
      <w:r>
        <w:t>“Kopējā informācija par bilances un ārpusbilances posteņiem”, kurā sniegta finanšu informācija par saistībām, pašu kapitālu, finansiālajām saiknēm starp grupas vienībām, saistībām pret nozīmīgākajiem darījumu partneriem un ārpusbilances posteņiem, kas saņemti no galvenajiem darījumu partneriem, kā arī par noguldījumu apdrošināšanu. Šajā blokā ir 7 veidnes:</w:t>
      </w:r>
    </w:p>
    <w:p w14:paraId="7FE1B2EE" w14:textId="77777777" w:rsidR="00952395" w:rsidRDefault="0083775C">
      <w:pPr>
        <w:pStyle w:val="P68B1DB1-body7"/>
        <w:numPr>
          <w:ilvl w:val="0"/>
          <w:numId w:val="208"/>
        </w:numPr>
      </w:pPr>
      <w:r>
        <w:t>“Z 02.00 — saistību struktūra (LIAB 1)”;</w:t>
      </w:r>
    </w:p>
    <w:p w14:paraId="7FE1B2EF" w14:textId="584458BC" w:rsidR="00952395" w:rsidRDefault="0083775C">
      <w:pPr>
        <w:pStyle w:val="P68B1DB1-body7"/>
        <w:numPr>
          <w:ilvl w:val="0"/>
          <w:numId w:val="208"/>
        </w:numPr>
      </w:pPr>
      <w:r>
        <w:t>“Z 03.01 — pašu kapitāla prasības bankām (LIAB 2)”;</w:t>
      </w:r>
    </w:p>
    <w:p w14:paraId="7FE1B2F0" w14:textId="77777777" w:rsidR="00952395" w:rsidRDefault="0083775C">
      <w:pPr>
        <w:pStyle w:val="P68B1DB1-body7"/>
        <w:numPr>
          <w:ilvl w:val="0"/>
          <w:numId w:val="208"/>
        </w:numPr>
      </w:pPr>
      <w:r>
        <w:t>“Z 03.02 — pašu kapitāla prasības investīciju firmām (LIAB 3)”;</w:t>
      </w:r>
    </w:p>
    <w:p w14:paraId="7FE1B2F2" w14:textId="77777777" w:rsidR="00952395" w:rsidRDefault="0083775C">
      <w:pPr>
        <w:pStyle w:val="P68B1DB1-body7"/>
        <w:numPr>
          <w:ilvl w:val="0"/>
          <w:numId w:val="208"/>
        </w:numPr>
      </w:pPr>
      <w:r>
        <w:t>“Z 04.00 — grupas iekšējās finansiālās saiknes (LIAB 4)”;</w:t>
      </w:r>
    </w:p>
    <w:p w14:paraId="7FE1B2F3" w14:textId="780D871C" w:rsidR="00952395" w:rsidRDefault="0083775C">
      <w:pPr>
        <w:pStyle w:val="P68B1DB1-body7"/>
        <w:numPr>
          <w:ilvl w:val="0"/>
          <w:numId w:val="208"/>
        </w:numPr>
      </w:pPr>
      <w:r>
        <w:t>“Z 05.01 — nozīmīgākie saistību partneri (LIAB 5)”;</w:t>
      </w:r>
    </w:p>
    <w:p w14:paraId="7FE1B2F4" w14:textId="510CE128" w:rsidR="00952395" w:rsidRDefault="0083775C">
      <w:pPr>
        <w:pStyle w:val="P68B1DB1-body7"/>
        <w:numPr>
          <w:ilvl w:val="0"/>
          <w:numId w:val="208"/>
        </w:numPr>
      </w:pPr>
      <w:r>
        <w:t>“Z 05.02 — nozīmīgākie ārpusbilances darījumu partneri (LIAB 6)”;</w:t>
      </w:r>
    </w:p>
    <w:p w14:paraId="7FE1B2F5" w14:textId="762695F7" w:rsidR="00952395" w:rsidRDefault="0083775C">
      <w:pPr>
        <w:pStyle w:val="P68B1DB1-body7"/>
        <w:numPr>
          <w:ilvl w:val="0"/>
          <w:numId w:val="208"/>
        </w:numPr>
      </w:pPr>
      <w:r>
        <w:t>“Z 06.00 — noguldījumu apdrošināšana (LIAB 7)”.</w:t>
      </w:r>
    </w:p>
    <w:p w14:paraId="7FE1B2F6" w14:textId="75559FD1" w:rsidR="00952395" w:rsidRDefault="0083775C">
      <w:pPr>
        <w:pStyle w:val="P68B1DB1-body7"/>
        <w:numPr>
          <w:ilvl w:val="0"/>
          <w:numId w:val="61"/>
        </w:numPr>
      </w:pPr>
      <w:r>
        <w:t>“Kritiski svarīgas funkcijas”, kas sniedz pārskatu par kritiski svarīgajām funkcijām un sasaista tās ar juridiskām personām, galvenajiem darbības virzieniem. Šajā blokā ir 4 veidnes:</w:t>
      </w:r>
    </w:p>
    <w:p w14:paraId="7FE1B2F7" w14:textId="433A5E71" w:rsidR="00952395" w:rsidRDefault="0083775C">
      <w:pPr>
        <w:pStyle w:val="P68B1DB1-body7"/>
        <w:numPr>
          <w:ilvl w:val="1"/>
          <w:numId w:val="209"/>
        </w:numPr>
      </w:pPr>
      <w:r>
        <w:t xml:space="preserve">Z 07.01 — ekonomisko funkciju kritiskā svarīguma novērtējums (FUNC 1), </w:t>
      </w:r>
    </w:p>
    <w:p w14:paraId="7FE1B2F8" w14:textId="3145F629" w:rsidR="00952395" w:rsidRDefault="0083775C">
      <w:pPr>
        <w:pStyle w:val="P68B1DB1-body7"/>
        <w:numPr>
          <w:ilvl w:val="1"/>
          <w:numId w:val="209"/>
        </w:numPr>
      </w:pPr>
      <w:r>
        <w:t xml:space="preserve">Z 07.02 — kritiski svarīgo funkciju sasaistīšana pēc juridiskajām personām (FUNC 2) </w:t>
      </w:r>
    </w:p>
    <w:p w14:paraId="7FE1B2F9" w14:textId="1FE59149" w:rsidR="00952395" w:rsidRDefault="0083775C">
      <w:pPr>
        <w:pStyle w:val="P68B1DB1-body7"/>
        <w:numPr>
          <w:ilvl w:val="1"/>
          <w:numId w:val="209"/>
        </w:numPr>
      </w:pPr>
      <w:r>
        <w:t xml:space="preserve">Z 07.03 — pamatdarbības virzienu sasaistīšana ar juridiskajām personām (FUNC 3) </w:t>
      </w:r>
    </w:p>
    <w:p w14:paraId="7FE1B2FB" w14:textId="3D116B7E" w:rsidR="00952395" w:rsidRDefault="0083775C">
      <w:pPr>
        <w:pStyle w:val="P68B1DB1-body7"/>
        <w:ind w:left="1794"/>
      </w:pPr>
      <w:r>
        <w:t>Z 07.04 — kritiski svarīgo funkciju sasaistīšana ar pamatdarbības virzieniem (FUNC 4):</w:t>
      </w:r>
    </w:p>
    <w:p w14:paraId="7FE1B2FC" w14:textId="77777777" w:rsidR="00952395" w:rsidRDefault="0083775C">
      <w:pPr>
        <w:pStyle w:val="P68B1DB1-body7"/>
        <w:numPr>
          <w:ilvl w:val="0"/>
          <w:numId w:val="61"/>
        </w:numPr>
      </w:pPr>
      <w:bookmarkStart w:id="5" w:name="_Hlk160696385"/>
      <w:r>
        <w:t>Pakalpojumi un vienības, kas nodrošina lietotāju un pakalpojumu sniedzēju iedalījumu un kartē tos pēc ekonomiskajām funkcijām un darbības virzieniem</w:t>
      </w:r>
      <w:bookmarkEnd w:id="5"/>
      <w:r>
        <w:t>:</w:t>
      </w:r>
    </w:p>
    <w:p w14:paraId="7FE1B2FD" w14:textId="77777777" w:rsidR="00952395" w:rsidRDefault="0083775C">
      <w:pPr>
        <w:pStyle w:val="P68B1DB1-body7"/>
        <w:numPr>
          <w:ilvl w:val="1"/>
          <w:numId w:val="210"/>
        </w:numPr>
      </w:pPr>
      <w:r>
        <w:t>Z 08.01 — nozīmīgi pakalpojumi (SERV 1)</w:t>
      </w:r>
    </w:p>
    <w:p w14:paraId="7FE1B2FE" w14:textId="77777777" w:rsidR="00952395" w:rsidRDefault="0083775C">
      <w:pPr>
        <w:pStyle w:val="P68B1DB1-body7"/>
        <w:numPr>
          <w:ilvl w:val="1"/>
          <w:numId w:val="210"/>
        </w:numPr>
      </w:pPr>
      <w:r>
        <w:t>Z 08.02 — Attiecīgie pakalpojumi — sasaiste ar aktīviem (SERV 2)</w:t>
      </w:r>
    </w:p>
    <w:p w14:paraId="7FE1B2FF" w14:textId="77777777" w:rsidR="00952395" w:rsidRDefault="0083775C">
      <w:pPr>
        <w:pStyle w:val="P68B1DB1-body7"/>
        <w:numPr>
          <w:ilvl w:val="1"/>
          <w:numId w:val="210"/>
        </w:numPr>
      </w:pPr>
      <w:r>
        <w:t>Z 08.03 — Attiecīgie pakalpojumi — sasaistīšana ar lomām (SERV 3)</w:t>
      </w:r>
    </w:p>
    <w:p w14:paraId="7FE1B300" w14:textId="77777777" w:rsidR="00952395" w:rsidRDefault="0083775C">
      <w:pPr>
        <w:pStyle w:val="P68B1DB1-body7"/>
        <w:numPr>
          <w:ilvl w:val="1"/>
          <w:numId w:val="210"/>
        </w:numPr>
      </w:pPr>
      <w:r>
        <w:t>Z 08.04 — Attiecīgie pakalpojumi — sasaistīšana ar kritiski svarīgām funkcijām (SERV 4)</w:t>
      </w:r>
    </w:p>
    <w:p w14:paraId="7FE1B301" w14:textId="77777777" w:rsidR="00952395" w:rsidRDefault="0083775C">
      <w:pPr>
        <w:pStyle w:val="P68B1DB1-body7"/>
        <w:numPr>
          <w:ilvl w:val="1"/>
          <w:numId w:val="210"/>
        </w:numPr>
      </w:pPr>
      <w:r>
        <w:lastRenderedPageBreak/>
        <w:t>Z 08.05 — Attiecīgie pakalpojumi — sasaistīšana ar galvenajām darbības jomām (SERV 5)</w:t>
      </w:r>
    </w:p>
    <w:p w14:paraId="7FE1B303" w14:textId="397A4C74" w:rsidR="00952395" w:rsidRDefault="0083775C">
      <w:pPr>
        <w:pStyle w:val="P68B1DB1-body7"/>
        <w:numPr>
          <w:ilvl w:val="0"/>
          <w:numId w:val="61"/>
        </w:numPr>
      </w:pPr>
      <w:r>
        <w:t>Ziņošana par FMI pakalpojumiem</w:t>
      </w:r>
    </w:p>
    <w:p w14:paraId="7FE1B304" w14:textId="110EA9FD" w:rsidR="00952395" w:rsidRDefault="0083775C">
      <w:pPr>
        <w:pStyle w:val="P68B1DB1-body7"/>
        <w:numPr>
          <w:ilvl w:val="1"/>
          <w:numId w:val="211"/>
        </w:numPr>
      </w:pPr>
      <w:r>
        <w:t>Z 09.01 — FMI pakalpojumi — pakalpojumu sniedzēji un lietotāji (1. FMI)</w:t>
      </w:r>
    </w:p>
    <w:p w14:paraId="7FE1B305" w14:textId="77777777" w:rsidR="00952395" w:rsidRDefault="0083775C">
      <w:pPr>
        <w:pStyle w:val="P68B1DB1-body7"/>
        <w:numPr>
          <w:ilvl w:val="1"/>
          <w:numId w:val="211"/>
        </w:numPr>
      </w:pPr>
      <w:r>
        <w:t>Z 09.02 — FMI pakalpojumi — sasaistīšana ar kritiski svarīgām un būtiskām FMI (2. FMI)</w:t>
      </w:r>
    </w:p>
    <w:p w14:paraId="7FE1B306" w14:textId="77777777" w:rsidR="00952395" w:rsidRDefault="0083775C">
      <w:pPr>
        <w:pStyle w:val="P68B1DB1-body7"/>
        <w:numPr>
          <w:ilvl w:val="1"/>
          <w:numId w:val="211"/>
        </w:numPr>
      </w:pPr>
      <w:r>
        <w:t>Z 09.03 — FMI pakalpojumi — galvenie rādītāji (3. FMI)</w:t>
      </w:r>
    </w:p>
    <w:p w14:paraId="7FE1B307" w14:textId="77777777" w:rsidR="00952395" w:rsidRDefault="0083775C">
      <w:pPr>
        <w:pStyle w:val="P68B1DB1-body7"/>
        <w:numPr>
          <w:ilvl w:val="1"/>
          <w:numId w:val="211"/>
        </w:numPr>
      </w:pPr>
      <w:r>
        <w:t>Z 09.04 — FTI pakalpojumi — CCP — Alternatīvo pakalpojumu sniedzēji (4. FMI)</w:t>
      </w:r>
    </w:p>
    <w:p w14:paraId="7FE1B30B" w14:textId="05DD2D8B" w:rsidR="00952395" w:rsidRDefault="0083775C">
      <w:pPr>
        <w:pStyle w:val="P68B1DB1-body7"/>
        <w:numPr>
          <w:ilvl w:val="0"/>
          <w:numId w:val="61"/>
        </w:numPr>
      </w:pPr>
      <w:r>
        <w:t>Detalizēta atbildības datu paziņošana iekšējās rekapitalizācijas novērtēšanai</w:t>
      </w:r>
    </w:p>
    <w:p w14:paraId="7FE1B30C" w14:textId="6ACC8549" w:rsidR="00952395" w:rsidRDefault="0083775C">
      <w:pPr>
        <w:pStyle w:val="P68B1DB1-body7"/>
        <w:numPr>
          <w:ilvl w:val="0"/>
          <w:numId w:val="217"/>
        </w:numPr>
      </w:pPr>
      <w:r>
        <w:t>Z 11.00 — Grupas iekšējās saistības (izņemot atvasinātos instrumentus) (LIAB-G-1)</w:t>
      </w:r>
    </w:p>
    <w:p w14:paraId="7FE1B30D" w14:textId="140BB302" w:rsidR="00952395" w:rsidRDefault="0083775C">
      <w:pPr>
        <w:pStyle w:val="P68B1DB1-body7"/>
        <w:numPr>
          <w:ilvl w:val="0"/>
          <w:numId w:val="217"/>
        </w:numPr>
      </w:pPr>
      <w:r>
        <w:t>Z 12.00 — vērtspapīri (tostarp pirmā līmeņa pamata kapitāla, pirmā līmeņa papildu kapitāla un otrā līmeņa kapitāla instrumenti, izņemot grupas iekšējos instrumentus) (LIAB-G-2)</w:t>
      </w:r>
    </w:p>
    <w:p w14:paraId="7FE1B30E" w14:textId="67922446" w:rsidR="00952395" w:rsidRDefault="0083775C">
      <w:pPr>
        <w:pStyle w:val="P68B1DB1-body7"/>
        <w:numPr>
          <w:ilvl w:val="0"/>
          <w:numId w:val="217"/>
        </w:numPr>
      </w:pPr>
      <w:r>
        <w:t>Z 13.00 — visi noguldījumi (izņemot grupas iekšējos noguldījumus) (LIAB-G-3)</w:t>
      </w:r>
    </w:p>
    <w:p w14:paraId="7FE1B30F" w14:textId="2D8F046E" w:rsidR="00952395" w:rsidRDefault="0083775C">
      <w:pPr>
        <w:pStyle w:val="P68B1DB1-body7"/>
        <w:numPr>
          <w:ilvl w:val="0"/>
          <w:numId w:val="217"/>
        </w:numPr>
      </w:pPr>
      <w:r>
        <w:t>Z 14.00 — Citas finanšu saistības (LIAB-G-4)</w:t>
      </w:r>
    </w:p>
    <w:p w14:paraId="7FE1B310" w14:textId="69B08C3E" w:rsidR="00952395" w:rsidRDefault="0083775C">
      <w:pPr>
        <w:pStyle w:val="P68B1DB1-body7"/>
        <w:numPr>
          <w:ilvl w:val="1"/>
          <w:numId w:val="211"/>
        </w:numPr>
      </w:pPr>
      <w:r>
        <w:t>Z 15.00 — Atvasinātie instrumenti (LIAB-G-5)</w:t>
      </w:r>
    </w:p>
    <w:p w14:paraId="7FE1B311" w14:textId="2130BFF9" w:rsidR="00952395" w:rsidRDefault="0083775C">
      <w:pPr>
        <w:pStyle w:val="P68B1DB1-body7"/>
        <w:numPr>
          <w:ilvl w:val="1"/>
          <w:numId w:val="211"/>
        </w:numPr>
      </w:pPr>
      <w:r>
        <w:t>Z 16.00 — nodrošinātās finanses, izņemot grupas iekšējo finansējumu (LIAB-G-6)</w:t>
      </w:r>
    </w:p>
    <w:p w14:paraId="7FE1B312" w14:textId="77742066" w:rsidR="00952395" w:rsidRDefault="0083775C">
      <w:pPr>
        <w:pStyle w:val="P68B1DB1-body7"/>
        <w:numPr>
          <w:ilvl w:val="1"/>
          <w:numId w:val="211"/>
        </w:numPr>
      </w:pPr>
      <w:r>
        <w:t>Z 17.00 — Citas nefinanšu saistības (LIAB-G-7)</w:t>
      </w:r>
    </w:p>
    <w:p w14:paraId="7FE1B313" w14:textId="77777777" w:rsidR="00952395" w:rsidRDefault="00952395">
      <w:pPr>
        <w:pStyle w:val="body"/>
        <w:ind w:left="426"/>
        <w:rPr>
          <w:rFonts w:ascii="Times New Roman" w:hAnsi="Times New Roman" w:cs="Times New Roman"/>
          <w:color w:val="000000" w:themeColor="text1"/>
          <w:sz w:val="20"/>
          <w:szCs w:val="20"/>
        </w:rPr>
      </w:pPr>
    </w:p>
    <w:p w14:paraId="7FE1B314" w14:textId="77777777" w:rsidR="00952395" w:rsidRDefault="0083775C">
      <w:pPr>
        <w:pStyle w:val="P68B1DB1-Instructionsberschrift25"/>
        <w:numPr>
          <w:ilvl w:val="1"/>
          <w:numId w:val="49"/>
        </w:numPr>
        <w:ind w:left="357" w:hanging="357"/>
      </w:pPr>
      <w:bookmarkStart w:id="6" w:name="_Toc81454172"/>
      <w:bookmarkStart w:id="7" w:name="_Toc208244937"/>
      <w:r>
        <w:t>Atsauce</w:t>
      </w:r>
      <w:bookmarkEnd w:id="6"/>
      <w:bookmarkEnd w:id="7"/>
    </w:p>
    <w:p w14:paraId="7FE1B315" w14:textId="77777777" w:rsidR="00952395" w:rsidRDefault="0083775C">
      <w:pPr>
        <w:pStyle w:val="P68B1DB1-InstructionsText26"/>
        <w:numPr>
          <w:ilvl w:val="0"/>
          <w:numId w:val="225"/>
        </w:numPr>
        <w:spacing w:before="0"/>
      </w:pPr>
      <w:r>
        <w:t>Šajā pielikumā piemēro šādus saīsinājumus:</w:t>
      </w:r>
    </w:p>
    <w:p w14:paraId="7FE1B317" w14:textId="77777777" w:rsidR="00952395" w:rsidRDefault="0083775C">
      <w:pPr>
        <w:pStyle w:val="P68B1DB1-ListParagraph8"/>
        <w:numPr>
          <w:ilvl w:val="0"/>
          <w:numId w:val="60"/>
        </w:numPr>
        <w:ind w:left="1074"/>
        <w:jc w:val="both"/>
      </w:pPr>
      <w:r>
        <w:t>“CPMI” ir Starptautisko norēķinu bankas Maksājumu un tirgus infrastruktūru komiteja;</w:t>
      </w:r>
    </w:p>
    <w:p w14:paraId="7FE1B318" w14:textId="36318AB0" w:rsidR="00952395" w:rsidRDefault="0083775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ir FINREP veidnes, kas iekļautas Komisijas Īstenošanas regulas (ES) 2024/3117 I pielikumā</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952395" w:rsidRDefault="0083775C">
      <w:pPr>
        <w:pStyle w:val="P68B1DB1-ListParagraph8"/>
        <w:numPr>
          <w:ilvl w:val="0"/>
          <w:numId w:val="60"/>
        </w:numPr>
        <w:ind w:left="1074"/>
        <w:jc w:val="both"/>
      </w:pPr>
      <w:r>
        <w:t>“COREP (OF)” ir COREP (OF) veidnes, kas iekļautas Komisijas Īstenošanas regulas (ES) 2024/3117 I pielikumā;</w:t>
      </w:r>
    </w:p>
    <w:p w14:paraId="7FE1B31A" w14:textId="2492C34D" w:rsidR="00952395" w:rsidRDefault="0083775C">
      <w:pPr>
        <w:pStyle w:val="P68B1DB1-ListParagraph8"/>
        <w:numPr>
          <w:ilvl w:val="0"/>
          <w:numId w:val="60"/>
        </w:numPr>
        <w:ind w:left="1074"/>
        <w:jc w:val="both"/>
      </w:pPr>
      <w:r>
        <w:t>“COREP (LR)” ir COREP (LR) veidnes, kas iekļautas Komisijas Īstenošanas regulas (ES) 2024/3117 I pielikumā;</w:t>
      </w:r>
    </w:p>
    <w:p w14:paraId="7FE1B31B" w14:textId="77777777" w:rsidR="00952395" w:rsidRDefault="0083775C">
      <w:pPr>
        <w:pStyle w:val="P68B1DB1-ListParagraph8"/>
        <w:numPr>
          <w:ilvl w:val="0"/>
          <w:numId w:val="60"/>
        </w:numPr>
        <w:ind w:left="1074"/>
        <w:jc w:val="both"/>
      </w:pPr>
      <w:r>
        <w:t>“FSP” ir Finanšu stabilitātes padome;</w:t>
      </w:r>
    </w:p>
    <w:p w14:paraId="7FE1B31C" w14:textId="77777777" w:rsidR="00952395" w:rsidRDefault="0083775C">
      <w:pPr>
        <w:pStyle w:val="P68B1DB1-ListParagraph9"/>
        <w:numPr>
          <w:ilvl w:val="0"/>
          <w:numId w:val="60"/>
        </w:numPr>
        <w:ind w:left="1074"/>
        <w:jc w:val="both"/>
        <w:rPr>
          <w:color w:val="000000" w:themeColor="text1"/>
          <w:sz w:val="20"/>
          <w:szCs w:val="20"/>
        </w:rPr>
      </w:pPr>
      <w:r>
        <w:rPr>
          <w:color w:val="000000" w:themeColor="text1"/>
          <w:sz w:val="20"/>
          <w:szCs w:val="20"/>
        </w:rPr>
        <w:t>“SGS” ir starptautiskie grāmatvedības standarti, kas definēti Eiropas Parlamenta un Padomes Regulas (EK) Nr. 1606/2002 2. pantā</w:t>
      </w:r>
      <w:r>
        <w:footnoteReference w:id="3"/>
      </w:r>
      <w:r>
        <w:rPr>
          <w:color w:val="000000" w:themeColor="text1"/>
          <w:sz w:val="20"/>
          <w:szCs w:val="20"/>
        </w:rPr>
        <w:t>;</w:t>
      </w:r>
    </w:p>
    <w:p w14:paraId="7FE1B31D" w14:textId="77777777" w:rsidR="00952395" w:rsidRDefault="0083775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“SFPS” ir starptautiskie finanšu pārskatu standarti, kas definēti Regulas (EK) Nr. 1606/2002 2. pantā</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952395" w:rsidRDefault="0083775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“LEI” ir juridiskās personas identifikatora kods, kura mērķis ir nodrošināt unikālu pasaules mēroga identifikāciju finanšu darījumu pusēm, kā ierosinājusi Finanšu stabilitātes padome (FSP) ir apstiprinājušas G20 valstis. Kamēr globālā LEI kodu sistēma nav sākusi pilnībā darboties, vietējā struktūrvienība, ko apstiprinājusi Regulatīvās uzraudzības komiteja (RUK), darījumu partneriem piešķir pre-LEI kodus, sīkāka informācija pieejama vietnē: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Ja attiecīgam darījumu partnerim ir juridiskas personas identifikators (LEI kods), to izmanto, lai identificētu minēto partneri;</w:t>
      </w:r>
    </w:p>
    <w:p w14:paraId="7FE1B31F" w14:textId="34CF2B95" w:rsidR="00952395" w:rsidRDefault="0083775C">
      <w:pPr>
        <w:pStyle w:val="P68B1DB1-ListParagraph8"/>
        <w:numPr>
          <w:ilvl w:val="0"/>
          <w:numId w:val="60"/>
        </w:numPr>
        <w:ind w:left="1074"/>
        <w:jc w:val="both"/>
      </w:pPr>
      <w:r>
        <w:t>“MFI ID” jeb “Monetārās finanšu iestādes” ID ir unikāls MFI identifikācijas kods MFI sarakstā, kuru ECB uztur un publicē statistikas vajadzībām saskaņā ar Eiropas Centrālās bankas Regulu (ES) 2021/379 (2021. gada 22. janvāris) par kredītiestāžu un monetāro finanšu iestāžu sektora bilances posteņiem (pārstrādāta redakcija) (ECB/2021/2), kas jānorāda, ja LEI kods jau nepastāv.</w:t>
      </w:r>
    </w:p>
    <w:p w14:paraId="7FE1B320" w14:textId="0AC7C627" w:rsidR="00952395" w:rsidRDefault="0083775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jeb “valsts vispārpieņemti grāmatvedības principi” ir valstu uzskaites ietvari, kas izstrādāti saskaņā ar Direktīvu 86/635/EEK</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952395" w:rsidRDefault="0083775C">
      <w:pPr>
        <w:pStyle w:val="P68B1DB1-ListParagraph8"/>
        <w:numPr>
          <w:ilvl w:val="0"/>
          <w:numId w:val="60"/>
        </w:numPr>
        <w:ind w:left="1074"/>
        <w:jc w:val="both"/>
      </w:pPr>
      <w:r>
        <w:t>“Operatīvais aktīvs” — aktīvs, kas nav finanšu aktīvs un kam ir jāsniedz attiecīgie pakalpojumi, piemēram, nekustamais īpašums; intelektuālais īpašums, tostarp preču zīmes, patenti un programmatūra; aparatūra; It sistēmas un lietojumprogrammas; un datu noliktavas. Operatīvie aktīvi ir kritiski svarīgi/būtiski, ja piekļuve tiem ir nepieciešama, lai sniegtu kritiski svarīgu/būtisku pakalpojumu;</w:t>
      </w:r>
    </w:p>
    <w:p w14:paraId="7FE1B322" w14:textId="77777777" w:rsidR="00952395" w:rsidRDefault="0083775C">
      <w:pPr>
        <w:pStyle w:val="P68B1DB1-ListParagraph8"/>
        <w:numPr>
          <w:ilvl w:val="0"/>
          <w:numId w:val="60"/>
        </w:numPr>
        <w:ind w:left="1074"/>
        <w:jc w:val="both"/>
      </w:pPr>
      <w:r>
        <w:t>“Attiecīgie pakalpojumi” — pakalpojumi, kas ir pamatā i) bankas kritiski svarīgajām funkcijām ekonomikai (kritiski svarīgi pakalpojumi) un ii) pamatdarbības virzieniem (pamatpakalpojumiem), attiecībā uz kuriem ir nepieciešama nepārtrauktība, lai efektīvi īstenotu noregulējuma stratēģiju. Šīs kategorijas var pārklāties. Tas pats attiecas uz operatīvajiem aktīviem un personālu.</w:t>
      </w:r>
    </w:p>
    <w:p w14:paraId="7FE1B323" w14:textId="77777777" w:rsidR="00952395" w:rsidRDefault="0083775C">
      <w:pPr>
        <w:pStyle w:val="P68B1DB1-ListParagraph8"/>
        <w:numPr>
          <w:ilvl w:val="0"/>
          <w:numId w:val="60"/>
        </w:numPr>
        <w:ind w:left="1074"/>
        <w:jc w:val="both"/>
      </w:pPr>
      <w:r>
        <w:t>“Attiecīgās lomas” — darba pienākumi, kuru vakance noregulējumā var radīt šķērsli kritiski svarīgo funkciju un galveno darbības jomu nepārtrauktībai, kas vajadzīgas noregulējuma stratēģijas efektīvai īstenošanai un jebkādai no tās izrietošai pārstrukturēšanai.</w:t>
      </w:r>
    </w:p>
    <w:p w14:paraId="7FE1B324" w14:textId="77777777" w:rsidR="00952395" w:rsidRDefault="00952395">
      <w:pPr>
        <w:pStyle w:val="ListParagraph"/>
        <w:ind w:left="1074"/>
        <w:rPr>
          <w:rFonts w:ascii="Times New Roman" w:hAnsi="Times New Roman"/>
          <w:color w:val="000000" w:themeColor="text1"/>
          <w:sz w:val="20"/>
          <w:szCs w:val="20"/>
        </w:rPr>
      </w:pPr>
    </w:p>
    <w:p w14:paraId="7FE1B325" w14:textId="77777777" w:rsidR="00952395" w:rsidRDefault="0083775C">
      <w:pPr>
        <w:pStyle w:val="P68B1DB1-Instructionsberschrift25"/>
        <w:numPr>
          <w:ilvl w:val="1"/>
          <w:numId w:val="49"/>
        </w:numPr>
        <w:ind w:left="357" w:hanging="357"/>
      </w:pPr>
      <w:bookmarkStart w:id="8" w:name="_Toc81454173"/>
      <w:bookmarkStart w:id="9" w:name="_Toc208244938"/>
      <w:r>
        <w:t>Grāmatvedības standarti</w:t>
      </w:r>
      <w:bookmarkEnd w:id="8"/>
      <w:bookmarkEnd w:id="9"/>
    </w:p>
    <w:p w14:paraId="7FE1B326" w14:textId="6C573E68" w:rsidR="00952395" w:rsidRDefault="0083775C">
      <w:pPr>
        <w:pStyle w:val="P68B1DB1-InstructionsText26"/>
        <w:numPr>
          <w:ilvl w:val="0"/>
          <w:numId w:val="71"/>
        </w:numPr>
        <w:spacing w:before="0"/>
        <w:ind w:left="714" w:hanging="357"/>
      </w:pPr>
      <w:r>
        <w:t xml:space="preserve">Ja vien šajos norādījumos nav minēts citādi, iestādes sniedz pārskatus par visām summām, pamatojoties uz uzskaites ietvaru, ko tās izmanto, lai sniegtu pārskatus par finanšu informāciju saskaņā ar Īstenošanas regulas (ES) 2024/3117 9.–11. pantu. Iestādes, kurām nav jāsniedz finanšu pārskati saskaņā ar Īstenošanas regulu (ES) 2024/3117, piemēro savu attiecīgo uzskaites ietvaru noteikumus. </w:t>
      </w:r>
    </w:p>
    <w:p w14:paraId="7FE1B327" w14:textId="77777777" w:rsidR="00952395" w:rsidRDefault="0083775C">
      <w:pPr>
        <w:pStyle w:val="P68B1DB1-InstructionsText26"/>
        <w:numPr>
          <w:ilvl w:val="0"/>
          <w:numId w:val="227"/>
        </w:numPr>
        <w:spacing w:before="0"/>
      </w:pPr>
      <w:r>
        <w:t>Iestādēm, kas sniedz pārskatus saskaņā ar SFPS, ir iekļautas atsauces uz attiecīgajiem SFPS.</w:t>
      </w:r>
    </w:p>
    <w:p w14:paraId="7FE1B328" w14:textId="77777777" w:rsidR="00952395" w:rsidRDefault="0083775C">
      <w:pPr>
        <w:pStyle w:val="P68B1DB1-Instructionsberschrift25"/>
        <w:numPr>
          <w:ilvl w:val="1"/>
          <w:numId w:val="49"/>
        </w:numPr>
        <w:ind w:left="357" w:hanging="357"/>
      </w:pPr>
      <w:bookmarkStart w:id="10" w:name="_Hlk167181695"/>
      <w:bookmarkStart w:id="11" w:name="_Toc81454174"/>
      <w:bookmarkStart w:id="12" w:name="_Toc208244939"/>
      <w:r>
        <w:t>Uzraudzības datu ziņošana</w:t>
      </w:r>
      <w:bookmarkEnd w:id="12"/>
    </w:p>
    <w:p w14:paraId="7FE1B329" w14:textId="6A020DBF" w:rsidR="00952395" w:rsidRDefault="0083775C">
      <w:pPr>
        <w:pStyle w:val="P68B1DB1-Instructionsberschrift310"/>
        <w:numPr>
          <w:ilvl w:val="4"/>
          <w:numId w:val="49"/>
        </w:numPr>
      </w:pPr>
      <w:r>
        <w:t>Ja uz pārskatu sniedzošo vienību attiecas uzraudzības pārskatu sniegšana saskaņā ar Regulu (ES)</w:t>
      </w:r>
      <w:r>
        <w:footnoteReference w:id="6"/>
      </w:r>
      <w:r>
        <w:t xml:space="preserve"> Nr. 575/2013 konsolidētā vai individuālā līmenī pieprasītajā atsauces datumā noregulējuma plānošanai, vienībai nav jādeklarē tie datu punkti, par kuriem jau ir ziņots. Noregulējuma iestādes šos datu punktus iegūs tieši no uzraudzības pārskatiem, kurus pārskatu sniedzošā vienība jau ir paziņojusi.</w:t>
      </w:r>
    </w:p>
    <w:p w14:paraId="7FE1B32A" w14:textId="05B0296B" w:rsidR="00952395" w:rsidRDefault="0083775C">
      <w:pPr>
        <w:pStyle w:val="Instructionsberschrift3"/>
        <w:numPr>
          <w:ilvl w:val="4"/>
          <w:numId w:val="49"/>
        </w:numPr>
      </w:pPr>
      <w:r>
        <w:rPr>
          <w:u w:val="none"/>
        </w:rPr>
        <w:t xml:space="preserve">Ja uz vienību neattiecas uzraudzības pārskatu sniegšana konkrētajā atsauces datumā, vienībai būs jādeklarē šie datu punkti saskaņā ar Īstenošanas regulu (ES) Nr. 20XX </w:t>
      </w:r>
      <w:r>
        <w:rPr>
          <w:highlight w:val="yellow"/>
          <w:u w:val="none"/>
        </w:rPr>
        <w:t>/XXX</w:t>
      </w:r>
      <w:r>
        <w:t xml:space="preserve">. </w:t>
      </w:r>
      <w:r>
        <w:rPr>
          <w:u w:val="none"/>
        </w:rPr>
        <w:t>.</w:t>
      </w:r>
    </w:p>
    <w:p w14:paraId="7FE1B32B" w14:textId="77777777" w:rsidR="00952395" w:rsidRDefault="0083775C">
      <w:pPr>
        <w:pStyle w:val="P68B1DB1-Instructionsberschrift25"/>
        <w:numPr>
          <w:ilvl w:val="1"/>
          <w:numId w:val="49"/>
        </w:numPr>
        <w:ind w:left="357" w:hanging="357"/>
      </w:pPr>
      <w:bookmarkStart w:id="13" w:name="_Toc208244940"/>
      <w:bookmarkEnd w:id="10"/>
      <w:r>
        <w:lastRenderedPageBreak/>
        <w:t>Konsolidācijas darbības joma</w:t>
      </w:r>
      <w:bookmarkEnd w:id="11"/>
      <w:bookmarkEnd w:id="13"/>
    </w:p>
    <w:p w14:paraId="7FE1B32C" w14:textId="77777777" w:rsidR="00952395" w:rsidRDefault="0083775C">
      <w:pPr>
        <w:pStyle w:val="P68B1DB1-InstructionsText26"/>
        <w:numPr>
          <w:ilvl w:val="0"/>
          <w:numId w:val="228"/>
        </w:numPr>
        <w:spacing w:before="0"/>
      </w:pPr>
      <w:r>
        <w:t>Atkarībā no veidnes šis satvars attiecas uz:</w:t>
      </w:r>
    </w:p>
    <w:p w14:paraId="7FE1B32D" w14:textId="77777777" w:rsidR="00952395" w:rsidRDefault="0083775C">
      <w:pPr>
        <w:pStyle w:val="P68B1DB1-numberedparagraph11"/>
        <w:numPr>
          <w:ilvl w:val="0"/>
          <w:numId w:val="81"/>
        </w:numPr>
        <w:rPr>
          <w:rFonts w:eastAsiaTheme="majorEastAsia"/>
        </w:rPr>
      </w:pPr>
      <w:r>
        <w:t>konsolidāciju, pamatojoties uz uzskaites konsolidāciju (vienības, kas iekļautas konsolidētajos finanšu pārskatos saskaņā ar piemērojamo uzskaites ietvaru);</w:t>
      </w:r>
    </w:p>
    <w:p w14:paraId="7FE1B32E" w14:textId="179BBDC6" w:rsidR="00952395" w:rsidRDefault="0083775C">
      <w:pPr>
        <w:pStyle w:val="P68B1DB1-numberedparagraph11"/>
        <w:numPr>
          <w:ilvl w:val="0"/>
          <w:numId w:val="81"/>
        </w:numPr>
        <w:rPr>
          <w:rFonts w:eastAsiaTheme="majorEastAsia"/>
        </w:rPr>
      </w:pPr>
      <w:r>
        <w:t xml:space="preserve">prudenciālo konsolidāciju (vienības, kas ir konsolidācijas tvērumā saskaņā ar Eiropas Parlamenta un Padomes Regulas (ES) Nr. 575/2013 pirmās daļas II sadaļas 2. nodaļu) ES mātesuzņēmuma līmenī; </w:t>
      </w:r>
    </w:p>
    <w:p w14:paraId="7FE1B32F" w14:textId="77777777" w:rsidR="00952395" w:rsidRDefault="0083775C">
      <w:pPr>
        <w:pStyle w:val="P68B1DB1-numberedparagraph11"/>
        <w:numPr>
          <w:ilvl w:val="0"/>
          <w:numId w:val="81"/>
        </w:numPr>
        <w:rPr>
          <w:rFonts w:eastAsiaTheme="majorEastAsia"/>
        </w:rPr>
      </w:pPr>
      <w:r>
        <w:t>noregulējuma grupas konsolidāciju noregulējuma vienības līmenī.</w:t>
      </w:r>
    </w:p>
    <w:p w14:paraId="7FE1B330" w14:textId="4B5FA476" w:rsidR="00952395" w:rsidRDefault="0083775C">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Attiecībā uz katru veidni iestādes ievēro konsolidācijas bāzi vai pamatus, kas piemērojami saskaņā ar Īstenošanas regulas (ES) Nr. </w:t>
      </w:r>
      <w:r>
        <w:rPr>
          <w:rFonts w:ascii="Times New Roman" w:hAnsi="Times New Roman" w:cs="Times New Roman"/>
          <w:sz w:val="20"/>
          <w:szCs w:val="20"/>
          <w:highlight w:val="yellow"/>
        </w:rPr>
        <w:t>20</w:t>
      </w:r>
      <w:r>
        <w:rPr>
          <w:rFonts w:ascii="Times New Roman" w:hAnsi="Times New Roman" w:cs="Times New Roman"/>
          <w:sz w:val="20"/>
          <w:szCs w:val="20"/>
        </w:rPr>
        <w:t>XX/XXX 2. līdz</w:t>
      </w:r>
      <w:r>
        <w:rPr>
          <w:rFonts w:ascii="Times New Roman" w:hAnsi="Times New Roman" w:cs="Times New Roman"/>
          <w:sz w:val="20"/>
          <w:szCs w:val="20"/>
          <w:highlight w:val="yellow"/>
        </w:rPr>
        <w:t>5.</w:t>
      </w:r>
      <w:r>
        <w:rPr>
          <w:rFonts w:ascii="Times New Roman" w:hAnsi="Times New Roman" w:cs="Times New Roman"/>
          <w:sz w:val="20"/>
          <w:szCs w:val="20"/>
        </w:rPr>
        <w:t>pantu.</w:t>
      </w:r>
    </w:p>
    <w:p w14:paraId="7FE1B331" w14:textId="77777777" w:rsidR="00952395" w:rsidRDefault="0083775C">
      <w:pPr>
        <w:pStyle w:val="P68B1DB1-Instructionsberschrift25"/>
        <w:numPr>
          <w:ilvl w:val="1"/>
          <w:numId w:val="49"/>
        </w:numPr>
        <w:ind w:left="357" w:hanging="357"/>
      </w:pPr>
      <w:bookmarkStart w:id="14" w:name="_Toc81454175"/>
      <w:bookmarkStart w:id="15" w:name="_Toc208244941"/>
      <w:r>
        <w:t>Numerācija un citas konvencijas</w:t>
      </w:r>
      <w:bookmarkEnd w:id="14"/>
      <w:bookmarkEnd w:id="15"/>
    </w:p>
    <w:p w14:paraId="7FE1B332" w14:textId="639ED14D" w:rsidR="00952395" w:rsidRDefault="0083775C">
      <w:pPr>
        <w:pStyle w:val="P68B1DB1-InstructionsText26"/>
        <w:numPr>
          <w:ilvl w:val="0"/>
          <w:numId w:val="230"/>
        </w:numPr>
        <w:spacing w:before="0"/>
      </w:pPr>
      <w:r>
        <w:t>Šajos norādījumos, atsaucoties uz veidņu slejām, rindām un ailēm, izmantota turpmāk izklāstītā marķēšanas konvencija. Šos ciparu kodus plaši izmanto validācijas noteikumos.</w:t>
      </w:r>
    </w:p>
    <w:p w14:paraId="7FE1B333" w14:textId="24776AD5" w:rsidR="00952395" w:rsidRDefault="0083775C">
      <w:pPr>
        <w:pStyle w:val="P68B1DB1-InstructionsText26"/>
        <w:numPr>
          <w:ilvl w:val="0"/>
          <w:numId w:val="230"/>
        </w:numPr>
        <w:spacing w:before="0"/>
      </w:pPr>
      <w:r>
        <w:t>Lai norādītu uz veidnes slejām, rindām un ailēm, šajos norādījumos izmanto šādu vispārēju pieraksta formu: {Veidne;Rinda;Sleja}.</w:t>
      </w:r>
    </w:p>
    <w:p w14:paraId="7FE1B334" w14:textId="144A32B1" w:rsidR="00952395" w:rsidRDefault="0083775C">
      <w:pPr>
        <w:pStyle w:val="P68B1DB1-InstructionsText26"/>
        <w:numPr>
          <w:ilvl w:val="0"/>
          <w:numId w:val="230"/>
        </w:numPr>
        <w:spacing w:before="0"/>
      </w:pPr>
      <w:r>
        <w:t>Ja validāciju veic veidnē, kurā izmantoti tikai minētās veidnes datu punkti, apzīmējumi neattiecas uz veidni: Ezers;Sleja.</w:t>
      </w:r>
    </w:p>
    <w:p w14:paraId="7FE1B335" w14:textId="77777777" w:rsidR="00952395" w:rsidRDefault="0083775C">
      <w:pPr>
        <w:pStyle w:val="P68B1DB1-InstructionsText26"/>
        <w:numPr>
          <w:ilvl w:val="0"/>
          <w:numId w:val="230"/>
        </w:numPr>
        <w:spacing w:before="0"/>
      </w:pPr>
      <w:r>
        <w:t>Ja veidnēs ir tikai viena sleja, atsaucas vienīgi uz rindām: “Veidne”;Rowθ.</w:t>
      </w:r>
    </w:p>
    <w:p w14:paraId="7FE1B336" w14:textId="77777777" w:rsidR="00952395" w:rsidRDefault="0083775C">
      <w:pPr>
        <w:pStyle w:val="P68B1DB1-InstructionsText26"/>
        <w:numPr>
          <w:ilvl w:val="0"/>
          <w:numId w:val="230"/>
        </w:numPr>
        <w:spacing w:before="0"/>
      </w:pPr>
      <w:r>
        <w:t>Zvaigznītes zīmi izmanto, lai norādītu, ka validāciju veic attiecībā uz iepriekš norādītām rindām vai slejām.</w:t>
      </w:r>
    </w:p>
    <w:p w14:paraId="7FE1B337" w14:textId="77777777" w:rsidR="00952395" w:rsidRDefault="0083775C">
      <w:pPr>
        <w:pStyle w:val="P68B1DB1-InstructionsText26"/>
        <w:numPr>
          <w:ilvl w:val="0"/>
          <w:numId w:val="230"/>
        </w:numPr>
        <w:spacing w:before="0"/>
      </w:pPr>
      <w:r>
        <w:t>Ja uz vienībām, par kurām tiek iesniegts pārskats, kāds informācijas postenis neattiecas, attiecīgo lauku atstāj tukšu.</w:t>
      </w:r>
    </w:p>
    <w:p w14:paraId="7FE1B338" w14:textId="77777777" w:rsidR="00952395" w:rsidRDefault="0083775C">
      <w:pPr>
        <w:pStyle w:val="P68B1DB1-InstructionsText26"/>
        <w:numPr>
          <w:ilvl w:val="0"/>
          <w:numId w:val="230"/>
        </w:numPr>
        <w:spacing w:before="0"/>
      </w:pPr>
      <w:r>
        <w:t>Ja šie norādījumi ietver atsauci uz primāro atslēgu, tas nozīmē sleju vai sleju kombināciju, kas unikāli identificē visas veidnes rindas. Primārā atslēga ietver unikālu vērtību katrai veidnes rindai. Tā nevar ietvert nulles vērtību.</w:t>
      </w:r>
    </w:p>
    <w:p w14:paraId="7FE1B339" w14:textId="77777777" w:rsidR="00952395" w:rsidRDefault="0083775C">
      <w:pPr>
        <w:pStyle w:val="P68B1DB1-Instructionsberschrift24"/>
        <w:numPr>
          <w:ilvl w:val="0"/>
          <w:numId w:val="49"/>
        </w:numPr>
        <w:ind w:left="357" w:hanging="357"/>
      </w:pPr>
      <w:bookmarkStart w:id="16" w:name="_Toc492542319"/>
      <w:bookmarkStart w:id="17" w:name="_Toc81454176"/>
      <w:bookmarkStart w:id="18" w:name="_Toc208244942"/>
      <w:r>
        <w:t>Norādījumi saistībā ar veidnēm</w:t>
      </w:r>
      <w:bookmarkEnd w:id="16"/>
      <w:bookmarkEnd w:id="17"/>
      <w:bookmarkEnd w:id="18"/>
    </w:p>
    <w:p w14:paraId="7FE1B33A" w14:textId="0E76C32D" w:rsidR="00952395" w:rsidRDefault="0083775C">
      <w:pPr>
        <w:pStyle w:val="P68B1DB1-Instructionsberschrift25"/>
        <w:numPr>
          <w:ilvl w:val="1"/>
          <w:numId w:val="49"/>
        </w:numPr>
        <w:ind w:left="357" w:hanging="357"/>
      </w:pPr>
      <w:bookmarkStart w:id="19" w:name="_Toc493236007"/>
      <w:bookmarkStart w:id="20" w:name="_Toc81454177"/>
      <w:bookmarkStart w:id="21" w:name="_Toc208244943"/>
      <w:bookmarkEnd w:id="19"/>
      <w:r>
        <w:t>Z 01.01 — juridiskās personas (ORG 1)</w:t>
      </w:r>
      <w:bookmarkEnd w:id="20"/>
      <w:bookmarkEnd w:id="21"/>
    </w:p>
    <w:p w14:paraId="7FE1B33B" w14:textId="77777777" w:rsidR="00952395" w:rsidRDefault="0083775C">
      <w:pPr>
        <w:pStyle w:val="Instructionsberschrift3"/>
      </w:pPr>
      <w:r>
        <w:t>Vispārīgas piezīmes</w:t>
      </w:r>
    </w:p>
    <w:p w14:paraId="7FE1B33C" w14:textId="73410408" w:rsidR="00952395" w:rsidRDefault="0083775C">
      <w:pPr>
        <w:pStyle w:val="P68B1DB1-InstructionsText26"/>
        <w:numPr>
          <w:ilvl w:val="0"/>
          <w:numId w:val="231"/>
        </w:numPr>
        <w:spacing w:before="0"/>
      </w:pPr>
      <w:r>
        <w:t xml:space="preserve">Par visām grupas vienībām, uz kurām attiecas grāmatvedības konsolidācija, iesniedz vienotu veidni. Veidnē norāda tikai juridiskās personas. </w:t>
      </w:r>
    </w:p>
    <w:p w14:paraId="7FE1B33D" w14:textId="32A49085" w:rsidR="00952395" w:rsidRDefault="0083775C">
      <w:pPr>
        <w:pStyle w:val="P68B1DB1-InstructionsText26"/>
        <w:numPr>
          <w:ilvl w:val="0"/>
          <w:numId w:val="231"/>
        </w:numPr>
        <w:spacing w:before="0"/>
      </w:pPr>
      <w:r>
        <w:t>Attiecīgo juridisko personu jēdziens neaprobežojas tikai ar bankas operācijām, bet ietver arī citas vienības, kas ir vajadzīgas, lai būtiski atbalstītu banku grupas darbības. Tas ietver pakalpojumu sniedzējus kritiski svarīgām funkcijām vai/un būtiskām darbības jomām, finansējumu sniedzošajām vienībām un citām vienībām, kas ir cieši (ekonomiski) saistītas ar grupu. Paredzams, ka šo papildu vienību noteikšanā tiks ievērotas noregulējuma stratēģijas prasības, ko nosaka noregulējuma iestādes.</w:t>
      </w:r>
    </w:p>
    <w:p w14:paraId="7FE1B33E" w14:textId="77777777" w:rsidR="00952395" w:rsidRDefault="0083775C">
      <w:pPr>
        <w:pStyle w:val="P68B1DB1-Instructionsberschrift312"/>
      </w:pPr>
      <w:r>
        <w:t>Norādījumi attiecībā uz konkrētām pozīcijām</w:t>
      </w:r>
    </w:p>
    <w:p w14:paraId="7FE1B33F" w14:textId="77777777" w:rsidR="00952395" w:rsidRDefault="00952395">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29"/>
        <w:gridCol w:w="8197"/>
      </w:tblGrid>
      <w:tr w:rsidR="00952395"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952395" w:rsidRDefault="0083775C">
            <w:pPr>
              <w:pStyle w:val="P68B1DB1-TableParagraph13"/>
              <w:spacing w:before="66"/>
              <w:rPr>
                <w:rFonts w:eastAsia="Cambria"/>
              </w:rPr>
            </w:pPr>
            <w:r>
              <w:t>Slejas</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952395" w:rsidRDefault="0083775C">
            <w:pPr>
              <w:pStyle w:val="P68B1DB1-TableParagraph13"/>
              <w:spacing w:before="66"/>
              <w:ind w:right="1"/>
              <w:jc w:val="center"/>
              <w:rPr>
                <w:rFonts w:eastAsia="Cambria"/>
              </w:rPr>
            </w:pPr>
            <w:r>
              <w:t>Norādījumi</w:t>
            </w:r>
          </w:p>
        </w:tc>
      </w:tr>
      <w:tr w:rsidR="00952395"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952395" w:rsidRDefault="0083775C">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952395" w:rsidRDefault="0083775C">
            <w:pPr>
              <w:pStyle w:val="P68B1DB1-TableParagraph14"/>
              <w:spacing w:before="108"/>
              <w:ind w:left="85"/>
            </w:pPr>
            <w:r>
              <w:t>Nosaukums</w:t>
            </w:r>
          </w:p>
          <w:p w14:paraId="7FE1B348" w14:textId="3D2D6D6A" w:rsidR="00952395" w:rsidRDefault="0083775C">
            <w:pPr>
              <w:pStyle w:val="P68B1DB1-TableParagraph15"/>
              <w:spacing w:before="108"/>
              <w:ind w:left="85"/>
            </w:pPr>
            <w:r>
              <w:t>Vienības nosaukums. Oficiālais nosaukums, kas minēts uzņēmuma aktos, tostarp norāde uz juridisko formu.</w:t>
            </w:r>
          </w:p>
        </w:tc>
      </w:tr>
      <w:tr w:rsidR="00952395"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952395" w:rsidRDefault="0083775C">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952395" w:rsidRDefault="0083775C">
            <w:pPr>
              <w:pStyle w:val="P68B1DB1-TableParagraph14"/>
              <w:spacing w:before="108"/>
              <w:ind w:left="85"/>
            </w:pPr>
            <w:r>
              <w:t>Kods</w:t>
            </w:r>
          </w:p>
          <w:p w14:paraId="7FE1B34C" w14:textId="5527678D" w:rsidR="00952395" w:rsidRDefault="0083775C">
            <w:pPr>
              <w:pStyle w:val="P68B1DB1-TableParagraph13"/>
              <w:spacing w:before="108"/>
              <w:ind w:left="85"/>
            </w:pPr>
            <w:r>
              <w:t>Vienības kods. Iestāžu gadījumā kods ir burtciparu LEI kods, kurā ir 20 zīmes. Citām struktūrām kods ir burtciparu LEI kods, kas sastāv no 20 cipariem, vai, ja tas nav pieejams, MFI ID vai kods saskaņā ar vienotu kodifikāciju, kas piemērojama Savienībā.</w:t>
            </w:r>
          </w:p>
          <w:p w14:paraId="7FE1B34D" w14:textId="77777777" w:rsidR="00952395" w:rsidRDefault="0083775C">
            <w:pPr>
              <w:pStyle w:val="P68B1DB1-TableParagraph13"/>
              <w:spacing w:before="108"/>
              <w:ind w:left="85"/>
            </w:pPr>
            <w:r>
              <w:t>Kodam jābūt unikālam, un tas veidnēs jāizmanto konsekventi. Šis kods vienmēr apzīmē kādu vērtību.</w:t>
            </w:r>
          </w:p>
        </w:tc>
      </w:tr>
      <w:tr w:rsidR="00952395"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952395" w:rsidRDefault="0083775C">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952395" w:rsidRDefault="0083775C">
            <w:pPr>
              <w:pStyle w:val="P68B1DB1-TableParagraph14"/>
              <w:spacing w:before="108"/>
              <w:ind w:left="85"/>
              <w:jc w:val="both"/>
            </w:pPr>
            <w:r>
              <w:t>Kodu veids</w:t>
            </w:r>
          </w:p>
          <w:p w14:paraId="7FE1B352" w14:textId="7C9FB737" w:rsidR="00952395" w:rsidRDefault="0083775C">
            <w:pPr>
              <w:pStyle w:val="P68B1DB1-TableParagraph13"/>
              <w:spacing w:before="108"/>
            </w:pPr>
            <w:r>
              <w:t>Jāizvēlas no šādām iespējām: “LEI kods”, “MFI kods” vai “Identifikatora veids, kas nav LEI vai MFI kods”.</w:t>
            </w:r>
          </w:p>
          <w:p w14:paraId="7FE1B353" w14:textId="77777777" w:rsidR="00952395" w:rsidRDefault="0083775C">
            <w:pPr>
              <w:pStyle w:val="P68B1DB1-TableParagraph13"/>
              <w:spacing w:before="108"/>
              <w:ind w:left="85"/>
              <w:jc w:val="both"/>
              <w:rPr>
                <w:b/>
              </w:rPr>
            </w:pPr>
            <w:r>
              <w:t>Vienību identifikāciju veic konsekventi visās veidnēs.</w:t>
            </w:r>
          </w:p>
        </w:tc>
      </w:tr>
      <w:tr w:rsidR="00952395"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952395" w:rsidRDefault="0083775C">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952395" w:rsidRDefault="0083775C">
            <w:pPr>
              <w:pStyle w:val="P68B1DB1-TableParagraph14"/>
              <w:spacing w:before="108"/>
              <w:ind w:left="85"/>
            </w:pPr>
            <w:r>
              <w:t>Vienības veids</w:t>
            </w:r>
          </w:p>
          <w:p w14:paraId="7FE1B35B" w14:textId="77777777" w:rsidR="00952395" w:rsidRDefault="0083775C">
            <w:pPr>
              <w:pStyle w:val="P68B1DB1-TableParagraph13"/>
              <w:spacing w:before="108"/>
              <w:ind w:left="85"/>
            </w:pPr>
            <w:r>
              <w:t>Vienības veids prioritārā secībā ir kāds no turpmāk minētajiem.</w:t>
            </w:r>
          </w:p>
          <w:p w14:paraId="7FE1B35C" w14:textId="77777777" w:rsidR="00952395" w:rsidRDefault="0083775C">
            <w:pPr>
              <w:pStyle w:val="P68B1DB1-TableParagraph13"/>
              <w:numPr>
                <w:ilvl w:val="0"/>
                <w:numId w:val="67"/>
              </w:numPr>
              <w:spacing w:before="108"/>
            </w:pPr>
            <w:r>
              <w:t>“Kredītiestāde”</w:t>
            </w:r>
          </w:p>
          <w:p w14:paraId="7FE1B35D" w14:textId="653C7762" w:rsidR="00952395" w:rsidRDefault="0083775C">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Šī kategorija ietver kredītiestādes saskaņā ar Regulas (ES) Nr. 575/2013 4. panta 1. punkta 1. apakšpunktā minēto definīciju, izņemot Direktīvas 2013/36/ES 2. panta 5. punktā minētās vienības</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952395" w:rsidRDefault="0083775C">
            <w:pPr>
              <w:pStyle w:val="P68B1DB1-TableParagraph13"/>
              <w:numPr>
                <w:ilvl w:val="0"/>
                <w:numId w:val="67"/>
              </w:numPr>
              <w:spacing w:before="108"/>
            </w:pPr>
            <w:r>
              <w:t>“Ieguldījumu brokeru sabiedrība, uz kuru attiecas Direktīvas (EU) 2019/2034 9. panta 1. punktā noteiktā sākotnējā kapitāla prasība”</w:t>
            </w:r>
          </w:p>
          <w:p w14:paraId="7FE1B35F" w14:textId="3246B488" w:rsidR="00952395" w:rsidRDefault="0083775C">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Šī kategorija ietver ieguldījumu brokeru sabiedrības saskaņā ar Regulas (ES) 2019/2033 4. panta 1. punkta 22. apakšpunktā minēto definīciju, uz</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kurām attiecas Direktīvas (ES) 2019/2034 9. panta 1. punktā noteiktā sākotnējā kapitāla prasība</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952395" w:rsidRDefault="0083775C">
            <w:pPr>
              <w:pStyle w:val="P68B1DB1-TableParagraph13"/>
              <w:numPr>
                <w:ilvl w:val="0"/>
                <w:numId w:val="67"/>
              </w:numPr>
              <w:spacing w:before="108"/>
            </w:pPr>
            <w:r>
              <w:t>“Ieguldījumu brokeru sabiedrība, uz kuru neattiecas Direktīvas (EU) 2019/2034 9. panta 1. punktā noteiktā sākotnējā kapitāla prasība”</w:t>
            </w:r>
          </w:p>
          <w:p w14:paraId="7FE1B361" w14:textId="77777777" w:rsidR="00952395" w:rsidRDefault="0083775C">
            <w:pPr>
              <w:pStyle w:val="P68B1DB1-TableParagraph13"/>
              <w:numPr>
                <w:ilvl w:val="0"/>
                <w:numId w:val="67"/>
              </w:numPr>
              <w:spacing w:before="108"/>
            </w:pPr>
            <w:r>
              <w:t>“Finanšu iestāde”</w:t>
            </w:r>
          </w:p>
          <w:p w14:paraId="7FE1B362" w14:textId="77777777" w:rsidR="00952395" w:rsidRDefault="0083775C">
            <w:pPr>
              <w:pStyle w:val="P68B1DB1-TableParagraph13"/>
              <w:spacing w:before="108"/>
              <w:ind w:left="445"/>
            </w:pPr>
            <w:r>
              <w:t>Šī kategorija ietver finanšu iestādes, kas noteiktas Regulas (ES) Nr. 575/2013 4. panta 1. punkta 26. apakšpunktā, izņemot tās, kuras klasificētas kā “pārvaldītājsabiedrība”, kā izklāstīts nākamajā e) punktā.</w:t>
            </w:r>
          </w:p>
          <w:p w14:paraId="7FE1B363" w14:textId="77777777" w:rsidR="00952395" w:rsidRDefault="0083775C">
            <w:pPr>
              <w:pStyle w:val="P68B1DB1-TableParagraph13"/>
              <w:numPr>
                <w:ilvl w:val="0"/>
                <w:numId w:val="67"/>
              </w:numPr>
              <w:spacing w:before="108"/>
            </w:pPr>
            <w:r>
              <w:t>“Pārvaldītājsabiedrība”</w:t>
            </w:r>
          </w:p>
          <w:p w14:paraId="7FE1B364" w14:textId="77777777" w:rsidR="00952395" w:rsidRDefault="0083775C">
            <w:pPr>
              <w:pStyle w:val="P68B1DB1-TableParagraph13"/>
              <w:spacing w:before="108"/>
              <w:ind w:left="445"/>
            </w:pPr>
            <w:r>
              <w:t>Šī kategorija ietver jebkuru no turpmāk minētajām sabiedrībām:</w:t>
            </w:r>
          </w:p>
          <w:p w14:paraId="7FE1B365" w14:textId="77777777" w:rsidR="00952395" w:rsidRDefault="0083775C">
            <w:pPr>
              <w:pStyle w:val="P68B1DB1-TableParagraph13"/>
              <w:numPr>
                <w:ilvl w:val="0"/>
                <w:numId w:val="68"/>
              </w:numPr>
              <w:spacing w:before="108"/>
            </w:pPr>
            <w:r>
              <w:t>Finanšu pārvaldītājsabiedrība, kā tā definēta Regulas (ES) Nr. 575/2013 4. panta 1. punkta 20. apakšpunktā;</w:t>
            </w:r>
          </w:p>
          <w:p w14:paraId="7FE1B366" w14:textId="77777777" w:rsidR="00952395" w:rsidRDefault="0083775C">
            <w:pPr>
              <w:pStyle w:val="P68B1DB1-TableParagraph13"/>
              <w:numPr>
                <w:ilvl w:val="0"/>
                <w:numId w:val="68"/>
              </w:numPr>
              <w:spacing w:before="108"/>
            </w:pPr>
            <w:r>
              <w:lastRenderedPageBreak/>
              <w:t>Jaukta finanšu pārvaldītājsabiedrība, kā tā definēta Regulas (ES) Nr. 575/2013 4. panta 1. punkta 21. apakšpunktā;</w:t>
            </w:r>
          </w:p>
          <w:p w14:paraId="7FE1B367" w14:textId="77777777" w:rsidR="00952395" w:rsidRDefault="0083775C">
            <w:pPr>
              <w:pStyle w:val="P68B1DB1-TableParagraph13"/>
              <w:numPr>
                <w:ilvl w:val="0"/>
                <w:numId w:val="68"/>
              </w:numPr>
              <w:spacing w:before="108"/>
            </w:pPr>
            <w:r>
              <w:t>Jauktas darbības pārvaldītājsabiedrība, kā tā definēta Regulas (ES) Nr. 575/2013 4. panta 1. punkta 22. apakšpunktā;</w:t>
            </w:r>
          </w:p>
          <w:p w14:paraId="7FE1B368" w14:textId="77777777" w:rsidR="00952395" w:rsidRDefault="0083775C">
            <w:pPr>
              <w:pStyle w:val="P68B1DB1-TableParagraph13"/>
              <w:numPr>
                <w:ilvl w:val="0"/>
                <w:numId w:val="68"/>
              </w:numPr>
              <w:spacing w:before="108"/>
            </w:pPr>
            <w:r>
              <w:t>Mātes finanšu pārvaldītājsabiedrības, kā tās definētas Regulas (ES) Nr. 575/2013 4. panta 1. punkta 30. apakšpunktā;</w:t>
            </w:r>
          </w:p>
          <w:p w14:paraId="7FE1B369" w14:textId="77777777" w:rsidR="00952395" w:rsidRDefault="0083775C">
            <w:pPr>
              <w:pStyle w:val="P68B1DB1-TableParagraph13"/>
              <w:numPr>
                <w:ilvl w:val="0"/>
                <w:numId w:val="68"/>
              </w:numPr>
              <w:spacing w:before="108"/>
            </w:pPr>
            <w:r>
              <w:t>Savienības mātes finanšu pārvaldītājsabiedrība, kā tā definēta Regulas (ES) Nr. 575/2013 4. panta 1. punkta 31. apakšpunktā;</w:t>
            </w:r>
          </w:p>
          <w:p w14:paraId="7FE1B36A" w14:textId="77777777" w:rsidR="00952395" w:rsidRDefault="0083775C">
            <w:pPr>
              <w:pStyle w:val="P68B1DB1-TableParagraph13"/>
              <w:numPr>
                <w:ilvl w:val="0"/>
                <w:numId w:val="68"/>
              </w:numPr>
              <w:spacing w:before="108"/>
            </w:pPr>
            <w:r>
              <w:t>Mātes jaukta finanšu pārvaldītājsabiedrība, kā tā definēta Regulas (ES) Nr. 575/2013 4. panta 1. punkta 32. apakšpunktā;</w:t>
            </w:r>
          </w:p>
          <w:p w14:paraId="7FE1B36B" w14:textId="77777777" w:rsidR="00952395" w:rsidRDefault="0083775C">
            <w:pPr>
              <w:pStyle w:val="P68B1DB1-TableParagraph13"/>
              <w:numPr>
                <w:ilvl w:val="0"/>
                <w:numId w:val="68"/>
              </w:numPr>
              <w:spacing w:before="108"/>
            </w:pPr>
            <w:r>
              <w:t>Savienības mātes jaukta finanšu pārvaldītājsabiedrība, kā tā definēta Regulas (ES) Nr. 575/2013 4. panta 1. punkta 33. apakšpunktā;</w:t>
            </w:r>
          </w:p>
          <w:p w14:paraId="7FE1B36C" w14:textId="0F68F780" w:rsidR="00952395" w:rsidRDefault="0083775C">
            <w:pPr>
              <w:pStyle w:val="P68B1DB1-TableParagraph13"/>
              <w:numPr>
                <w:ilvl w:val="0"/>
                <w:numId w:val="67"/>
              </w:numPr>
              <w:spacing w:before="108"/>
            </w:pPr>
            <w:r>
              <w:t>“Apdrošināšanas sabiedrība”</w:t>
            </w:r>
          </w:p>
          <w:p w14:paraId="7FE1B36D" w14:textId="77777777" w:rsidR="00952395" w:rsidRDefault="0083775C">
            <w:pPr>
              <w:pStyle w:val="P68B1DB1-TableParagraph16"/>
              <w:numPr>
                <w:ilvl w:val="0"/>
                <w:numId w:val="68"/>
              </w:numPr>
              <w:spacing w:before="108"/>
              <w:rPr>
                <w:color w:val="000000" w:themeColor="text1"/>
                <w:sz w:val="20"/>
                <w:szCs w:val="20"/>
              </w:rPr>
            </w:pPr>
            <w:r>
              <w:rPr>
                <w:color w:val="000000" w:themeColor="text1"/>
                <w:sz w:val="20"/>
                <w:szCs w:val="20"/>
              </w:rPr>
              <w:t>Šī kategorija ietver apdrošināšanas sabiedrības, kā noteikts Eiropas Parlamenta un Padomes Direktīvas 2009/138/EK 13. pantā</w:t>
            </w:r>
            <w:r>
              <w:footnoteReference w:id="10"/>
            </w:r>
            <w:r>
              <w:rPr>
                <w:color w:val="000000" w:themeColor="text1"/>
                <w:sz w:val="20"/>
                <w:szCs w:val="20"/>
              </w:rPr>
              <w:t>.</w:t>
            </w:r>
          </w:p>
          <w:p w14:paraId="7FE1B36E" w14:textId="15AC498F" w:rsidR="00952395" w:rsidRDefault="0083775C">
            <w:pPr>
              <w:pStyle w:val="P68B1DB1-TableParagraph13"/>
              <w:numPr>
                <w:ilvl w:val="0"/>
                <w:numId w:val="67"/>
              </w:numPr>
              <w:spacing w:before="108"/>
            </w:pPr>
            <w:r>
              <w:t>“Attiecīgais pakalpojumu sniedzējs” grupas ietvaros, kas saistīts ar kritiski svarīgām funkcijām un/vai nozīmīgām saimnieciskajām darbībām.</w:t>
            </w:r>
          </w:p>
          <w:p w14:paraId="7FE1B370" w14:textId="77777777" w:rsidR="00952395" w:rsidRDefault="00952395">
            <w:pPr>
              <w:pStyle w:val="TableParagraph"/>
              <w:spacing w:before="108"/>
              <w:rPr>
                <w:rFonts w:ascii="Times New Roman" w:hAnsi="Times New Roman" w:cs="Times New Roman"/>
                <w:color w:val="000000" w:themeColor="text1"/>
                <w:sz w:val="20"/>
                <w:szCs w:val="20"/>
              </w:rPr>
            </w:pPr>
          </w:p>
          <w:p w14:paraId="7FE1B371" w14:textId="77777777" w:rsidR="00952395" w:rsidRDefault="0083775C">
            <w:pPr>
              <w:pStyle w:val="P68B1DB1-TableParagraph16"/>
              <w:numPr>
                <w:ilvl w:val="0"/>
                <w:numId w:val="67"/>
              </w:numPr>
              <w:spacing w:before="108"/>
              <w:rPr>
                <w:color w:val="000000" w:themeColor="text1"/>
                <w:sz w:val="20"/>
                <w:szCs w:val="20"/>
              </w:rPr>
            </w:pPr>
            <w:r>
              <w:rPr>
                <w:color w:val="000000" w:themeColor="text1"/>
                <w:sz w:val="20"/>
                <w:szCs w:val="20"/>
              </w:rPr>
              <w:t>“Cits vienības veids”, ja vienība nav ietverta nevienā no minētajām kategorijām.</w:t>
            </w:r>
            <w:r>
              <w:br/>
            </w:r>
            <w:r>
              <w:rPr>
                <w:color w:val="000000" w:themeColor="text1"/>
                <w:sz w:val="20"/>
                <w:szCs w:val="20"/>
              </w:rPr>
              <w:t>(t. i., svarīgs finansējuma sniedzējs)</w:t>
            </w:r>
          </w:p>
        </w:tc>
      </w:tr>
      <w:tr w:rsidR="00952395"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952395" w:rsidRDefault="0083775C">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952395" w:rsidRDefault="0083775C">
            <w:pPr>
              <w:pStyle w:val="P68B1DB1-TableParagraph14"/>
              <w:spacing w:before="108"/>
              <w:ind w:left="85"/>
            </w:pPr>
            <w:r>
              <w:t>Valsts</w:t>
            </w:r>
          </w:p>
          <w:p w14:paraId="7FE1B375" w14:textId="77777777" w:rsidR="00952395" w:rsidRDefault="0083775C">
            <w:pPr>
              <w:pStyle w:val="P68B1DB1-TableParagraph13"/>
              <w:spacing w:before="108"/>
              <w:ind w:left="85"/>
              <w:jc w:val="both"/>
            </w:pPr>
            <w:r>
              <w:t>Vienības reģistrācijas valsts, kas var būt dalībvalsts vai trešā valsts, ISO 3166–1–alfa-2 kods.</w:t>
            </w:r>
          </w:p>
        </w:tc>
      </w:tr>
      <w:tr w:rsidR="00952395"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952395" w:rsidRDefault="0083775C">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952395" w:rsidRDefault="0083775C">
            <w:pPr>
              <w:pStyle w:val="P68B1DB1-TableParagraph14"/>
              <w:spacing w:before="108"/>
              <w:ind w:left="85"/>
            </w:pPr>
            <w:r>
              <w:t>Noregulējuma grupas POE LEI</w:t>
            </w:r>
          </w:p>
          <w:p w14:paraId="7FE1B379" w14:textId="77777777" w:rsidR="00952395" w:rsidRDefault="0083775C">
            <w:pPr>
              <w:pStyle w:val="P68B1DB1-TableParagraph13"/>
              <w:spacing w:before="108"/>
              <w:ind w:left="85"/>
              <w:rPr>
                <w:bCs/>
              </w:rPr>
            </w:pPr>
            <w:r>
              <w:t>LEI kods, kas identificē tās noregulējuma grupas sākumpunktu, pie kuras pieder 0010. pozīcijā identificētā vienība.</w:t>
            </w:r>
          </w:p>
        </w:tc>
      </w:tr>
      <w:tr w:rsidR="00952395"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952395" w:rsidRDefault="0083775C">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952395" w:rsidRDefault="0083775C">
            <w:pPr>
              <w:pStyle w:val="P68B1DB1-TableParagraph14"/>
              <w:spacing w:before="108"/>
              <w:ind w:left="85"/>
              <w:jc w:val="both"/>
              <w:rPr>
                <w:bCs/>
              </w:rPr>
            </w:pPr>
            <w:r>
              <w:t>Atbrīvojums no KPR 7. panta</w:t>
            </w:r>
          </w:p>
          <w:p w14:paraId="7FE1B383" w14:textId="77777777" w:rsidR="00952395" w:rsidRDefault="0083775C">
            <w:pPr>
              <w:pStyle w:val="P68B1DB1-TableParagraph13"/>
              <w:spacing w:before="108"/>
              <w:ind w:left="85"/>
              <w:jc w:val="both"/>
            </w:pPr>
            <w:r>
              <w:t>Uzrāda šādus saīsinājumus:</w:t>
            </w:r>
          </w:p>
          <w:p w14:paraId="7FE1B384" w14:textId="6DF8D995" w:rsidR="00952395" w:rsidRDefault="0083775C">
            <w:pPr>
              <w:pStyle w:val="P68B1DB1-TableParagraph13"/>
              <w:spacing w:before="108"/>
              <w:ind w:left="85"/>
              <w:jc w:val="both"/>
            </w:pPr>
            <w:r>
              <w:t>“J” — ja kompetentā iestāde ir atcēlusi Regulas (ES) Nr. 575/2013 6. panta 1. punkta piemērošanu saskaņā ar Regulas (ES) Nr. 575/2013 7. pantu;</w:t>
            </w:r>
          </w:p>
          <w:p w14:paraId="7FE1B385" w14:textId="7EC01EC3" w:rsidR="00952395" w:rsidRDefault="0083775C">
            <w:pPr>
              <w:pStyle w:val="P68B1DB1-TableParagraph13"/>
              <w:spacing w:before="108"/>
              <w:ind w:left="85"/>
              <w:jc w:val="both"/>
              <w:rPr>
                <w:b/>
              </w:rPr>
            </w:pPr>
            <w:r>
              <w:t>“N” — pārējos gadījumos.</w:t>
            </w:r>
          </w:p>
        </w:tc>
      </w:tr>
      <w:tr w:rsidR="00952395"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952395" w:rsidRDefault="0083775C">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952395" w:rsidRDefault="0083775C">
            <w:pPr>
              <w:pStyle w:val="P68B1DB1-TableParagraph14"/>
              <w:jc w:val="both"/>
              <w:rPr>
                <w:bCs/>
              </w:rPr>
            </w:pPr>
            <w:r>
              <w:t>Atbrīvojums no KPR 8. panta</w:t>
            </w:r>
          </w:p>
          <w:p w14:paraId="7FE1B389" w14:textId="77777777" w:rsidR="00952395" w:rsidRDefault="00952395">
            <w:pPr>
              <w:pStyle w:val="TableParagraph"/>
              <w:jc w:val="both"/>
              <w:rPr>
                <w:rFonts w:ascii="Times New Roman" w:hAnsi="Times New Roman" w:cs="Times New Roman"/>
                <w:b/>
                <w:bCs/>
                <w:color w:val="000000" w:themeColor="text1"/>
                <w:sz w:val="20"/>
                <w:szCs w:val="20"/>
              </w:rPr>
            </w:pPr>
          </w:p>
          <w:p w14:paraId="7FE1B38A" w14:textId="77777777" w:rsidR="00952395" w:rsidRDefault="0083775C">
            <w:pPr>
              <w:pStyle w:val="P68B1DB1-TableParagraph13"/>
              <w:spacing w:before="108"/>
              <w:ind w:left="85"/>
              <w:jc w:val="both"/>
            </w:pPr>
            <w:r>
              <w:t>Uzrāda šādus saīsinājumus:</w:t>
            </w:r>
          </w:p>
          <w:p w14:paraId="7FE1B38B" w14:textId="7BE12ED7" w:rsidR="00952395" w:rsidRDefault="0083775C">
            <w:pPr>
              <w:pStyle w:val="P68B1DB1-TableParagraph13"/>
              <w:spacing w:before="108"/>
              <w:ind w:left="85"/>
              <w:jc w:val="both"/>
            </w:pPr>
            <w:r>
              <w:t>“J” — ja kompetentā iestāde ir atcēlusi Regulas (ES) Nr. 575/2013 6. daļas piemērošanu saskaņā ar Regulas (ES) Nr. 575/2013 8. pantu;</w:t>
            </w:r>
          </w:p>
          <w:p w14:paraId="7FE1B38C" w14:textId="08CEF953" w:rsidR="00952395" w:rsidRDefault="0083775C">
            <w:pPr>
              <w:pStyle w:val="P68B1DB1-TableParagraph13"/>
              <w:jc w:val="both"/>
              <w:rPr>
                <w:b/>
                <w:bCs/>
              </w:rPr>
            </w:pPr>
            <w:r>
              <w:t>“N” — pārējos gadījumos.</w:t>
            </w:r>
          </w:p>
        </w:tc>
      </w:tr>
      <w:tr w:rsidR="00952395"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952395" w:rsidRDefault="0083775C">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952395" w:rsidRDefault="0083775C">
            <w:pPr>
              <w:pStyle w:val="P68B1DB1-TableParagraph14"/>
              <w:jc w:val="both"/>
              <w:rPr>
                <w:bCs/>
              </w:rPr>
            </w:pPr>
            <w:r>
              <w:t>Neskarot 9. CRR pantu,</w:t>
            </w:r>
          </w:p>
          <w:p w14:paraId="7FE1B390" w14:textId="77777777" w:rsidR="00952395" w:rsidRDefault="00952395">
            <w:pPr>
              <w:pStyle w:val="TableParagraph"/>
              <w:jc w:val="both"/>
              <w:rPr>
                <w:rFonts w:ascii="Times New Roman" w:hAnsi="Times New Roman" w:cs="Times New Roman"/>
                <w:b/>
                <w:bCs/>
                <w:color w:val="000000" w:themeColor="text1"/>
                <w:sz w:val="20"/>
                <w:szCs w:val="20"/>
              </w:rPr>
            </w:pPr>
          </w:p>
          <w:p w14:paraId="7FE1B391" w14:textId="77777777" w:rsidR="00952395" w:rsidRDefault="0083775C">
            <w:pPr>
              <w:pStyle w:val="P68B1DB1-TableParagraph13"/>
              <w:spacing w:before="108"/>
              <w:ind w:left="85"/>
              <w:jc w:val="both"/>
            </w:pPr>
            <w:r>
              <w:t>Uzrāda šādus saīsinājumus:</w:t>
            </w:r>
          </w:p>
          <w:p w14:paraId="7FE1B392" w14:textId="30A38992" w:rsidR="00952395" w:rsidRDefault="0083775C">
            <w:pPr>
              <w:pStyle w:val="P68B1DB1-TableParagraph13"/>
              <w:spacing w:before="108"/>
              <w:ind w:left="85"/>
              <w:jc w:val="both"/>
            </w:pPr>
            <w:r>
              <w:lastRenderedPageBreak/>
              <w:t>Jā — ja vienība atbilst 7. panta 1. punkta c) un d) apakšpunktā izklāstītajiem nosacījumiem un tās būtiskie riska darījumi vai būtiskās saistības ir ar mātes iestādes Regulu (ES) Nr. 575/2013 saskaņā ar Regulas (ES) Nr. 575/2013 8. pantu un tāpēc ir iekļautas mātesuzņēmuma prasības aprēķinā saskaņā ar 6. panta 1. punktu.</w:t>
            </w:r>
          </w:p>
          <w:p w14:paraId="7FE1B393" w14:textId="0CE17CBC" w:rsidR="00952395" w:rsidRDefault="0083775C">
            <w:pPr>
              <w:pStyle w:val="P68B1DB1-TableParagraph13"/>
              <w:jc w:val="both"/>
              <w:rPr>
                <w:b/>
                <w:bCs/>
              </w:rPr>
            </w:pPr>
            <w:r>
              <w:t>“N” — pārējos gadījumos.</w:t>
            </w:r>
          </w:p>
          <w:p w14:paraId="7FE1B394" w14:textId="77777777" w:rsidR="00952395" w:rsidRDefault="00952395">
            <w:pPr>
              <w:pStyle w:val="TableParagraph"/>
              <w:jc w:val="both"/>
              <w:rPr>
                <w:rFonts w:ascii="Times New Roman" w:hAnsi="Times New Roman" w:cs="Times New Roman"/>
                <w:b/>
                <w:bCs/>
                <w:color w:val="000000" w:themeColor="text1"/>
                <w:sz w:val="20"/>
                <w:szCs w:val="20"/>
              </w:rPr>
            </w:pPr>
          </w:p>
        </w:tc>
      </w:tr>
      <w:tr w:rsidR="00952395"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952395" w:rsidRDefault="0083775C">
            <w:pPr>
              <w:pStyle w:val="P68B1DB1-TableParagraph13"/>
              <w:spacing w:before="106"/>
              <w:ind w:left="-1"/>
            </w:pPr>
            <w:r>
              <w:lastRenderedPageBreak/>
              <w:t>0100</w:t>
            </w:r>
          </w:p>
        </w:tc>
        <w:tc>
          <w:tcPr>
            <w:tcW w:w="0" w:type="auto"/>
            <w:tcBorders>
              <w:top w:val="single" w:sz="4" w:space="0" w:color="1A171C"/>
              <w:left w:val="single" w:sz="4" w:space="0" w:color="1A171C"/>
              <w:bottom w:val="single" w:sz="4" w:space="0" w:color="1A171C"/>
              <w:right w:val="nil"/>
            </w:tcBorders>
          </w:tcPr>
          <w:p w14:paraId="7FE1B397" w14:textId="77777777" w:rsidR="00952395" w:rsidRDefault="0083775C">
            <w:pPr>
              <w:pStyle w:val="P68B1DB1-TableParagraph14"/>
              <w:spacing w:before="108"/>
              <w:ind w:left="85"/>
              <w:jc w:val="both"/>
            </w:pPr>
            <w:r>
              <w:t>Atbrīvojums no KPR 10. panta</w:t>
            </w:r>
          </w:p>
          <w:p w14:paraId="7FE1B398" w14:textId="77777777" w:rsidR="00952395" w:rsidRDefault="0083775C">
            <w:pPr>
              <w:pStyle w:val="P68B1DB1-TableParagraph13"/>
              <w:spacing w:before="108"/>
              <w:ind w:left="85"/>
              <w:jc w:val="both"/>
            </w:pPr>
            <w:r>
              <w:t>Uzrāda šādus saīsinājumus:</w:t>
            </w:r>
          </w:p>
          <w:p w14:paraId="7FE1B399" w14:textId="249CB221" w:rsidR="00952395" w:rsidRDefault="0083775C">
            <w:pPr>
              <w:pStyle w:val="P68B1DB1-TableParagraph13"/>
              <w:spacing w:before="108"/>
              <w:ind w:left="85"/>
              <w:jc w:val="both"/>
            </w:pPr>
            <w:r>
              <w:t>“Jā” — ja kompetentā iestāde ir piemērojusi atbrīvojumu saskaņā ar Regulas (ES) Nr. 575/2013 10. pantu.</w:t>
            </w:r>
          </w:p>
          <w:p w14:paraId="7FE1B39A" w14:textId="2A6A5A7B" w:rsidR="00952395" w:rsidRDefault="0083775C">
            <w:pPr>
              <w:pStyle w:val="P68B1DB1-TableParagraph13"/>
              <w:spacing w:before="108"/>
              <w:ind w:left="85"/>
              <w:jc w:val="both"/>
              <w:rPr>
                <w:b/>
              </w:rPr>
            </w:pPr>
            <w:r>
              <w:t>“N” — pārējos gadījumos.</w:t>
            </w:r>
          </w:p>
        </w:tc>
      </w:tr>
      <w:tr w:rsidR="00952395"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952395" w:rsidRDefault="0083775C">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952395" w:rsidRDefault="0083775C">
            <w:pPr>
              <w:pStyle w:val="P68B1DB1-TableParagraph14"/>
              <w:spacing w:before="108"/>
              <w:jc w:val="both"/>
            </w:pPr>
            <w:r>
              <w:t>Aktīvi kopā</w:t>
            </w:r>
          </w:p>
          <w:p w14:paraId="7FE1B39E" w14:textId="77777777" w:rsidR="00952395" w:rsidRDefault="0083775C">
            <w:pPr>
              <w:pStyle w:val="P68B1DB1-TableParagraph13"/>
              <w:spacing w:before="108"/>
              <w:jc w:val="both"/>
              <w:rPr>
                <w:b/>
              </w:rPr>
            </w:pPr>
            <w:r>
              <w:t>Aktīvi kopā, kā noteikts attiecībā uz FINREP {F 01.01;380,010}</w:t>
            </w:r>
          </w:p>
        </w:tc>
      </w:tr>
      <w:tr w:rsidR="00952395"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952395" w:rsidRDefault="0083775C">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952395" w:rsidRDefault="0083775C">
            <w:pPr>
              <w:pStyle w:val="P68B1DB1-TableParagraph14"/>
              <w:spacing w:before="108"/>
              <w:jc w:val="both"/>
            </w:pPr>
            <w:r>
              <w:t>Kopējā riska darījumu vērtība</w:t>
            </w:r>
          </w:p>
          <w:p w14:paraId="7FE1B3AA" w14:textId="77777777" w:rsidR="00952395" w:rsidRDefault="0083775C">
            <w:pPr>
              <w:pStyle w:val="P68B1DB1-TableParagraph13"/>
              <w:spacing w:before="108"/>
              <w:jc w:val="both"/>
            </w:pPr>
            <w:r>
              <w:t>Kopējā riska darījumu vērtība, kā noteikts attiecībā uz COREP (OF): ΘC 02.00;010;010</w:t>
            </w:r>
          </w:p>
          <w:p w14:paraId="7FE1B3AB" w14:textId="77777777" w:rsidR="00952395" w:rsidRDefault="0083775C">
            <w:pPr>
              <w:pStyle w:val="P68B1DB1-TableParagraph13"/>
              <w:spacing w:before="108"/>
              <w:jc w:val="both"/>
              <w:rPr>
                <w:b/>
              </w:rPr>
            </w:pPr>
            <w:r>
              <w:t>Vienībām, kas nav iestādes, un vienībām, kas izmanto atbrīvojumu saskaņā ar Regulas (ES) Nr. 575/2013 7. vai 10. pantu, pārskatu par šo posteni nesniedz.</w:t>
            </w:r>
          </w:p>
        </w:tc>
      </w:tr>
      <w:tr w:rsidR="00952395"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952395" w:rsidRDefault="0083775C">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952395" w:rsidRDefault="0083775C">
            <w:pPr>
              <w:pStyle w:val="P68B1DB1-TableParagraph14"/>
              <w:spacing w:before="108"/>
              <w:ind w:left="85"/>
              <w:jc w:val="both"/>
            </w:pPr>
            <w:r>
              <w:t>Kopējās riska darījumu vērtības mērs</w:t>
            </w:r>
          </w:p>
          <w:p w14:paraId="7FE1B3AF" w14:textId="32D53B0C" w:rsidR="00952395" w:rsidRDefault="0083775C">
            <w:pPr>
              <w:pStyle w:val="P68B1DB1-TableParagraph13"/>
              <w:spacing w:before="108"/>
              <w:ind w:left="85"/>
              <w:jc w:val="both"/>
            </w:pPr>
            <w:r>
              <w:t>Sviras rādītāja kopējās riska darījumu vērtības mērs, kā noteikts COREP (LR): C 47.00;0290;0010Θ</w:t>
            </w:r>
          </w:p>
          <w:p w14:paraId="7FE1B3B0" w14:textId="77777777" w:rsidR="00952395" w:rsidRDefault="0083775C">
            <w:pPr>
              <w:pStyle w:val="P68B1DB1-TableParagraph13"/>
              <w:spacing w:before="108"/>
              <w:ind w:left="85"/>
              <w:jc w:val="both"/>
            </w:pPr>
            <w:r>
              <w:t>Vienībām, kas nav iestādes, un vienībām, kas izmanto atbrīvojumu saskaņā ar Regulas (ES) Nr. 575/2013 7. vai 10. pantu, pārskatu par šo posteni nesniedz.</w:t>
            </w:r>
          </w:p>
        </w:tc>
      </w:tr>
      <w:tr w:rsidR="00952395"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952395" w:rsidRDefault="0083775C">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952395" w:rsidRDefault="0083775C">
            <w:pPr>
              <w:pStyle w:val="P68B1DB1-TableParagraph14"/>
              <w:jc w:val="both"/>
              <w:rPr>
                <w:bCs/>
              </w:rPr>
            </w:pPr>
            <w:r>
              <w:t>Kopējie pamatdarbības ienākumi</w:t>
            </w:r>
          </w:p>
          <w:p w14:paraId="7FE1B3B4" w14:textId="77777777" w:rsidR="00952395" w:rsidRDefault="00952395">
            <w:pPr>
              <w:pStyle w:val="TableParagraph"/>
              <w:jc w:val="both"/>
              <w:rPr>
                <w:rFonts w:ascii="Times New Roman" w:hAnsi="Times New Roman" w:cs="Times New Roman"/>
                <w:b/>
                <w:bCs/>
                <w:color w:val="000000" w:themeColor="text1"/>
                <w:sz w:val="20"/>
                <w:szCs w:val="20"/>
              </w:rPr>
            </w:pPr>
          </w:p>
          <w:p w14:paraId="7FE1B3B5" w14:textId="77777777" w:rsidR="00952395" w:rsidRDefault="0083775C">
            <w:pPr>
              <w:pStyle w:val="P68B1DB1-TableParagraph13"/>
              <w:jc w:val="both"/>
            </w:pPr>
            <w:r>
              <w:t>Kopējie pamatdarbības ienākumi, kā definēts FINREP 02.00;355;010θ</w:t>
            </w:r>
          </w:p>
          <w:p w14:paraId="7FE1B3B6" w14:textId="77777777" w:rsidR="00952395" w:rsidRDefault="00952395">
            <w:pPr>
              <w:pStyle w:val="TableParagraph"/>
              <w:jc w:val="both"/>
              <w:rPr>
                <w:rFonts w:ascii="Times New Roman" w:hAnsi="Times New Roman" w:cs="Times New Roman"/>
                <w:b/>
                <w:bCs/>
                <w:color w:val="000000" w:themeColor="text1"/>
                <w:sz w:val="20"/>
                <w:szCs w:val="20"/>
              </w:rPr>
            </w:pPr>
          </w:p>
        </w:tc>
      </w:tr>
      <w:tr w:rsidR="00952395"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952395" w:rsidRDefault="0083775C">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952395" w:rsidRDefault="0083775C">
            <w:pPr>
              <w:pStyle w:val="P68B1DB1-TableParagraph14"/>
              <w:spacing w:before="108"/>
              <w:jc w:val="both"/>
            </w:pPr>
            <w:r>
              <w:t>Grāmatvedības standarts</w:t>
            </w:r>
          </w:p>
          <w:p w14:paraId="7FE1B3BF" w14:textId="77777777" w:rsidR="00952395" w:rsidRDefault="0083775C">
            <w:pPr>
              <w:pStyle w:val="P68B1DB1-TableParagraph13"/>
              <w:spacing w:before="108"/>
              <w:jc w:val="both"/>
            </w:pPr>
            <w:r>
              <w:t>Vienības piemērotie grāmatvedības standarti. Uzrāda šādus saīsinājumus:</w:t>
            </w:r>
          </w:p>
          <w:p w14:paraId="7FE1B3C0" w14:textId="77777777" w:rsidR="00952395" w:rsidRDefault="0083775C">
            <w:pPr>
              <w:pStyle w:val="P68B1DB1-TableParagraph13"/>
              <w:numPr>
                <w:ilvl w:val="0"/>
                <w:numId w:val="68"/>
              </w:numPr>
              <w:spacing w:before="108"/>
              <w:jc w:val="both"/>
            </w:pPr>
            <w:r>
              <w:t>SFPS</w:t>
            </w:r>
          </w:p>
          <w:p w14:paraId="7FE1B3C1" w14:textId="77777777" w:rsidR="00952395" w:rsidRDefault="0083775C">
            <w:pPr>
              <w:pStyle w:val="P68B1DB1-TableParagraph13"/>
              <w:numPr>
                <w:ilvl w:val="0"/>
                <w:numId w:val="68"/>
              </w:numPr>
              <w:spacing w:before="108"/>
              <w:jc w:val="both"/>
            </w:pPr>
            <w:r>
              <w:t>nGAAP</w:t>
            </w:r>
          </w:p>
        </w:tc>
      </w:tr>
      <w:tr w:rsidR="00952395"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952395" w:rsidRDefault="0083775C">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952395" w:rsidRDefault="0083775C">
            <w:pPr>
              <w:pStyle w:val="P68B1DB1-TableParagraph14"/>
              <w:spacing w:before="108"/>
              <w:jc w:val="both"/>
            </w:pPr>
            <w:r>
              <w:t xml:space="preserve">Iemaksa konsolidētā kopējā riska darījumu vērtībā </w:t>
            </w:r>
          </w:p>
          <w:p w14:paraId="7FE1B3D5" w14:textId="77777777" w:rsidR="00952395" w:rsidRDefault="0083775C">
            <w:pPr>
              <w:pStyle w:val="P68B1DB1-TableParagraph13"/>
              <w:spacing w:before="108"/>
              <w:jc w:val="both"/>
              <w:rPr>
                <w:b/>
              </w:rPr>
            </w:pPr>
            <w:r>
              <w:t xml:space="preserve">Summa, ko vienība iemaksā tās grupas kopējā konsolidētajā riska darījumu vērtībā, par kuru iesniegts pārskats. </w:t>
            </w:r>
          </w:p>
        </w:tc>
      </w:tr>
      <w:tr w:rsidR="00952395"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952395" w:rsidRDefault="0083775C">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952395" w:rsidRDefault="0083775C">
            <w:pPr>
              <w:pStyle w:val="P68B1DB1-TableParagraph14"/>
              <w:spacing w:before="108"/>
              <w:ind w:left="85"/>
              <w:jc w:val="both"/>
            </w:pPr>
            <w:r>
              <w:t>Ieguldījums konsolidētajā kopējās riska darījumu vērtības mērā</w:t>
            </w:r>
          </w:p>
          <w:p w14:paraId="7FE1B3D9" w14:textId="61219862" w:rsidR="00952395" w:rsidRDefault="0083775C">
            <w:pPr>
              <w:pStyle w:val="P68B1DB1-TableParagraph13"/>
              <w:spacing w:before="108"/>
              <w:ind w:left="85"/>
              <w:jc w:val="both"/>
              <w:rPr>
                <w:b/>
              </w:rPr>
            </w:pPr>
            <w:r>
              <w:t>Summa, ko vienība iemaksā tās grupas kopējā ekspozīcijas mērīšanas mērķa, par kuru iesniegts pārskats.</w:t>
            </w:r>
          </w:p>
        </w:tc>
      </w:tr>
      <w:tr w:rsidR="00952395"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952395" w:rsidRDefault="0083775C">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952395" w:rsidRDefault="0083775C">
            <w:pPr>
              <w:pStyle w:val="P68B1DB1-TableParagraph14"/>
              <w:jc w:val="both"/>
              <w:rPr>
                <w:bCs/>
              </w:rPr>
            </w:pPr>
            <w:r>
              <w:t>Iemaksas konsolidētajos darbības ienākumos</w:t>
            </w:r>
          </w:p>
          <w:p w14:paraId="7FE1B3DD" w14:textId="77777777" w:rsidR="00952395" w:rsidRDefault="00952395">
            <w:pPr>
              <w:pStyle w:val="TableParagraph"/>
              <w:jc w:val="both"/>
              <w:rPr>
                <w:rFonts w:ascii="Times New Roman" w:hAnsi="Times New Roman" w:cs="Times New Roman"/>
                <w:color w:val="000000" w:themeColor="text1"/>
                <w:sz w:val="20"/>
                <w:szCs w:val="20"/>
              </w:rPr>
            </w:pPr>
          </w:p>
          <w:p w14:paraId="7FE1B3DE" w14:textId="1B38FEC1" w:rsidR="00952395" w:rsidRDefault="0083775C">
            <w:pPr>
              <w:pStyle w:val="P68B1DB1-TableParagraph13"/>
              <w:jc w:val="both"/>
            </w:pPr>
            <w:r>
              <w:t>Summa, ko Vienība iemaksā grupas kopējo grāmatvedības konsolidēto darbības ienākumu summā.</w:t>
            </w:r>
          </w:p>
        </w:tc>
      </w:tr>
      <w:tr w:rsidR="00952395"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952395" w:rsidRDefault="0083775C">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952395" w:rsidRDefault="0083775C">
            <w:pPr>
              <w:pStyle w:val="P68B1DB1-TableParagraph14"/>
              <w:spacing w:before="108"/>
              <w:ind w:left="85"/>
              <w:jc w:val="both"/>
              <w:rPr>
                <w:bCs/>
              </w:rPr>
            </w:pPr>
            <w:r>
              <w:t>Attiecīgā juridiskā persona</w:t>
            </w:r>
          </w:p>
          <w:p w14:paraId="7FE1B3F1" w14:textId="75C7B029" w:rsidR="00952395" w:rsidRDefault="0083775C">
            <w:pPr>
              <w:pStyle w:val="P68B1DB1-TableParagraph13"/>
              <w:spacing w:before="108"/>
              <w:jc w:val="both"/>
            </w:pPr>
            <w:r>
              <w:t>Vai vienība ir attiecīgā juridiskā persona saskaņā ar šīs regulas 1. pantā minēto definīciju.</w:t>
            </w:r>
          </w:p>
          <w:p w14:paraId="7FE1B3F2" w14:textId="0E42CD28" w:rsidR="00952395" w:rsidRDefault="00952395">
            <w:pPr>
              <w:pStyle w:val="TableParagraph"/>
              <w:spacing w:before="108"/>
              <w:jc w:val="both"/>
              <w:rPr>
                <w:rFonts w:ascii="Times New Roman" w:hAnsi="Times New Roman" w:cs="Times New Roman"/>
                <w:color w:val="000000" w:themeColor="text1"/>
                <w:sz w:val="20"/>
                <w:szCs w:val="20"/>
              </w:rPr>
            </w:pPr>
          </w:p>
        </w:tc>
      </w:tr>
    </w:tbl>
    <w:p w14:paraId="7FE1B491" w14:textId="77777777" w:rsidR="00952395" w:rsidRDefault="00952395">
      <w:pPr>
        <w:rPr>
          <w:rFonts w:ascii="Times New Roman" w:hAnsi="Times New Roman" w:cs="Times New Roman"/>
        </w:rPr>
      </w:pPr>
    </w:p>
    <w:p w14:paraId="7FE1B492" w14:textId="77777777" w:rsidR="00952395" w:rsidRDefault="0083775C">
      <w:pPr>
        <w:pStyle w:val="P68B1DB1-Instructionsberschrift25"/>
        <w:numPr>
          <w:ilvl w:val="1"/>
          <w:numId w:val="49"/>
        </w:numPr>
        <w:ind w:left="357" w:hanging="357"/>
      </w:pPr>
      <w:bookmarkStart w:id="22" w:name="_Toc81454178"/>
      <w:bookmarkStart w:id="23" w:name="_Toc208244944"/>
      <w:r>
        <w:t>Z 01.02 — Īpašumtiesību struktūra (2.ORG)</w:t>
      </w:r>
      <w:bookmarkEnd w:id="22"/>
      <w:bookmarkEnd w:id="23"/>
    </w:p>
    <w:p w14:paraId="7FE1B493" w14:textId="77777777" w:rsidR="00952395" w:rsidRDefault="0083775C">
      <w:pPr>
        <w:pStyle w:val="Instructionsberschrift3"/>
      </w:pPr>
      <w:r>
        <w:t>Vispārīgas piezīmes</w:t>
      </w:r>
    </w:p>
    <w:p w14:paraId="50A00AA9" w14:textId="77777777" w:rsidR="00952395" w:rsidRDefault="0083775C">
      <w:pPr>
        <w:pStyle w:val="P68B1DB1-InstructionsText26"/>
        <w:numPr>
          <w:ilvl w:val="0"/>
          <w:numId w:val="234"/>
        </w:numPr>
        <w:spacing w:before="0"/>
      </w:pPr>
      <w:r>
        <w:t xml:space="preserve">Šī veidne sniedz pārskatu par grupas juridisko un īpašumtiesību struktūru. Par visām grupas vienībām, uz kurām attiecas grāmatvedības konsolidācija, iesniedz vienotu veidni. </w:t>
      </w:r>
    </w:p>
    <w:p w14:paraId="7FE1B494" w14:textId="57A6BCE4" w:rsidR="00952395" w:rsidRDefault="0083775C">
      <w:pPr>
        <w:pStyle w:val="P68B1DB1-InstructionsText26"/>
        <w:numPr>
          <w:ilvl w:val="0"/>
          <w:numId w:val="234"/>
        </w:numPr>
        <w:spacing w:before="0"/>
      </w:pPr>
      <w:r>
        <w:t xml:space="preserve">Paredzams, ka šo ziņojumu sniegs arī noregulējuma vienības, kas nav daļa no grupas, uz kuru attiecas konsolidētā uzraudzība. </w:t>
      </w:r>
    </w:p>
    <w:p w14:paraId="7FE1B496" w14:textId="77777777" w:rsidR="00952395" w:rsidRDefault="0083775C">
      <w:pPr>
        <w:pStyle w:val="P68B1DB1-InstructionsText26"/>
        <w:numPr>
          <w:ilvl w:val="0"/>
          <w:numId w:val="234"/>
        </w:numPr>
        <w:spacing w:before="0"/>
      </w:pPr>
      <w:r>
        <w:t>Šajā veidnē uzskaita visus grupas vienību akcionārus (vai to ekvivalentus), kuriem ir vairāk nekā 2 % akciju kapitāla (vai līdzvērtīgu) vai balsstiesību, un visas akcijas (vai līdzvērtīgas), kas pieder grupas vienībām.</w:t>
      </w:r>
    </w:p>
    <w:p w14:paraId="7FE1B497" w14:textId="77777777" w:rsidR="00952395" w:rsidRDefault="0083775C">
      <w:pPr>
        <w:pStyle w:val="P68B1DB1-Instructionsberschrift312"/>
      </w:pPr>
      <w:r>
        <w:t>Norādījumi attiecībā uz konkrētām pozīcijām</w:t>
      </w:r>
    </w:p>
    <w:tbl>
      <w:tblPr>
        <w:tblW w:w="0" w:type="auto"/>
        <w:tblCellMar>
          <w:top w:w="57" w:type="dxa"/>
          <w:left w:w="57" w:type="dxa"/>
          <w:bottom w:w="57" w:type="dxa"/>
          <w:right w:w="0" w:type="dxa"/>
        </w:tblCellMar>
        <w:tblLook w:val="01E0" w:firstRow="1" w:lastRow="1" w:firstColumn="1" w:lastColumn="1" w:noHBand="0" w:noVBand="0"/>
      </w:tblPr>
      <w:tblGrid>
        <w:gridCol w:w="717"/>
        <w:gridCol w:w="8309"/>
      </w:tblGrid>
      <w:tr w:rsidR="00952395"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952395" w:rsidRDefault="0083775C">
            <w:pPr>
              <w:pStyle w:val="P68B1DB1-TableParagraph13"/>
              <w:spacing w:before="66"/>
              <w:rPr>
                <w:rFonts w:eastAsia="Cambria"/>
              </w:rPr>
            </w:pPr>
            <w:r>
              <w:t>Slejas</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952395" w:rsidRDefault="0083775C">
            <w:pPr>
              <w:pStyle w:val="P68B1DB1-TableParagraph13"/>
              <w:spacing w:before="66"/>
              <w:ind w:right="1"/>
              <w:jc w:val="center"/>
              <w:rPr>
                <w:rFonts w:eastAsia="Cambria"/>
              </w:rPr>
            </w:pPr>
            <w:r>
              <w:t>Norādījumi</w:t>
            </w:r>
          </w:p>
        </w:tc>
      </w:tr>
      <w:tr w:rsidR="00952395"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952395" w:rsidRDefault="0083775C">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952395" w:rsidRDefault="0083775C">
            <w:pPr>
              <w:pStyle w:val="P68B1DB1-TableParagraph14"/>
              <w:spacing w:before="108"/>
              <w:ind w:left="85"/>
            </w:pPr>
            <w:r>
              <w:t>Investors</w:t>
            </w:r>
          </w:p>
        </w:tc>
      </w:tr>
      <w:tr w:rsidR="00952395"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952395" w:rsidRDefault="0083775C">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952395" w:rsidRDefault="0083775C">
            <w:pPr>
              <w:pStyle w:val="P68B1DB1-TableParagraph14"/>
              <w:spacing w:before="108"/>
              <w:ind w:left="85"/>
              <w:jc w:val="both"/>
              <w:rPr>
                <w:bCs/>
              </w:rPr>
            </w:pPr>
            <w:r>
              <w:t xml:space="preserve">Nosaukums </w:t>
            </w:r>
          </w:p>
          <w:p w14:paraId="7FE1B4A1" w14:textId="77777777" w:rsidR="00952395" w:rsidRDefault="0083775C">
            <w:pPr>
              <w:pStyle w:val="P68B1DB1-TableParagraph17"/>
              <w:spacing w:before="108"/>
              <w:ind w:left="85"/>
              <w:rPr>
                <w:rFonts w:eastAsia="Book Antiqua"/>
              </w:rPr>
            </w:pPr>
            <w:r>
              <w:t>Ieguldītāja pilns vārds, uzvārds vai nosaukums.</w:t>
            </w:r>
          </w:p>
        </w:tc>
      </w:tr>
      <w:tr w:rsidR="00952395"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952395" w:rsidRDefault="0083775C">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952395" w:rsidRDefault="0083775C">
            <w:pPr>
              <w:pStyle w:val="P68B1DB1-TableParagraph14"/>
              <w:spacing w:before="108"/>
              <w:ind w:left="85"/>
              <w:jc w:val="both"/>
              <w:rPr>
                <w:bCs/>
              </w:rPr>
            </w:pPr>
            <w:r>
              <w:t xml:space="preserve">Kods </w:t>
            </w:r>
          </w:p>
          <w:p w14:paraId="7FE1B4A5" w14:textId="77777777" w:rsidR="00952395" w:rsidRDefault="0083775C">
            <w:pPr>
              <w:pStyle w:val="P68B1DB1-TableParagraph17"/>
              <w:spacing w:before="108"/>
              <w:ind w:left="85"/>
            </w:pPr>
            <w:r>
              <w:t>Juridiskās personas vai investora unikālais identifikators, kas norādīts 0010. slejā.</w:t>
            </w:r>
          </w:p>
          <w:p w14:paraId="7FE1B4A6" w14:textId="77777777" w:rsidR="00952395" w:rsidRDefault="0083775C">
            <w:pPr>
              <w:pStyle w:val="P68B1DB1-TableParagraph17"/>
              <w:spacing w:before="108"/>
              <w:ind w:left="85"/>
            </w:pPr>
            <w:r>
              <w:t>Ja investors ir grupas vienība, kods ir vienāds ar veidnē Z 01.01 (ORG 1) norādīto. Ja investors nav grupas vienība, kods ir:</w:t>
            </w:r>
          </w:p>
          <w:p w14:paraId="7FE1B4A7" w14:textId="77777777" w:rsidR="00952395" w:rsidRDefault="0083775C">
            <w:pPr>
              <w:pStyle w:val="P68B1DB1-TableParagraph17"/>
              <w:numPr>
                <w:ilvl w:val="0"/>
                <w:numId w:val="64"/>
              </w:numPr>
              <w:spacing w:before="108"/>
            </w:pPr>
            <w:r>
              <w:t>iestādēm ar juridiskās personas identifikatoru (LEI) — 20 zīmju burtciparu LEI kods;</w:t>
            </w:r>
          </w:p>
          <w:p w14:paraId="7FE1B4A8" w14:textId="7457E21A" w:rsidR="00952395" w:rsidRDefault="0083775C">
            <w:pPr>
              <w:pStyle w:val="P68B1DB1-TableParagraph17"/>
              <w:numPr>
                <w:ilvl w:val="0"/>
                <w:numId w:val="64"/>
              </w:numPr>
              <w:spacing w:before="108"/>
            </w:pPr>
            <w:r>
              <w:t>ja tas nav pieejams, izmanto MFI kodu vai kodu saskaņā ar vienotu kodifikāciju, ko piemēro Savienībā.</w:t>
            </w:r>
          </w:p>
          <w:p w14:paraId="7FE1B4A9" w14:textId="77777777" w:rsidR="00952395" w:rsidRDefault="0083775C">
            <w:pPr>
              <w:pStyle w:val="P68B1DB1-TableParagraph17"/>
              <w:spacing w:before="108"/>
              <w:ind w:left="85"/>
            </w:pPr>
            <w:r>
              <w:t>Abiem gadījumiem kods jābūt unikālam, un tas veidnēs jāizmanto konsekventi.</w:t>
            </w:r>
          </w:p>
        </w:tc>
      </w:tr>
      <w:tr w:rsidR="00952395"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952395" w:rsidRDefault="0083775C">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952395" w:rsidRDefault="0083775C">
            <w:pPr>
              <w:pStyle w:val="P68B1DB1-TableParagraph14"/>
              <w:spacing w:before="108"/>
              <w:ind w:left="85"/>
              <w:jc w:val="both"/>
              <w:rPr>
                <w:bCs/>
              </w:rPr>
            </w:pPr>
            <w:r>
              <w:t>Koda veids</w:t>
            </w:r>
          </w:p>
          <w:p w14:paraId="560AED27" w14:textId="77777777" w:rsidR="00952395" w:rsidRDefault="0083775C">
            <w:pPr>
              <w:pStyle w:val="P68B1DB1-Normal18"/>
            </w:pPr>
            <w:r>
              <w:t xml:space="preserve">Ja investors ir grupas vienība, kods ir vienāds ar veidnē Z 01.01 (ORG 1) norādīto. </w:t>
            </w:r>
          </w:p>
          <w:p w14:paraId="2DC78FBF" w14:textId="77777777" w:rsidR="00952395" w:rsidRDefault="00952395">
            <w:pPr>
              <w:rPr>
                <w:rFonts w:ascii="Times New Roman" w:hAnsi="Times New Roman" w:cs="Times New Roman"/>
                <w:sz w:val="20"/>
                <w:szCs w:val="20"/>
              </w:rPr>
            </w:pPr>
          </w:p>
          <w:p w14:paraId="3C91DA4D" w14:textId="535D128A" w:rsidR="00952395" w:rsidRDefault="0083775C">
            <w:pPr>
              <w:pStyle w:val="P68B1DB1-Normal19"/>
              <w:rPr>
                <w:rFonts w:eastAsiaTheme="minorHAnsi"/>
              </w:rPr>
            </w:pPr>
            <w:r>
              <w:t>Jāizvēlas no šādām iespējām: “LEI kods”, “MFI kods” vai “Identifikatora veids, kas nav LEI vai MFI kods”.</w:t>
            </w:r>
          </w:p>
          <w:p w14:paraId="7FE1B4B2" w14:textId="77777777" w:rsidR="00952395" w:rsidRDefault="0083775C">
            <w:pPr>
              <w:pStyle w:val="P68B1DB1-TableParagraph17"/>
              <w:spacing w:before="108"/>
            </w:pPr>
            <w:r>
              <w:t>Lai identificētu vienības vai ieguldītājus, visās veidnēs konsekventi izmanto kodu un veidu pāri.</w:t>
            </w:r>
          </w:p>
        </w:tc>
      </w:tr>
      <w:tr w:rsidR="00952395"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952395" w:rsidRDefault="0083775C">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952395" w:rsidRDefault="0083775C">
            <w:pPr>
              <w:pStyle w:val="P68B1DB1-TableParagraph14"/>
              <w:spacing w:before="108"/>
              <w:ind w:left="85"/>
              <w:jc w:val="both"/>
              <w:rPr>
                <w:bCs/>
              </w:rPr>
            </w:pPr>
            <w:r>
              <w:t>Ieguldījumu saņēmējs</w:t>
            </w:r>
          </w:p>
        </w:tc>
      </w:tr>
      <w:tr w:rsidR="00952395"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952395" w:rsidRDefault="0083775C">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952395" w:rsidRDefault="0083775C">
            <w:pPr>
              <w:pStyle w:val="P68B1DB1-TableParagraph14"/>
              <w:spacing w:before="108"/>
              <w:ind w:left="85"/>
              <w:jc w:val="both"/>
              <w:rPr>
                <w:bCs/>
              </w:rPr>
            </w:pPr>
            <w:r>
              <w:t xml:space="preserve">Nosaukums </w:t>
            </w:r>
          </w:p>
          <w:p w14:paraId="7FE1B4B9" w14:textId="77777777" w:rsidR="00952395" w:rsidRDefault="0083775C">
            <w:pPr>
              <w:pStyle w:val="P68B1DB1-TableParagraph13"/>
              <w:spacing w:before="108"/>
              <w:ind w:left="85"/>
              <w:jc w:val="both"/>
              <w:rPr>
                <w:bCs/>
              </w:rPr>
            </w:pPr>
            <w:r>
              <w:t>Ieguldījumu saņēmēja pilns nosaukums vai nosaukums.</w:t>
            </w:r>
          </w:p>
        </w:tc>
      </w:tr>
      <w:tr w:rsidR="00952395"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952395" w:rsidRDefault="0083775C">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952395" w:rsidRDefault="0083775C">
            <w:pPr>
              <w:pStyle w:val="P68B1DB1-TableParagraph14"/>
              <w:spacing w:before="108"/>
              <w:ind w:left="85"/>
              <w:jc w:val="both"/>
              <w:rPr>
                <w:bCs/>
              </w:rPr>
            </w:pPr>
            <w:r>
              <w:t xml:space="preserve">Kods </w:t>
            </w:r>
          </w:p>
          <w:p w14:paraId="7FE1B4BD" w14:textId="77777777" w:rsidR="00952395" w:rsidRDefault="0083775C">
            <w:pPr>
              <w:pStyle w:val="P68B1DB1-TableParagraph13"/>
              <w:spacing w:before="108"/>
              <w:ind w:left="85"/>
              <w:jc w:val="both"/>
              <w:rPr>
                <w:bCs/>
              </w:rPr>
            </w:pPr>
            <w:r>
              <w:t>Juridiskās personas vai investora unikālais identifikators, kas norādīts 0010. slejā.</w:t>
            </w:r>
          </w:p>
          <w:p w14:paraId="7FE1B4BE" w14:textId="77777777" w:rsidR="00952395" w:rsidRDefault="0083775C">
            <w:pPr>
              <w:pStyle w:val="P68B1DB1-TableParagraph13"/>
              <w:spacing w:before="108"/>
              <w:ind w:left="85"/>
              <w:jc w:val="both"/>
              <w:rPr>
                <w:bCs/>
              </w:rPr>
            </w:pPr>
            <w:r>
              <w:lastRenderedPageBreak/>
              <w:t>Ja investētājs ir grupas vienība, kods ir vienāds ar veidnē Z 01.01 (ORG 1) norādīto. Ja investētājs nav grupas vienība, kods ir:</w:t>
            </w:r>
          </w:p>
          <w:p w14:paraId="4B3351AF" w14:textId="77777777" w:rsidR="00952395" w:rsidRDefault="0083775C">
            <w:pPr>
              <w:pStyle w:val="P68B1DB1-TableParagraph13"/>
              <w:numPr>
                <w:ilvl w:val="0"/>
                <w:numId w:val="64"/>
              </w:numPr>
              <w:spacing w:before="108"/>
              <w:rPr>
                <w:bCs/>
              </w:rPr>
            </w:pPr>
            <w:r>
              <w:t>iestādēm ar juridiskās personas identifikatoru (LEI) — 20 zīmju burtciparu LEI kods;</w:t>
            </w:r>
          </w:p>
          <w:p w14:paraId="7FE1B4C0" w14:textId="1326FF82" w:rsidR="00952395" w:rsidRDefault="0083775C">
            <w:pPr>
              <w:pStyle w:val="P68B1DB1-TableParagraph13"/>
              <w:numPr>
                <w:ilvl w:val="0"/>
                <w:numId w:val="64"/>
              </w:numPr>
              <w:spacing w:before="108"/>
              <w:rPr>
                <w:bCs/>
              </w:rPr>
            </w:pPr>
            <w:r>
              <w:t>—</w:t>
            </w:r>
            <w:r>
              <w:tab/>
              <w:t>ja tas nav pieejams, izmanto MFI kodu vai kodu saskaņā ar vienotu kodifikāciju, ko piemēro Savienībā.</w:t>
            </w:r>
          </w:p>
          <w:p w14:paraId="7FE1B4C1" w14:textId="77777777" w:rsidR="00952395" w:rsidRDefault="0083775C">
            <w:pPr>
              <w:pStyle w:val="P68B1DB1-TableParagraph13"/>
              <w:spacing w:before="108"/>
              <w:ind w:left="85"/>
              <w:jc w:val="both"/>
              <w:rPr>
                <w:b/>
                <w:bCs/>
              </w:rPr>
            </w:pPr>
            <w:r>
              <w:t>Abiem gadījumiem kods jābūt unikālam, un tas veidnēs jāizmanto konsekventi.</w:t>
            </w:r>
          </w:p>
        </w:tc>
      </w:tr>
      <w:tr w:rsidR="00952395"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952395" w:rsidRDefault="0083775C">
            <w:pPr>
              <w:pStyle w:val="P68B1DB1-TableParagraph13"/>
              <w:spacing w:before="106"/>
              <w:ind w:left="-1"/>
            </w:pPr>
            <w:r>
              <w:lastRenderedPageBreak/>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952395" w:rsidRDefault="0083775C">
            <w:pPr>
              <w:pStyle w:val="P68B1DB1-TableParagraph14"/>
              <w:spacing w:before="108"/>
              <w:ind w:left="85"/>
              <w:jc w:val="both"/>
              <w:rPr>
                <w:bCs/>
              </w:rPr>
            </w:pPr>
            <w:r>
              <w:t>Koda veids</w:t>
            </w:r>
          </w:p>
          <w:p w14:paraId="7FE1B4C5" w14:textId="77777777" w:rsidR="00952395" w:rsidRDefault="0083775C">
            <w:pPr>
              <w:pStyle w:val="P68B1DB1-TableParagraph13"/>
              <w:spacing w:before="108"/>
              <w:ind w:left="85"/>
              <w:jc w:val="both"/>
              <w:rPr>
                <w:bCs/>
              </w:rPr>
            </w:pPr>
            <w:r>
              <w:t xml:space="preserve">Ja investētājs ir grupas vienība, kods ir vienāds ar veidnē Z 01.01 (ORG 1) norādīto. </w:t>
            </w:r>
          </w:p>
          <w:p w14:paraId="783CEC76" w14:textId="13C64C21" w:rsidR="00952395" w:rsidRDefault="0083775C">
            <w:pPr>
              <w:pStyle w:val="P68B1DB1-TableParagraph13"/>
              <w:spacing w:before="108"/>
              <w:ind w:left="85"/>
              <w:jc w:val="both"/>
              <w:rPr>
                <w:bCs/>
              </w:rPr>
            </w:pPr>
            <w:r>
              <w:t>Jāizvēlas no šādām iespējām: “LEI kods”, “MFI kods” vai “Identifikatora veids, kas nav LEI vai MFI kods”.</w:t>
            </w:r>
          </w:p>
          <w:p w14:paraId="7FE1B4CA" w14:textId="092DA599" w:rsidR="00952395" w:rsidRDefault="0083775C">
            <w:pPr>
              <w:pStyle w:val="P68B1DB1-TableParagraph17"/>
              <w:spacing w:before="108"/>
            </w:pPr>
            <w:r>
              <w:t>Koda veidu uzrāda vienmēr.</w:t>
            </w:r>
          </w:p>
          <w:p w14:paraId="7FE1B4CB" w14:textId="77777777" w:rsidR="00952395" w:rsidRDefault="0083775C">
            <w:pPr>
              <w:pStyle w:val="P68B1DB1-TableParagraph13"/>
              <w:spacing w:before="108"/>
              <w:ind w:left="85"/>
              <w:rPr>
                <w:b/>
                <w:bCs/>
              </w:rPr>
            </w:pPr>
            <w:r>
              <w:t>Lai identificētu sabiedrības vai ieguldījumu saņēmējus, visās veidnēs konsekventi izmanto kodu un veidu pāri.</w:t>
            </w:r>
          </w:p>
        </w:tc>
      </w:tr>
      <w:tr w:rsidR="00952395"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952395" w:rsidRDefault="0083775C">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952395" w:rsidRDefault="0083775C">
            <w:pPr>
              <w:pStyle w:val="P68B1DB1-TableParagraph14"/>
              <w:spacing w:before="108"/>
              <w:ind w:left="85"/>
            </w:pPr>
            <w:r>
              <w:t>Starptautiskā filiāle</w:t>
            </w:r>
          </w:p>
          <w:p w14:paraId="7FE1B4CF" w14:textId="77777777" w:rsidR="00952395" w:rsidRDefault="0083775C">
            <w:pPr>
              <w:pStyle w:val="P68B1DB1-TableParagraph13"/>
              <w:spacing w:before="108"/>
              <w:ind w:left="85"/>
              <w:jc w:val="both"/>
            </w:pPr>
            <w:r>
              <w:t>Uzrāda šādus saīsinājumus:</w:t>
            </w:r>
          </w:p>
          <w:p w14:paraId="7FE1B4D0" w14:textId="0F2F9A3D" w:rsidR="00952395" w:rsidRDefault="0083775C">
            <w:pPr>
              <w:pStyle w:val="P68B1DB1-TableParagraph13"/>
              <w:spacing w:before="108"/>
              <w:ind w:left="85"/>
              <w:jc w:val="both"/>
            </w:pPr>
            <w:r>
              <w:t>Jā — ja ieguldījumu saņēmējs ir ieguldītāja starptautiska filiāle.</w:t>
            </w:r>
          </w:p>
          <w:p w14:paraId="7FE1B4D1" w14:textId="303CCEBB" w:rsidR="00952395" w:rsidRDefault="0083775C">
            <w:pPr>
              <w:pStyle w:val="P68B1DB1-TableParagraph13"/>
              <w:spacing w:before="108"/>
              <w:ind w:left="85"/>
              <w:jc w:val="both"/>
              <w:rPr>
                <w:b/>
                <w:bCs/>
              </w:rPr>
            </w:pPr>
            <w:r>
              <w:t>Nē — juridiskas personas gadījumā.</w:t>
            </w:r>
          </w:p>
        </w:tc>
      </w:tr>
      <w:tr w:rsidR="00952395"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952395" w:rsidRDefault="0083775C">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952395" w:rsidRDefault="0083775C">
            <w:pPr>
              <w:pStyle w:val="P68B1DB1-TableParagraph14"/>
              <w:spacing w:before="108"/>
              <w:ind w:left="85"/>
              <w:jc w:val="both"/>
              <w:rPr>
                <w:bCs/>
              </w:rPr>
            </w:pPr>
            <w:r>
              <w:t>Īpašumtiesības</w:t>
            </w:r>
          </w:p>
        </w:tc>
      </w:tr>
      <w:tr w:rsidR="00952395"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952395" w:rsidRDefault="0083775C">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952395" w:rsidRDefault="0083775C">
            <w:pPr>
              <w:pStyle w:val="P68B1DB1-TableParagraph14"/>
              <w:spacing w:before="108"/>
              <w:ind w:left="85"/>
              <w:jc w:val="both"/>
            </w:pPr>
            <w:r>
              <w:t>Akciju kapitāls</w:t>
            </w:r>
          </w:p>
          <w:p w14:paraId="7FE1B4D8" w14:textId="77777777" w:rsidR="00952395" w:rsidRDefault="0083775C">
            <w:pPr>
              <w:pStyle w:val="P68B1DB1-TableParagraph17"/>
              <w:spacing w:before="108"/>
              <w:ind w:left="85"/>
              <w:jc w:val="both"/>
            </w:pPr>
            <w:r>
              <w:t>Ieguldītāja turētā akciju kapitāla summa, izņemot rezerves. Starptautiskas filiāles gadījumā lauks ir tukšs.</w:t>
            </w:r>
          </w:p>
        </w:tc>
      </w:tr>
      <w:tr w:rsidR="00952395"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952395" w:rsidRDefault="0083775C">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952395" w:rsidRDefault="0083775C">
            <w:pPr>
              <w:pStyle w:val="P68B1DB1-TableParagraph14"/>
              <w:spacing w:before="108"/>
              <w:ind w:left="85"/>
              <w:rPr>
                <w:rFonts w:eastAsia="Book Antiqua"/>
              </w:rPr>
            </w:pPr>
            <w:r>
              <w:t>Balsstiesības vienībā</w:t>
            </w:r>
          </w:p>
          <w:p w14:paraId="7FE1B4DC" w14:textId="77777777" w:rsidR="00952395" w:rsidRDefault="0083775C">
            <w:pPr>
              <w:pStyle w:val="P68B1DB1-TableParagraph17"/>
              <w:spacing w:before="108"/>
              <w:ind w:left="85"/>
              <w:jc w:val="both"/>
              <w:rPr>
                <w:b/>
              </w:rPr>
            </w:pPr>
            <w:r>
              <w:t>Ieguldītājam piederošo balsstiesību procentuālā daļa. Šī informācija ir nepieciešama tikai tad, ja viena akcija neatbilst vienai balsij (attiecīgi balsstiesības neatbilst akciju kapitālam). Starptautiskas filiāles gadījumā lauks ir tukšs.</w:t>
            </w:r>
          </w:p>
        </w:tc>
      </w:tr>
    </w:tbl>
    <w:p w14:paraId="7FE1B4DE" w14:textId="77777777" w:rsidR="00952395" w:rsidRDefault="00952395">
      <w:pPr>
        <w:rPr>
          <w:rFonts w:ascii="Times New Roman" w:hAnsi="Times New Roman" w:cs="Times New Roman"/>
        </w:rPr>
      </w:pPr>
    </w:p>
    <w:p w14:paraId="7FE1B4DF" w14:textId="77777777" w:rsidR="00952395" w:rsidRDefault="00952395">
      <w:pPr>
        <w:rPr>
          <w:rFonts w:ascii="Times New Roman" w:hAnsi="Times New Roman" w:cs="Times New Roman"/>
        </w:rPr>
      </w:pPr>
    </w:p>
    <w:p w14:paraId="7FE1B4E1" w14:textId="77777777" w:rsidR="00952395" w:rsidRDefault="0083775C">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94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saistību struktūra (LIAB 1)</w:t>
      </w:r>
      <w:bookmarkEnd w:id="54"/>
      <w:bookmarkEnd w:id="55"/>
      <w:bookmarkEnd w:id="56"/>
    </w:p>
    <w:p w14:paraId="7FE1B4E2" w14:textId="77777777" w:rsidR="00952395" w:rsidRDefault="0083775C">
      <w:pPr>
        <w:pStyle w:val="Instructionsberschrift3"/>
      </w:pPr>
      <w:r>
        <w:t>Vispārīgas piezīmes</w:t>
      </w:r>
    </w:p>
    <w:p w14:paraId="7FE1B4E3" w14:textId="190D578F" w:rsidR="00952395" w:rsidRDefault="0083775C">
      <w:pPr>
        <w:pStyle w:val="P68B1DB1-InstructionsText26"/>
        <w:numPr>
          <w:ilvl w:val="0"/>
          <w:numId w:val="233"/>
        </w:numPr>
        <w:spacing w:before="0"/>
      </w:pPr>
      <w:r>
        <w:t>Šajā veidnē ir pieprasīta detalizēta informācija par vienības vai grupas saistību struktūru. Saistības tiek nošķirtas kā iekšējā rekapitalizācijā neiekļautās saistības un iekšējā rekapitalizācijā iekļautās saistības. Sniegts sīkāks sadalījums pa saistību kategorijām, darījuma partneriem un atlikušo termiņu.</w:t>
      </w:r>
    </w:p>
    <w:p w14:paraId="7FE1B4E4" w14:textId="77777777" w:rsidR="00952395" w:rsidRDefault="0083775C">
      <w:pPr>
        <w:pStyle w:val="P68B1DB1-InstructionsText26"/>
        <w:numPr>
          <w:ilvl w:val="0"/>
          <w:numId w:val="233"/>
        </w:numPr>
        <w:spacing w:before="0"/>
      </w:pPr>
      <w:r>
        <w:t>Ja šajā veidnē ir notādīts termiņa sadalījums, atlikušais termiņš ir laiks līdz līguma termiņam. Atkāpjoties no iepriekš minētā:</w:t>
      </w:r>
    </w:p>
    <w:p w14:paraId="7FE1B4E5" w14:textId="77777777" w:rsidR="00952395" w:rsidRDefault="0083775C">
      <w:pPr>
        <w:pStyle w:val="P68B1DB1-InstructionsText26"/>
        <w:numPr>
          <w:ilvl w:val="1"/>
          <w:numId w:val="233"/>
        </w:numPr>
        <w:spacing w:before="0"/>
      </w:pPr>
      <w:r>
        <w:t>ja saistību instruments ietver turētāja izpirkšanas iespēju, kas izmantojama pirms instrumenta sākotnēji noteiktā termiņa, instrumenta termiņš ir agrākais iespējamais datums, kurā turētājs var izmantot izpirkšanas iespēju un pieprasīt instrumenta izpirkšanu vai atmaksu;</w:t>
      </w:r>
    </w:p>
    <w:p w14:paraId="7FE1B4E6" w14:textId="77777777" w:rsidR="00952395" w:rsidRDefault="0083775C">
      <w:pPr>
        <w:pStyle w:val="P68B1DB1-InstructionsText26"/>
        <w:numPr>
          <w:ilvl w:val="1"/>
          <w:numId w:val="233"/>
        </w:numPr>
        <w:spacing w:before="0"/>
      </w:pPr>
      <w:r>
        <w:lastRenderedPageBreak/>
        <w:t>ja saistību instruments ietver stimulu emitentam instrumentu pirkt, izpirkt, atmaksāt vai atpirkt pirms instrumenta sākotnēji noteiktā termiņa, instrumenta termiņš ir agrākais iespējamais datums, kurā emitents var izmantot minēto iespēju un pieprasīt instrumenta izpirkšanu vai atmaksu;</w:t>
      </w:r>
    </w:p>
    <w:p w14:paraId="7FE1B4E8" w14:textId="77777777" w:rsidR="00952395" w:rsidRDefault="0083775C">
      <w:pPr>
        <w:pStyle w:val="P68B1DB1-InstructionsText26"/>
        <w:numPr>
          <w:ilvl w:val="0"/>
          <w:numId w:val="233"/>
        </w:numPr>
        <w:spacing w:before="0"/>
      </w:pPr>
      <w:r>
        <w:t>Pamatsummas starpposma maksājumu gadījumā pamatsummu sadala un iedala atbilstošajās termiņu grupās. Ja piemērojams, termiņu norāda atsevišķi gan pamatsummai, gan uzkrātajiem procentiem.</w:t>
      </w:r>
    </w:p>
    <w:p w14:paraId="7FE1B4E9" w14:textId="7225004D" w:rsidR="00952395" w:rsidRDefault="0083775C">
      <w:pPr>
        <w:pStyle w:val="P68B1DB1-InstructionsText26"/>
        <w:numPr>
          <w:ilvl w:val="0"/>
          <w:numId w:val="233"/>
        </w:numPr>
        <w:spacing w:before="0"/>
      </w:pPr>
      <w:r>
        <w:t>Dažos īpašos gadījumos konkrēta instrumenta termiņš ir atkarīgs no ārējiem faktoriem, uz kuriem iestādei ir maza ietekme vai tās nav vispār. Šādos gadījumos par agrāko izpirkšanas datumu uzskata pirmo dienu, kurā šādi notikumi var izraisīt atmaksu.</w:t>
      </w:r>
    </w:p>
    <w:p w14:paraId="7FE1B4EA" w14:textId="77777777" w:rsidR="00952395" w:rsidRDefault="0083775C">
      <w:pPr>
        <w:pStyle w:val="P68B1DB1-InstructionsText26"/>
        <w:numPr>
          <w:ilvl w:val="0"/>
          <w:numId w:val="233"/>
        </w:numPr>
        <w:spacing w:before="0"/>
      </w:pPr>
      <w:r>
        <w:t>Citos gadījumos līgumos nav paredzēts konkrēts termiņš, piemēram, noguldījumi uz nakti vai noguldījumi uz nakti. Šādos gadījumos uzskata, ka saistībām ir iespējams termiņš pirmajā iespējamajā datumā, t. i., nākamajā/vienā dienā pēc pārskata datuma.</w:t>
      </w:r>
    </w:p>
    <w:p w14:paraId="7FE1B4EB" w14:textId="7998FDEF" w:rsidR="00952395" w:rsidRDefault="0083775C">
      <w:pPr>
        <w:pStyle w:val="P68B1DB1-InstructionsText26"/>
        <w:numPr>
          <w:ilvl w:val="0"/>
          <w:numId w:val="233"/>
        </w:numPr>
        <w:spacing w:before="0"/>
      </w:pPr>
      <w:r>
        <w:t>Attiecībā uz noguldījumiem NGSD segums ne vienmēr nošķir termiņus, kurus uzskata par segtiem, ja pastāv dažādi termiņi. Tādējādi, lai nesegto daļu sadalītu termiņu grupās, iestādēm tiek lūgts piemērot pro rata pieeju attiecībā uz kopējo segumu un attiecīgi sadalīt nesegto daļu pamatā esošo noguldījumu termiņa laikā, ja vien nav piemērojami īpaši noteikumi, kas izriet no Direktīvas 2014/49/ES transponēšanas valsts tiesību aktos.</w:t>
      </w:r>
    </w:p>
    <w:p w14:paraId="7FE1B4EC" w14:textId="333CC915" w:rsidR="00952395" w:rsidRDefault="0083775C">
      <w:pPr>
        <w:pStyle w:val="P68B1DB1-InstructionsText26"/>
        <w:numPr>
          <w:ilvl w:val="0"/>
          <w:numId w:val="233"/>
        </w:numPr>
        <w:spacing w:before="0"/>
      </w:pPr>
      <w:r>
        <w:t>Ja saistības atbilst vairākiem kritērijiem un tās var uzrādīt vairākās rindās diapazonā no 0110 līdz r0210, uzrāda to tikai vienā rindā, kas šajā veidnē ir ar zemāko rindas numuru.</w:t>
      </w:r>
    </w:p>
    <w:p w14:paraId="7FE1B4ED" w14:textId="0B0F63BC" w:rsidR="00952395" w:rsidRDefault="0083775C">
      <w:pPr>
        <w:pStyle w:val="P68B1DB1-InstructionsText26"/>
        <w:numPr>
          <w:ilvl w:val="0"/>
          <w:numId w:val="233"/>
        </w:numPr>
      </w:pPr>
      <w:r>
        <w:t>Šajā veidnē uzrāda gan neatmaksātās summas, gan uzskaites vērtības:</w:t>
      </w:r>
    </w:p>
    <w:p w14:paraId="7FE1B4EE" w14:textId="77777777" w:rsidR="00952395" w:rsidRDefault="0083775C">
      <w:pPr>
        <w:pStyle w:val="P68B1DB1-InstructionsText26"/>
        <w:numPr>
          <w:ilvl w:val="1"/>
          <w:numId w:val="233"/>
        </w:numPr>
      </w:pPr>
      <w:r>
        <w:t xml:space="preserve">Prasības vai instrumenta nenomaksātā summa ir prasības vai instrumenta kopējā pamatsumma un uzkrātie procenti. Nesamaksātā summa ir vienāda ar tā prasījuma vērtību, ko kreditors iesniedz maksātnespējas procedūrā, neņemot vērā noteikumus par maksātnespējas ieskaitu, un neietver nekādas prēmijas vai diskontus saistību instrumentiem. Gadījumos, kad maksātnespējas procedūrā nav iesniegts neviens prasījums, paredzams, ka nesamaksātā summa būs vienāda ar nulli. </w:t>
      </w:r>
    </w:p>
    <w:p w14:paraId="7FE1B4EF" w14:textId="77777777" w:rsidR="00952395" w:rsidRDefault="0083775C">
      <w:pPr>
        <w:pStyle w:val="P68B1DB1-InstructionsText26"/>
        <w:numPr>
          <w:ilvl w:val="1"/>
          <w:numId w:val="233"/>
        </w:numPr>
      </w:pPr>
      <w:r>
        <w:t xml:space="preserve">Tīrā aktīvu vērtība ir tīrā aktīvu vērtība, kā noteikts FINREP nolūkos attiecīgi vai nu saskaņā ar SFPS vai nGAAP. Pārējos gadījumos izmanto skaitļus saskaņā ar nGAAP pārskatu iesniegšanas shēmām. </w:t>
      </w:r>
    </w:p>
    <w:p w14:paraId="7FE1B4F1" w14:textId="1849D60B" w:rsidR="00952395" w:rsidRDefault="0083775C">
      <w:pPr>
        <w:pStyle w:val="P68B1DB1-InstructionsText26"/>
        <w:numPr>
          <w:ilvl w:val="0"/>
          <w:numId w:val="233"/>
        </w:numPr>
        <w:spacing w:before="0"/>
      </w:pPr>
      <w:r>
        <w:t>Šajā ziņojumā atsauces datu punkti, kurus struktūra, iespējams, jau ir paziņojusi FINREP un COREP par to pašu atsauces datumu un pārskata tvērumu (sk. COREP/FINREP atsauces norādījumos). Ja tas tā ir, pārskatu sniedzošajai vienībai šie dati nav jāpaziņo otrreiz. Piemēram, šeit ir jāziņo COREP/FINREP datu punkti, ja pārskatu sniedzošā vienība ir atbrīvota no finanšu vai prudenciālās ziņošanas pienākumiem, un tādā gadījumā noregulējuma iestādēm vienīgais datu avots attiecībā uz šiem datu punktiem ir šis ziņoj</w:t>
      </w:r>
      <w:r>
        <w:t>ums.</w:t>
      </w:r>
    </w:p>
    <w:p w14:paraId="7FE1B4F2" w14:textId="77777777" w:rsidR="00952395" w:rsidRDefault="0083775C">
      <w:pPr>
        <w:pStyle w:val="P68B1DB1-Instructionsberschrift312"/>
      </w:pPr>
      <w:r>
        <w:t>Norādījumi attiecībā uz konkrētām pozīcijām</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952395"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952395" w:rsidRDefault="0083775C">
            <w:pPr>
              <w:pStyle w:val="P68B1DB1-TableParagraph13"/>
              <w:spacing w:before="66"/>
              <w:rPr>
                <w:rFonts w:eastAsia="Cambria"/>
              </w:rPr>
            </w:pPr>
            <w:r>
              <w:t>Slejas</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952395" w:rsidRDefault="0083775C">
            <w:pPr>
              <w:pStyle w:val="P68B1DB1-TableParagraph13"/>
              <w:spacing w:before="66"/>
              <w:ind w:right="1"/>
              <w:jc w:val="center"/>
              <w:rPr>
                <w:rFonts w:eastAsia="Cambria"/>
              </w:rPr>
            </w:pPr>
            <w:r>
              <w:t>Norādījumi</w:t>
            </w:r>
          </w:p>
        </w:tc>
      </w:tr>
      <w:tr w:rsidR="00952395"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952395" w:rsidRDefault="0083775C">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952395" w:rsidRDefault="0083775C">
            <w:pPr>
              <w:pStyle w:val="P68B1DB1-TableParagraph14"/>
              <w:spacing w:before="108"/>
              <w:ind w:left="85"/>
              <w:jc w:val="both"/>
            </w:pPr>
            <w:r>
              <w:t>Mājsaimniecības</w:t>
            </w:r>
          </w:p>
          <w:p w14:paraId="7FE1B4F8" w14:textId="77777777" w:rsidR="00952395" w:rsidRDefault="0083775C">
            <w:pPr>
              <w:pStyle w:val="P68B1DB1-TableParagraph17"/>
              <w:spacing w:before="108"/>
              <w:ind w:left="85"/>
              <w:jc w:val="both"/>
            </w:pPr>
            <w:r>
              <w:t xml:space="preserve">FINREP, V pielikums, 1. daļas 42. punkta f) apakšpunkts. </w:t>
            </w:r>
          </w:p>
          <w:p w14:paraId="7FE1B4F9" w14:textId="77777777" w:rsidR="00952395" w:rsidRDefault="0083775C">
            <w:pPr>
              <w:pStyle w:val="P68B1DB1-TableParagraph17"/>
              <w:spacing w:before="108"/>
              <w:ind w:left="85"/>
              <w:jc w:val="both"/>
              <w:rPr>
                <w:b/>
              </w:rPr>
            </w:pPr>
            <w:r>
              <w:t>Fiziskās personas vai personu grupas, kas ir preču un nefinanšu pakalpojumu patērētāji un ražotāji tikai savam galapatēriņam un tirgus preču ražotāji un nefinanšu un finanšu pakalpojumu sniedzēji ar nosacījumu, ka viņu darbība nav kvazisabiedrību darbība. Iekļautas ir arī bezpeļņas organizācijas, kas apkalpo mājsaimniecības un galvenokārt nodrošina ārpustirgus preces un pakalpojumus, kuri paredzēti konkrētām mājsaimniecību grupām.</w:t>
            </w:r>
          </w:p>
        </w:tc>
      </w:tr>
      <w:tr w:rsidR="00952395"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952395" w:rsidRDefault="0083775C">
            <w:pPr>
              <w:pStyle w:val="P68B1DB1-TableParagraph13"/>
              <w:spacing w:before="106"/>
              <w:ind w:left="-1"/>
              <w:rPr>
                <w:rFonts w:eastAsia="Cambria"/>
              </w:rPr>
            </w:pPr>
            <w:r>
              <w:lastRenderedPageBreak/>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952395" w:rsidRDefault="0083775C">
            <w:pPr>
              <w:pStyle w:val="P68B1DB1-TableParagraph14"/>
              <w:spacing w:before="108"/>
              <w:ind w:left="85"/>
              <w:jc w:val="both"/>
            </w:pPr>
            <w:r>
              <w:t>Nefinanšu sabiedrības (MVU)</w:t>
            </w:r>
          </w:p>
          <w:p w14:paraId="7FE1B4FD" w14:textId="77777777" w:rsidR="00952395" w:rsidRDefault="0083775C">
            <w:pPr>
              <w:pStyle w:val="P68B1DB1-TableParagraph17"/>
              <w:spacing w:before="108"/>
              <w:ind w:left="85"/>
              <w:jc w:val="both"/>
            </w:pPr>
            <w:r>
              <w:t>FINREP, V pielikums, 1. daļas 42. punkta e) apakšpunkts.</w:t>
            </w:r>
          </w:p>
          <w:p w14:paraId="7FE1B4FE" w14:textId="63A52B7A" w:rsidR="00952395" w:rsidRDefault="0083775C">
            <w:pPr>
              <w:pStyle w:val="P68B1DB1-TableParagraph13"/>
              <w:spacing w:before="108"/>
              <w:ind w:left="85"/>
              <w:jc w:val="both"/>
              <w:rPr>
                <w:rFonts w:eastAsia="Cambria"/>
              </w:rPr>
            </w:pPr>
            <w:r>
              <w:t>Sabiedrības un kvazisabiedrības, kas nenodarbojas ar finanšu starpniecību, bet galvenokārt nodarbojas ar tirgū apgrozāmu preču ražošanu un nefinanšu pakalpojumu sniegšanu saskaņā ar Eiropas Centrālās bankas regulu (ES) Nr.</w:t>
            </w:r>
            <w:r>
              <w:footnoteReference w:id="11"/>
            </w:r>
            <w:r>
              <w:t>2021/379, kas arī atbilst sekojošai SME definīcijai:</w:t>
            </w:r>
          </w:p>
          <w:p w14:paraId="7FE1B4FF" w14:textId="77777777" w:rsidR="00952395" w:rsidRDefault="0083775C">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Komisijas 2003. gada 6. maija ieteikuma </w:t>
            </w:r>
            <w:r>
              <w:rPr>
                <w:rFonts w:ascii="Times New Roman" w:eastAsia="Cambria" w:hAnsi="Times New Roman" w:cs="Times New Roman"/>
                <w:color w:val="000000" w:themeColor="text1"/>
                <w:sz w:val="20"/>
                <w:szCs w:val="20"/>
              </w:rPr>
              <w:t>pielikums, I sadaļa, 2. panta 1. punkts</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V pielikums, 1. daļas 5. punkta i) apakšpunkts.</w:t>
            </w:r>
          </w:p>
          <w:p w14:paraId="7FE1B500" w14:textId="77777777" w:rsidR="00952395" w:rsidRDefault="0083775C">
            <w:pPr>
              <w:pStyle w:val="P68B1DB1-TableParagraph17"/>
              <w:spacing w:before="108"/>
              <w:ind w:left="85"/>
              <w:jc w:val="both"/>
              <w:rPr>
                <w:rFonts w:eastAsia="Book Antiqua"/>
              </w:rPr>
            </w:pPr>
            <w:r>
              <w:t>Uzņēmumi, kuros nodarbināti mazāk nekā 250 cilvēki un kuru gada apgrozījums nepārsniedz 50 miljonus euro un/vai gada kopējā bilance nepārsniedz 43 miljonus euro.</w:t>
            </w:r>
          </w:p>
        </w:tc>
      </w:tr>
      <w:tr w:rsidR="00952395"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952395" w:rsidRDefault="0083775C">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952395" w:rsidRDefault="0083775C">
            <w:pPr>
              <w:pStyle w:val="P68B1DB1-TableParagraph14"/>
              <w:spacing w:before="108"/>
              <w:ind w:left="85"/>
              <w:jc w:val="both"/>
            </w:pPr>
            <w:r>
              <w:t>Nefinanšu sabiedrības (kas nav MVU)</w:t>
            </w:r>
          </w:p>
          <w:p w14:paraId="7FE1B504" w14:textId="77777777" w:rsidR="00952395" w:rsidRDefault="0083775C">
            <w:pPr>
              <w:pStyle w:val="P68B1DB1-TableParagraph17"/>
              <w:spacing w:before="108"/>
              <w:ind w:left="85"/>
              <w:jc w:val="both"/>
            </w:pPr>
            <w:r>
              <w:t>FINREP, V pielikums, 1. daļas 42. punkta e) apakšpunkts.</w:t>
            </w:r>
          </w:p>
          <w:p w14:paraId="7FE1B505" w14:textId="53EEC701" w:rsidR="00952395" w:rsidRDefault="0083775C">
            <w:pPr>
              <w:pStyle w:val="P68B1DB1-TableParagraph13"/>
              <w:spacing w:before="108"/>
              <w:ind w:left="85"/>
              <w:jc w:val="both"/>
              <w:rPr>
                <w:rFonts w:eastAsia="Cambria"/>
              </w:rPr>
            </w:pPr>
            <w:r>
              <w:t>Sabiedrības un kvazisabiedrības, kas nenodarbojas ar finanšu starpniecību, bet galvenokārt nodarbojas ar tirgū apgrozāmu preču ražošanu un nefinanšu pakalpojumu sniegšanu saskaņā ar Eiropas Centrālās bankas regulu (ES) 2021/379.</w:t>
            </w:r>
          </w:p>
          <w:p w14:paraId="7FE1B506" w14:textId="77777777" w:rsidR="00952395" w:rsidRDefault="0083775C">
            <w:pPr>
              <w:pStyle w:val="P68B1DB1-TableParagraph17"/>
              <w:spacing w:before="108"/>
              <w:ind w:left="85"/>
              <w:jc w:val="both"/>
              <w:rPr>
                <w:b/>
                <w:bCs/>
              </w:rPr>
            </w:pPr>
            <w:r>
              <w:t xml:space="preserve">Izņemot 0020. slejā norādītos “MVU”. </w:t>
            </w:r>
          </w:p>
        </w:tc>
      </w:tr>
      <w:tr w:rsidR="00952395"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952395" w:rsidRDefault="0083775C">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952395" w:rsidRDefault="0083775C">
            <w:pPr>
              <w:pStyle w:val="P68B1DB1-TableParagraph14"/>
              <w:spacing w:before="108"/>
              <w:ind w:left="85"/>
              <w:jc w:val="both"/>
            </w:pPr>
            <w:r>
              <w:t>Kredītiestādes</w:t>
            </w:r>
          </w:p>
          <w:p w14:paraId="7FE1B50A" w14:textId="77777777" w:rsidR="00952395" w:rsidRDefault="0083775C">
            <w:pPr>
              <w:pStyle w:val="P68B1DB1-TableParagraph17"/>
              <w:spacing w:before="108"/>
              <w:ind w:left="85"/>
              <w:jc w:val="both"/>
            </w:pPr>
            <w:r>
              <w:t>FINREP, V pielikums, 1. daļas 42. punkta c) apakšpunkts.</w:t>
            </w:r>
          </w:p>
          <w:p w14:paraId="7FE1B50B" w14:textId="77777777" w:rsidR="00952395" w:rsidRDefault="0083775C">
            <w:pPr>
              <w:pStyle w:val="P68B1DB1-TableParagraph13"/>
              <w:spacing w:before="108"/>
              <w:ind w:left="85"/>
              <w:jc w:val="both"/>
              <w:rPr>
                <w:b/>
                <w:bCs/>
              </w:rPr>
            </w:pPr>
            <w:r>
              <w:t>Kredītiestādes Regulas (ES) Nr. 575/2013 4. panta 1. punkta 1. apakšpunkta nozīmē un daudzpusējas attīstības bankas.</w:t>
            </w:r>
          </w:p>
        </w:tc>
      </w:tr>
      <w:tr w:rsidR="00952395"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952395" w:rsidRDefault="0083775C">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952395" w:rsidRDefault="0083775C">
            <w:pPr>
              <w:pStyle w:val="P68B1DB1-TableParagraph14"/>
              <w:spacing w:before="108"/>
              <w:ind w:left="85"/>
              <w:jc w:val="both"/>
            </w:pPr>
            <w:r>
              <w:t>Citas finanšu sabiedrības</w:t>
            </w:r>
          </w:p>
          <w:p w14:paraId="7FE1B50F" w14:textId="77777777" w:rsidR="00952395" w:rsidRDefault="0083775C">
            <w:pPr>
              <w:pStyle w:val="P68B1DB1-TableParagraph17"/>
              <w:spacing w:before="108"/>
              <w:ind w:left="85"/>
              <w:jc w:val="both"/>
            </w:pPr>
            <w:r>
              <w:t>FINREP, V pielikums, 1. daļas 42. punkta d) apakšpunkts.</w:t>
            </w:r>
          </w:p>
          <w:p w14:paraId="7FE1B510" w14:textId="06860C4E" w:rsidR="00952395" w:rsidRDefault="0083775C">
            <w:pPr>
              <w:pStyle w:val="P68B1DB1-TableParagraph17"/>
              <w:spacing w:before="108"/>
              <w:ind w:left="85"/>
              <w:jc w:val="both"/>
              <w:rPr>
                <w:b/>
                <w:bCs/>
              </w:rPr>
            </w:pPr>
            <w:r>
              <w:t>Visas finanšu sabiedrības un kvazisabiedrības, kas nav kredītiestādes, piemēram, ieguldījumu brokeru sabiedrības, ieguldījumu fondi, apdrošināšanas sabiedrības, pensiju fondi, kolektīvo ieguldījumu uzņēmumi un tīrvērtes iestādes, kā arī pārējie finanšu starpnieki, finanšu palīgiestādes, piesaistītās (kaptīvās) finanšu iestādes un naudas aizdevēji.</w:t>
            </w:r>
          </w:p>
        </w:tc>
      </w:tr>
      <w:tr w:rsidR="00952395"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952395" w:rsidRDefault="0083775C">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952395" w:rsidRDefault="0083775C">
            <w:pPr>
              <w:pStyle w:val="P68B1DB1-TableParagraph14"/>
              <w:spacing w:before="108"/>
              <w:ind w:left="85"/>
              <w:jc w:val="both"/>
            </w:pPr>
            <w:r>
              <w:t>T. sk. apdrošināšanas sabiedrības un pensiju fondi</w:t>
            </w:r>
          </w:p>
          <w:p w14:paraId="7FE1B514" w14:textId="77777777" w:rsidR="00952395" w:rsidRDefault="0083775C">
            <w:pPr>
              <w:pStyle w:val="P68B1DB1-TableParagraph17"/>
              <w:spacing w:before="108"/>
              <w:ind w:left="85"/>
              <w:jc w:val="both"/>
              <w:rPr>
                <w:b/>
              </w:rPr>
            </w:pPr>
            <w:r>
              <w:t>Apdrošināšanas sabiedrības, pārapdrošināšanas sabiedrības (kā minēts Eiropas Parlamenta un Padomes Direktīvas 2009/138/EK 13. panta 1.–6. punktā) un pensiju un pensiju fondi.</w:t>
            </w:r>
          </w:p>
        </w:tc>
      </w:tr>
      <w:tr w:rsidR="00952395"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952395" w:rsidRDefault="0083775C">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952395" w:rsidRDefault="0083775C">
            <w:pPr>
              <w:pStyle w:val="P68B1DB1-TableParagraph14"/>
              <w:spacing w:before="108"/>
              <w:ind w:left="85"/>
              <w:jc w:val="both"/>
            </w:pPr>
            <w:r>
              <w:t>Vispārējās valdības un centrālās bankas</w:t>
            </w:r>
          </w:p>
          <w:p w14:paraId="7FE1B518" w14:textId="77777777" w:rsidR="00952395" w:rsidRDefault="0083775C">
            <w:pPr>
              <w:pStyle w:val="P68B1DB1-TableParagraph17"/>
              <w:spacing w:before="108"/>
              <w:ind w:left="85"/>
              <w:jc w:val="both"/>
            </w:pPr>
            <w:r>
              <w:t>FINREP, V pielikums, 1. daļas 42. punkta a) un b) apakšpunkts.</w:t>
            </w:r>
          </w:p>
          <w:p w14:paraId="7FE1B519" w14:textId="77777777" w:rsidR="00952395" w:rsidRDefault="0083775C">
            <w:pPr>
              <w:pStyle w:val="P68B1DB1-TableParagraph17"/>
              <w:spacing w:before="108"/>
              <w:ind w:left="85"/>
              <w:jc w:val="both"/>
              <w:rPr>
                <w:b/>
                <w:bCs/>
              </w:rPr>
            </w:pPr>
            <w:r>
              <w:t>Centrālās bankas un centrālās valdības, pavalsts vai reģionālās pašvaldības un vietējās pašpārvaldes, tostarp administratīvās struktūras un nekomerciāli uzņēmumi, izņemot šo pārvaldes iestāžu publiskās un privātās sabiedrības, kas veic komercdarbību (atkarībā no darbības veida tās uzrāda kā “kredītiestādes”, “citas finanšu sabiedrības” vai “nefinanšu sabiedrības”); sociālā nodrošinājuma fondi; un tādas starptautiskās organizācijas kā Eiropas Savienība, Starptautiskais Valūtas fonds un Starptautisko norēķinu</w:t>
            </w:r>
            <w:r>
              <w:t xml:space="preserve"> banka.</w:t>
            </w:r>
          </w:p>
        </w:tc>
      </w:tr>
      <w:tr w:rsidR="00952395"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952395" w:rsidRDefault="0083775C">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952395" w:rsidRDefault="0083775C">
            <w:pPr>
              <w:pStyle w:val="P68B1DB1-TableParagraph14"/>
              <w:spacing w:before="108"/>
              <w:ind w:left="85"/>
              <w:jc w:val="both"/>
            </w:pPr>
            <w:r>
              <w:t>Neidentificēts, iekļauts sarakstā tirdzniecības vietā</w:t>
            </w:r>
          </w:p>
          <w:p w14:paraId="7FE1B51D" w14:textId="5F92CBCC" w:rsidR="00952395" w:rsidRDefault="0083775C">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Ja darījumu platformas (tirdzniecības vietas), kas noteikta saskaņā ar Direktīvu 2014/65/ES, sarakstā </w:t>
            </w:r>
            <w:r>
              <w:rPr>
                <w:rFonts w:ascii="Times New Roman" w:hAnsi="Times New Roman" w:cs="Times New Roman"/>
                <w:color w:val="000000" w:themeColor="text1"/>
                <w:sz w:val="20"/>
                <w:szCs w:val="20"/>
              </w:rPr>
              <w:lastRenderedPageBreak/>
              <w:t>iekļauto instrumentu dēļ vērtspapīru turētāja identitāte nav zināma,</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summas norāda šajā slejā.</w:t>
            </w:r>
          </w:p>
        </w:tc>
      </w:tr>
      <w:tr w:rsidR="00952395"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952395" w:rsidRDefault="0083775C">
            <w:pPr>
              <w:pStyle w:val="P68B1DB1-TableParagraph13"/>
              <w:spacing w:before="106"/>
              <w:ind w:left="-1"/>
            </w:pPr>
            <w:r>
              <w:lastRenderedPageBreak/>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952395" w:rsidRDefault="0083775C">
            <w:pPr>
              <w:pStyle w:val="P68B1DB1-TableParagraph14"/>
              <w:spacing w:before="108"/>
              <w:ind w:left="85"/>
              <w:jc w:val="both"/>
            </w:pPr>
            <w:r>
              <w:t>Neidentificēts, neiekļauts sarakstā tirdzniecības vietā</w:t>
            </w:r>
          </w:p>
          <w:p w14:paraId="7FE1B521" w14:textId="4FDBE5B1" w:rsidR="00952395" w:rsidRDefault="0083775C">
            <w:pPr>
              <w:pStyle w:val="P68B1DB1-TableParagraph17"/>
              <w:spacing w:before="108"/>
              <w:ind w:left="85"/>
              <w:jc w:val="both"/>
            </w:pPr>
            <w:r>
              <w:t>Ja vērtspapīru turētāja identitāte nav zināma un instrumenti nav iekļauti darījumu platformas (tirdzniecības vietas) sarakstā, summas norāda šajā slejā un nekāds sīkāks darījumu partneru iedalījums nav nepieciešams. Pārskatu sniedzošās struktūras tiek mudinātas identificēt darījumu partnerus un līdz minimumam ierobežot šīs slejas izmantošanu.</w:t>
            </w:r>
          </w:p>
        </w:tc>
      </w:tr>
      <w:tr w:rsidR="00952395"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952395" w:rsidRDefault="0083775C">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952395" w:rsidRDefault="0083775C">
            <w:pPr>
              <w:pStyle w:val="P68B1DB1-TableParagraph14"/>
              <w:spacing w:before="108"/>
              <w:ind w:left="85"/>
              <w:jc w:val="both"/>
              <w:rPr>
                <w:bCs/>
              </w:rPr>
            </w:pPr>
            <w:r>
              <w:t>Kopā</w:t>
            </w:r>
          </w:p>
        </w:tc>
      </w:tr>
      <w:tr w:rsidR="00952395"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952395" w:rsidRDefault="0083775C">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952395" w:rsidRDefault="0083775C">
            <w:pPr>
              <w:pStyle w:val="P68B1DB1-TableParagraph14"/>
              <w:spacing w:before="108"/>
              <w:ind w:left="85"/>
              <w:jc w:val="both"/>
            </w:pPr>
            <w:r>
              <w:t>Tajā skaitā: grupas iekšējie darījumi</w:t>
            </w:r>
          </w:p>
          <w:p w14:paraId="7FE1B528" w14:textId="1BF72D2B" w:rsidR="00952395" w:rsidRDefault="0083775C">
            <w:pPr>
              <w:pStyle w:val="P68B1DB1-TableParagraph13"/>
              <w:spacing w:before="108"/>
              <w:ind w:left="85"/>
              <w:jc w:val="both"/>
              <w:rPr>
                <w:rFonts w:eastAsia="Times New Roman"/>
              </w:rPr>
            </w:pPr>
            <w:r>
              <w:t xml:space="preserve">Saistības pret vienībām, kas iekļautas galvenās mātessabiedrības konsolidētajos finanšu pārskatos (atšķirībā no konsolidācijas regulatīvās darbības jomas). </w:t>
            </w:r>
          </w:p>
        </w:tc>
      </w:tr>
      <w:tr w:rsidR="00952395"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952395" w:rsidRDefault="0083775C">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952395" w:rsidRDefault="0083775C">
            <w:pPr>
              <w:pStyle w:val="P68B1DB1-TableParagraph14"/>
              <w:spacing w:before="108"/>
              <w:ind w:left="85"/>
              <w:jc w:val="both"/>
            </w:pPr>
            <w:r>
              <w:t>Tajā skaitā: saistības, kurām piemēro trešās valsts tiesību aktus, izņemot grupas iekšējos darījumus</w:t>
            </w:r>
          </w:p>
          <w:p w14:paraId="7FE1B52C" w14:textId="77777777" w:rsidR="00952395" w:rsidRDefault="0083775C">
            <w:pPr>
              <w:pStyle w:val="P68B1DB1-TableParagraph17"/>
              <w:spacing w:before="108"/>
              <w:ind w:left="85"/>
              <w:jc w:val="both"/>
            </w:pPr>
            <w:r>
              <w:t>Tās ietver saistību bruto summas, kurām piemēro trešās valsts tiesību aktus un/vai kuras emitē grupas vienības, kas nodibinātas trešajās valstīs. Grupas iekšējie darījumi netiek ņemti vērā.</w:t>
            </w:r>
          </w:p>
          <w:p w14:paraId="7FE1B52D" w14:textId="77777777" w:rsidR="00952395" w:rsidRDefault="0083775C">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Ja noregulējuma iestāde ir apstiprinājusi, ka tā saskaņā ar Eiropas Parlamenta un Padomes Direktīvas 2014/59/ES 55. panta 3. punktu ir apmierināta un</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ka jebkurš noregulējuma iestādes lēmums norakstīt vai konvertēt saistības stājas spēkā saskaņā ar attiecīgās trešās valsts tiesību aktiem, attiecīgās saistības šajā slejā nenorāda.</w:t>
            </w:r>
          </w:p>
        </w:tc>
      </w:tr>
    </w:tbl>
    <w:p w14:paraId="7FE1B532" w14:textId="77777777" w:rsidR="00952395" w:rsidRDefault="00952395">
      <w:pPr>
        <w:rPr>
          <w:rFonts w:ascii="Times New Roman" w:hAnsi="Times New Roman" w:cs="Times New Roman"/>
        </w:rPr>
      </w:pPr>
    </w:p>
    <w:p w14:paraId="7FE1B533" w14:textId="77777777" w:rsidR="00952395" w:rsidRDefault="00952395">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952395"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952395" w:rsidRDefault="0083775C">
            <w:pPr>
              <w:pStyle w:val="P68B1DB1-TableParagraph13"/>
              <w:spacing w:before="66"/>
              <w:rPr>
                <w:rFonts w:eastAsia="Cambria"/>
              </w:rPr>
            </w:pPr>
            <w:r>
              <w:t>Rindas</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952395" w:rsidRDefault="0083775C">
            <w:pPr>
              <w:pStyle w:val="P68B1DB1-TableParagraph13"/>
              <w:spacing w:before="66"/>
              <w:ind w:right="1"/>
              <w:jc w:val="center"/>
              <w:rPr>
                <w:rFonts w:eastAsia="Cambria"/>
              </w:rPr>
            </w:pPr>
            <w:r>
              <w:t>Norādījumi</w:t>
            </w:r>
          </w:p>
        </w:tc>
      </w:tr>
      <w:tr w:rsidR="00952395"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952395" w:rsidRDefault="0083775C">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952395" w:rsidRDefault="0083775C">
            <w:pPr>
              <w:pStyle w:val="P68B1DB1-TableParagraph14"/>
              <w:spacing w:before="108"/>
              <w:ind w:left="85"/>
              <w:jc w:val="both"/>
            </w:pPr>
            <w:r>
              <w:t>Iekšējā rekapitalizācijā neiekļautās saistības</w:t>
            </w:r>
          </w:p>
          <w:p w14:paraId="7FE1B53A" w14:textId="5A5F469A" w:rsidR="00952395" w:rsidRDefault="0083775C">
            <w:pPr>
              <w:pStyle w:val="P68B1DB1-TableParagraph17"/>
              <w:spacing w:before="108"/>
              <w:jc w:val="both"/>
            </w:pPr>
            <w:r>
              <w:t xml:space="preserve">Saistību summa, attiecībā uz kuru noregulējuma iestādes neizmanto norakstīšanas vai konvertācijas pilnvaras saskaņā ar Direktīvas 2014/59/ES 44. panta 2. punktu. </w:t>
            </w:r>
          </w:p>
        </w:tc>
      </w:tr>
      <w:tr w:rsidR="00952395"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952395" w:rsidRDefault="0083775C">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952395" w:rsidRDefault="0083775C">
            <w:pPr>
              <w:pStyle w:val="P68B1DB1-TableParagraph14"/>
              <w:spacing w:before="108"/>
              <w:ind w:left="85"/>
              <w:jc w:val="both"/>
            </w:pPr>
            <w:r>
              <w:t>Segtie noguldījumi</w:t>
            </w:r>
          </w:p>
          <w:p w14:paraId="7FE1B53E" w14:textId="77777777" w:rsidR="00952395" w:rsidRDefault="0083775C">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Segto noguldījumu summa, kā noteikts Eiropas Parlamenta un Padomes Direktīvas 2014/49/ES 2. panta 1. punkta 5. apakšpunktā,</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izņemot augstas pagaidu bilances vērtības, kā noteikts attiecīgās direktīvas 6. panta 2. punktā.</w:t>
            </w:r>
          </w:p>
        </w:tc>
      </w:tr>
      <w:tr w:rsidR="00952395"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952395" w:rsidRDefault="0083775C">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952395" w:rsidRDefault="0083775C">
            <w:pPr>
              <w:pStyle w:val="P68B1DB1-TableParagraph14"/>
              <w:spacing w:before="108"/>
              <w:ind w:left="85"/>
              <w:jc w:val="both"/>
            </w:pPr>
            <w:r>
              <w:t>Nodrošinātās saistības — daļa, kas izmantota kā nodrošinājums</w:t>
            </w:r>
          </w:p>
          <w:p w14:paraId="7FE1B542" w14:textId="14245B0A" w:rsidR="00952395" w:rsidRDefault="0083775C">
            <w:pPr>
              <w:pStyle w:val="P68B1DB1-TableParagraph17"/>
              <w:spacing w:before="108"/>
              <w:ind w:left="85"/>
              <w:jc w:val="both"/>
            </w:pPr>
            <w:r>
              <w:t>Saistību summa, kā minēts Direktīvas 2014/59/ES 44. panta 2. punkta b) apakšpunktā.</w:t>
            </w:r>
          </w:p>
          <w:p w14:paraId="7FE1B543" w14:textId="77777777" w:rsidR="00952395" w:rsidRDefault="0083775C">
            <w:pPr>
              <w:pStyle w:val="P68B1DB1-TableParagraph17"/>
              <w:spacing w:before="108"/>
              <w:ind w:left="85"/>
              <w:jc w:val="both"/>
            </w:pPr>
            <w:r>
              <w:t>Nodrošinātās saistības, tostarp līgumi par aktīvu pārdošanu ar atpirkšanu, segtas obligācijas un saistības finanšu instrumentu veidā, kas veido seguma portfeļa neatņemamu daļu un kas saskaņā ar valsts tiesību aktiem tiek nodrošinātas līdzīgā veidā kā segtās obligācijas.</w:t>
            </w:r>
          </w:p>
          <w:p w14:paraId="7FE1B544" w14:textId="77777777" w:rsidR="00952395" w:rsidRDefault="0083775C">
            <w:pPr>
              <w:pStyle w:val="P68B1DB1-TableParagraph17"/>
              <w:spacing w:before="108"/>
              <w:ind w:left="85"/>
              <w:jc w:val="both"/>
            </w:pPr>
            <w:r>
              <w:t xml:space="preserve">Ne prasība gādāt, lai visi nodrošinātie aktīvi saistībā ar segto obligāciju seguma portfeli paliktu neskarti, nošķirti un ar pietiekamu finansējumu, ne Direktīvas 2014/59/ES 44. panta 2. punkta b) </w:t>
            </w:r>
            <w:r>
              <w:lastRenderedPageBreak/>
              <w:t>apakšpunktā minētais izņēmums neliedz noregulējuma iestādēm attiecīgā gadījumā izmantot šādas pilnvaras saistībā ar jebkuru nodrošinātu saistību daļu vai saistībām, kurām ir ieķīlāts nodrošinājums, kas pārsniedz aktīvu, ķīlas, aizturējuma tiesību vai nodrošinājuma vērtību, pret ko tās ir nodrošinātas. Šādu nodrošināto saistību nesegto summu nenorāda šajā rindā, bet norāda 0340. rindā, piemērojot papildu sadalījumu.</w:t>
            </w:r>
          </w:p>
          <w:p w14:paraId="7FE1B545" w14:textId="77777777" w:rsidR="00952395" w:rsidRDefault="0083775C">
            <w:pPr>
              <w:pStyle w:val="P68B1DB1-TableParagraph20"/>
              <w:spacing w:before="108"/>
              <w:ind w:left="85"/>
              <w:jc w:val="both"/>
              <w:rPr>
                <w:color w:val="000000" w:themeColor="text1"/>
              </w:rPr>
            </w:pPr>
            <w:r>
              <w:rPr>
                <w:color w:val="000000" w:themeColor="text1"/>
              </w:rPr>
              <w:t>Centrālās bankas saistības, kuras sedz nodrošinājuma portfelis,</w:t>
            </w:r>
            <w:r>
              <w:rPr>
                <w:color w:val="1A171C"/>
              </w:rPr>
              <w:t>(piem., galvenās refinansēšanas operācijas, ilgāka termiņa refinansēšanas operācijas, mērķa ilgāka termiņa refinansēšanas operācijas u. c.)</w:t>
            </w:r>
            <w:r>
              <w:rPr>
                <w:color w:val="000000" w:themeColor="text1"/>
              </w:rPr>
              <w:t xml:space="preserve">uzskata par nodrošinātām saistībām. </w:t>
            </w:r>
          </w:p>
        </w:tc>
      </w:tr>
      <w:tr w:rsidR="00952395"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952395" w:rsidRDefault="0083775C">
            <w:pPr>
              <w:pStyle w:val="P68B1DB1-TableParagraph13"/>
              <w:spacing w:before="106"/>
              <w:ind w:left="-1"/>
            </w:pPr>
            <w:r>
              <w:lastRenderedPageBreak/>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952395" w:rsidRDefault="0083775C">
            <w:pPr>
              <w:pStyle w:val="P68B1DB1-TableParagraph14"/>
              <w:spacing w:before="108"/>
              <w:ind w:left="85"/>
              <w:jc w:val="both"/>
            </w:pPr>
            <w:r>
              <w:t>Klientu saistības, ja aizsargātas maksātnespējas gadījumā</w:t>
            </w:r>
          </w:p>
          <w:p w14:paraId="7FE1B54A" w14:textId="2F60701C" w:rsidR="00952395" w:rsidRDefault="0083775C">
            <w:pPr>
              <w:pStyle w:val="P68B1DB1-TableParagraph17"/>
              <w:spacing w:before="108"/>
              <w:ind w:left="85"/>
              <w:jc w:val="both"/>
              <w:rPr>
                <w:b/>
                <w:bCs/>
              </w:rPr>
            </w:pPr>
            <w:r>
              <w:t>Saistību summa, kā minēts Direktīvas 2014/59/ES 44. panta 2. punkta c) apakšpunktā.</w:t>
            </w:r>
          </w:p>
        </w:tc>
      </w:tr>
      <w:tr w:rsidR="00952395"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952395" w:rsidRDefault="0083775C">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952395" w:rsidRDefault="0083775C">
            <w:pPr>
              <w:pStyle w:val="P68B1DB1-TableParagraph14"/>
              <w:spacing w:before="108"/>
              <w:ind w:left="85"/>
              <w:jc w:val="both"/>
            </w:pPr>
            <w:r>
              <w:t>Fiduciārās saistības, ja aizsargātas maksātnespējas gadījumā</w:t>
            </w:r>
          </w:p>
          <w:p w14:paraId="7FE1B54F" w14:textId="76B21996" w:rsidR="00952395" w:rsidRDefault="0083775C">
            <w:pPr>
              <w:pStyle w:val="P68B1DB1-TableParagraph17"/>
              <w:spacing w:before="108"/>
              <w:ind w:left="85"/>
              <w:jc w:val="both"/>
              <w:rPr>
                <w:b/>
                <w:bCs/>
              </w:rPr>
            </w:pPr>
            <w:r>
              <w:t>Saistību summa, kā minēts Direktīvas 2014/59/ES 44. panta 2. punkta d) apakšpunktā.</w:t>
            </w:r>
          </w:p>
        </w:tc>
      </w:tr>
      <w:tr w:rsidR="00952395"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952395" w:rsidRDefault="0083775C">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952395" w:rsidRDefault="0083775C">
            <w:pPr>
              <w:pStyle w:val="P68B1DB1-TableParagraph14"/>
              <w:spacing w:before="108"/>
              <w:ind w:left="85"/>
              <w:jc w:val="both"/>
            </w:pPr>
            <w:r>
              <w:t xml:space="preserve">Iestāžu saistības &amp; 7 dienas </w:t>
            </w:r>
          </w:p>
          <w:p w14:paraId="7FE1B554" w14:textId="175AD873" w:rsidR="00952395" w:rsidRDefault="0083775C">
            <w:pPr>
              <w:pStyle w:val="P68B1DB1-TableParagraph17"/>
              <w:spacing w:before="108"/>
              <w:ind w:left="85"/>
              <w:jc w:val="both"/>
              <w:rPr>
                <w:b/>
                <w:bCs/>
              </w:rPr>
            </w:pPr>
            <w:r>
              <w:t>Saistību summa, kā minēts Direktīvas 2014/59/ES 44. panta 2. punkta e) apakšpunktā.</w:t>
            </w:r>
          </w:p>
        </w:tc>
      </w:tr>
      <w:tr w:rsidR="00952395"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952395" w:rsidRDefault="0083775C">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952395" w:rsidRDefault="0083775C">
            <w:pPr>
              <w:pStyle w:val="P68B1DB1-TableParagraph14"/>
              <w:spacing w:before="108"/>
              <w:ind w:left="85"/>
              <w:jc w:val="both"/>
            </w:pPr>
            <w:r>
              <w:t>Sistēmas (operatora) un CDP saistības &lt; 7 dienas</w:t>
            </w:r>
          </w:p>
          <w:p w14:paraId="7FE1B558" w14:textId="79B15273" w:rsidR="00952395" w:rsidRDefault="0083775C">
            <w:pPr>
              <w:pStyle w:val="P68B1DB1-TableParagraph17"/>
              <w:spacing w:before="108"/>
              <w:ind w:left="85"/>
              <w:jc w:val="both"/>
              <w:rPr>
                <w:b/>
                <w:bCs/>
              </w:rPr>
            </w:pPr>
            <w:r>
              <w:t xml:space="preserve">Saistību summa, kā minēts Direktīvas 2014/59/ES 44. panta 2. punkta f) apakšpunktā, tostarp maksājumu un vērtspapīru norēķinu sistēmas un tīrvērtes iestādes, kā arī atvasinātie instrumenti, kuriem tīrvērte veikta CCP un kuru termiņš ir mazāks par 7 dienām. </w:t>
            </w:r>
          </w:p>
        </w:tc>
      </w:tr>
      <w:tr w:rsidR="00952395"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952395" w:rsidRDefault="0083775C">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952395" w:rsidRDefault="0083775C">
            <w:pPr>
              <w:pStyle w:val="P68B1DB1-TableParagraph14"/>
              <w:spacing w:before="108"/>
              <w:ind w:left="85"/>
              <w:jc w:val="both"/>
            </w:pPr>
            <w:r>
              <w:t>Saistības pret darbiniekiem saistībā ar uzkrāto algu, pensijas pabalstu vai citu fiksētu atalgojumu, izņemot atalgojuma mainīgo daļu, ko neregulē darba koplīgums.</w:t>
            </w:r>
          </w:p>
          <w:p w14:paraId="7FE1B55C" w14:textId="77777777" w:rsidR="00952395" w:rsidRDefault="0083775C">
            <w:pPr>
              <w:pStyle w:val="P68B1DB1-TableParagraph17"/>
              <w:spacing w:before="108"/>
              <w:ind w:left="85"/>
              <w:jc w:val="both"/>
            </w:pPr>
            <w:r>
              <w:t>Saistību summa, kā minēts Direktīvas 2014/59/ES 44. panta 2. punkta g) apakšpunkta i) punktā.</w:t>
            </w:r>
          </w:p>
          <w:p w14:paraId="7FE1B55D" w14:textId="77777777" w:rsidR="00952395" w:rsidRDefault="0083775C">
            <w:pPr>
              <w:pStyle w:val="P68B1DB1-TableParagraph17"/>
              <w:spacing w:before="108"/>
              <w:ind w:left="85"/>
              <w:jc w:val="both"/>
              <w:rPr>
                <w:b/>
                <w:bCs/>
              </w:rPr>
            </w:pPr>
            <w:r>
              <w:t>Saistības pret darbiniekiem saistībā ar uzkrāto algu, pensijas pabalstu vai citu fiksētu atalgojumu, izņemot atalgojuma mainīgo daļu, ko neregulē darba koplīgums. Taču to nepiemēro personu, kas uzņemas būtisku risku, atalgojuma mainīgajai daļai, kā noteikts Direktīvas 2013/36/ES 92. panta 2. punktā.</w:t>
            </w:r>
          </w:p>
        </w:tc>
      </w:tr>
      <w:tr w:rsidR="00952395"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952395" w:rsidRDefault="0083775C">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952395" w:rsidRDefault="0083775C">
            <w:pPr>
              <w:pStyle w:val="P68B1DB1-TableParagraph14"/>
              <w:spacing w:before="108"/>
              <w:ind w:left="85"/>
              <w:jc w:val="both"/>
            </w:pPr>
            <w:r>
              <w:t>Saistības, kas ir kritiski svarīgas ikdienas operatīvajai darbībai</w:t>
            </w:r>
          </w:p>
          <w:p w14:paraId="7FE1B562" w14:textId="61C90413" w:rsidR="00952395" w:rsidRDefault="0083775C">
            <w:pPr>
              <w:pStyle w:val="P68B1DB1-TableParagraph17"/>
              <w:spacing w:before="108"/>
              <w:ind w:left="85"/>
              <w:jc w:val="both"/>
              <w:rPr>
                <w:b/>
                <w:bCs/>
              </w:rPr>
            </w:pPr>
            <w:r>
              <w:t>Saistību summa, kā minēts Direktīvas 2014/59/ES 44. panta 2. punkta g) apakšpunkta ii) punktā.</w:t>
            </w:r>
          </w:p>
        </w:tc>
      </w:tr>
      <w:tr w:rsidR="00952395"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952395" w:rsidRDefault="0083775C">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952395" w:rsidRDefault="0083775C">
            <w:pPr>
              <w:pStyle w:val="P68B1DB1-TableParagraph14"/>
              <w:spacing w:before="108"/>
              <w:ind w:left="85"/>
              <w:jc w:val="both"/>
            </w:pPr>
            <w:r>
              <w:t>Nodokļu un sociālā nodrošinājuma iestāžu saistības, ja tām ir priekšroka</w:t>
            </w:r>
          </w:p>
          <w:p w14:paraId="7FE1B567" w14:textId="46841715" w:rsidR="00952395" w:rsidRDefault="0083775C">
            <w:pPr>
              <w:pStyle w:val="P68B1DB1-TableParagraph17"/>
              <w:spacing w:before="108"/>
              <w:ind w:left="85"/>
              <w:jc w:val="both"/>
              <w:rPr>
                <w:b/>
                <w:bCs/>
              </w:rPr>
            </w:pPr>
            <w:r>
              <w:t>Saistību summa, kā minēts Direktīvas 2014/59/ES 44. panta 2. punkta g) apakšpunkta iii) punktā.</w:t>
            </w:r>
          </w:p>
        </w:tc>
      </w:tr>
      <w:tr w:rsidR="00952395"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952395" w:rsidRDefault="0083775C">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952395" w:rsidRDefault="0083775C">
            <w:pPr>
              <w:pStyle w:val="P68B1DB1-TableParagraph14"/>
              <w:spacing w:before="108"/>
              <w:ind w:left="85"/>
              <w:jc w:val="both"/>
            </w:pPr>
            <w:r>
              <w:t>NGS saistības</w:t>
            </w:r>
          </w:p>
          <w:p w14:paraId="7FE1B56C" w14:textId="69555433" w:rsidR="00952395" w:rsidRDefault="0083775C">
            <w:pPr>
              <w:pStyle w:val="P68B1DB1-TableParagraph17"/>
              <w:spacing w:before="108"/>
              <w:ind w:left="85"/>
              <w:jc w:val="both"/>
              <w:rPr>
                <w:b/>
                <w:bCs/>
              </w:rPr>
            </w:pPr>
            <w:r>
              <w:t>Saistību summa, kā minēts Direktīvas 2014/59/ES 44. panta 2. punkta g) apakšpunkta iv) punktā.</w:t>
            </w:r>
          </w:p>
        </w:tc>
      </w:tr>
      <w:tr w:rsidR="00952395"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952395" w:rsidRDefault="0083775C">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952395" w:rsidRDefault="0083775C">
            <w:pPr>
              <w:pStyle w:val="P68B1DB1-TableParagraph14"/>
              <w:spacing w:before="108"/>
              <w:ind w:left="85"/>
              <w:jc w:val="both"/>
            </w:pPr>
            <w:r>
              <w:t>Saitības pret citām noregulējuma grupas vienībām</w:t>
            </w:r>
          </w:p>
          <w:p w14:paraId="7FE1B570" w14:textId="77777777" w:rsidR="00952395" w:rsidRDefault="0083775C">
            <w:pPr>
              <w:pStyle w:val="P68B1DB1-TableParagraph17"/>
              <w:spacing w:before="108"/>
              <w:ind w:left="85"/>
              <w:jc w:val="both"/>
            </w:pPr>
            <w:r>
              <w:t>Saistību summa, kā minēts Direktīvas 2014/59/ES 44. panta 2. punkta h) apakšpunktā</w:t>
            </w:r>
          </w:p>
          <w:p w14:paraId="7FE1B571" w14:textId="098C1D7E" w:rsidR="00952395" w:rsidRDefault="0083775C">
            <w:pPr>
              <w:pStyle w:val="P68B1DB1-TableParagraph17"/>
              <w:spacing w:before="108"/>
              <w:ind w:left="85"/>
              <w:jc w:val="both"/>
            </w:pPr>
            <w:r>
              <w:t>Ja izslēgtās saistības ir atvasināto instrumentu saistības, neto saistību pozīcijas, ņemot vērā Regulas (ES) Nr. 575/2013 429.c pantā paredzētos prudenciālā ieskaita noteikumus, uzrāda slejās, kas attiecas uz “neizpildīto summu” (kā rindā r0334). Slejās, kas attiecas uz “uzskaites vērtību”, uzrāda bilances saistības, kas izriet no atvasinātajiem instrumentiem (kā rindā r0330).</w:t>
            </w:r>
          </w:p>
          <w:p w14:paraId="7FE1B572" w14:textId="5F543301" w:rsidR="00952395" w:rsidRDefault="0083775C">
            <w:pPr>
              <w:pStyle w:val="P68B1DB1-TableParagraph17"/>
              <w:spacing w:before="108"/>
              <w:ind w:left="85"/>
              <w:jc w:val="both"/>
            </w:pPr>
            <w:r>
              <w:t>Ja pārskatu sniedzošā vienība pati nav identificēta kā noregulējuma vienība, tai ir jāziņo tikai par tām saistībām, uz kurām attiecas BAND 44. panta 2. punkta h) apakšpunkts un kuras tur tās meitasuzņēmumi, kas arī nav noregulējuma vienības, bet ietilpst tajā pašā noregulējuma grupā, kurā ietilpst pārskatu sniedzošā vienība.</w:t>
            </w:r>
          </w:p>
          <w:p w14:paraId="7FE1B573" w14:textId="0A9C3B4A" w:rsidR="00952395" w:rsidRDefault="0083775C">
            <w:pPr>
              <w:pStyle w:val="P68B1DB1-TableParagraph17"/>
              <w:spacing w:before="108"/>
              <w:ind w:left="85"/>
              <w:jc w:val="both"/>
            </w:pPr>
            <w:r>
              <w:lastRenderedPageBreak/>
              <w:t xml:space="preserve">Šajā rindā neuzrāda grupas iekšējās saistības vienībām, kas veic uzņēmējdarbību ārpus ES, kā noteikts BAND 1. panta 1. punkta b), c) vai d) apakšpunktā, kā minēts BAND 44. panta 2. punkta h) apakšpunktā. </w:t>
            </w:r>
          </w:p>
        </w:tc>
      </w:tr>
      <w:tr w:rsidR="00952395"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952395" w:rsidRDefault="0083775C">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952395" w:rsidRDefault="0083775C">
            <w:pPr>
              <w:pStyle w:val="P68B1DB1-TableParagraph14"/>
              <w:spacing w:before="108"/>
              <w:ind w:left="85"/>
              <w:jc w:val="both"/>
            </w:pPr>
            <w:r>
              <w:t>Iekšējā rekapitalizācijā iekļautās saistības</w:t>
            </w:r>
          </w:p>
          <w:p w14:paraId="7FE1B577" w14:textId="06299840" w:rsidR="00952395" w:rsidRDefault="0083775C">
            <w:pPr>
              <w:pStyle w:val="P68B1DB1-TableParagraph17"/>
              <w:spacing w:before="108"/>
              <w:ind w:left="85"/>
              <w:jc w:val="both"/>
              <w:rPr>
                <w:b/>
                <w:bCs/>
              </w:rPr>
            </w:pPr>
            <w:r>
              <w:t>Iekšēji rekapitalizējamo saistību summa, kā definēts Direktīvas 2014/59/ES 2. panta 1. punkta 71) apakšpunktā. 0310., 0320., 0330., 0334., 0340., 0350., 0360., 0365., 0370., 0380., 0390. un 0400. rindas summa.</w:t>
            </w:r>
          </w:p>
        </w:tc>
      </w:tr>
      <w:tr w:rsidR="00952395"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952395" w:rsidRDefault="0083775C">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952395" w:rsidRDefault="0083775C">
            <w:pPr>
              <w:pStyle w:val="P68B1DB1-TableParagraph14"/>
              <w:spacing w:before="108"/>
              <w:ind w:left="85"/>
              <w:jc w:val="both"/>
            </w:pPr>
            <w:r>
              <w:t>Noguldījumi, nesegtie, bet preferenciālie</w:t>
            </w:r>
          </w:p>
          <w:p w14:paraId="7FE1B57B" w14:textId="77777777" w:rsidR="00952395" w:rsidRDefault="0083775C">
            <w:pPr>
              <w:pStyle w:val="P68B1DB1-TableParagraph17"/>
              <w:spacing w:before="108"/>
              <w:ind w:left="85"/>
              <w:jc w:val="both"/>
            </w:pPr>
            <w:r>
              <w:t>Direktīvas 2014/59/ES 108. pants</w:t>
            </w:r>
          </w:p>
          <w:p w14:paraId="7FE1B57C" w14:textId="32E4C4DA" w:rsidR="00952395" w:rsidRDefault="0083775C">
            <w:pPr>
              <w:pStyle w:val="P68B1DB1-TableParagraph17"/>
              <w:spacing w:before="108"/>
              <w:ind w:left="85"/>
              <w:jc w:val="both"/>
              <w:rPr>
                <w:b/>
                <w:bCs/>
              </w:rPr>
            </w:pPr>
            <w:r>
              <w:t xml:space="preserve">Noguldījumi, kā noteikts Direktīvas 2014/49/ES 2. panta 1. punkta 3. apakšpunktā, kas nekvalificējas atbrīvojumam no iekšējas rekapitalizācijas (Direktīvas 2014/59/ES 44. panta 2. punkta a) apakšpunkts), taču attiecībā uz kuriem ir paredzēts preferenciāls režīms saskaņā ar Direktīvas 2014/59/ES 108. pantu. </w:t>
            </w:r>
          </w:p>
        </w:tc>
      </w:tr>
      <w:tr w:rsidR="00952395"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952395" w:rsidRDefault="0083775C">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952395" w:rsidRDefault="0083775C">
            <w:pPr>
              <w:pStyle w:val="P68B1DB1-TableParagraph14"/>
              <w:spacing w:before="108"/>
              <w:ind w:left="85"/>
              <w:jc w:val="both"/>
            </w:pPr>
            <w:r>
              <w:t>Noguldījumi, nesegtie un nepreferenciālie</w:t>
            </w:r>
          </w:p>
          <w:p w14:paraId="7FE1B580" w14:textId="0D609C91" w:rsidR="00952395" w:rsidRDefault="0083775C">
            <w:pPr>
              <w:pStyle w:val="P68B1DB1-TableParagraph17"/>
              <w:spacing w:before="108"/>
              <w:ind w:left="85"/>
              <w:jc w:val="both"/>
              <w:rPr>
                <w:b/>
                <w:bCs/>
              </w:rPr>
            </w:pPr>
            <w:r>
              <w:t>Noguldījumi, kā noteikts Direktīvas 2014/49/ES 2. panta 1. punkta 3. apakšpunktā, kas nekvalificējas atbrīvojumam no iekšējas rekapitalizācijas vai preferenciālam režīmam, piemērojot Direktīvas 2014/59/ES 44. panta 2. punkta a) apakšpunktu vai 108. pantu.</w:t>
            </w:r>
          </w:p>
        </w:tc>
      </w:tr>
      <w:tr w:rsidR="00952395"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952395" w:rsidRDefault="0083775C">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952395" w:rsidRDefault="0083775C">
            <w:pPr>
              <w:pStyle w:val="P68B1DB1-TableParagraph14"/>
              <w:spacing w:before="108"/>
              <w:ind w:left="85"/>
              <w:jc w:val="both"/>
            </w:pPr>
            <w:r>
              <w:t>No atvasinātajiem instrumentiem izrietošās bilances saistības</w:t>
            </w:r>
          </w:p>
          <w:p w14:paraId="625CF843" w14:textId="77777777" w:rsidR="00952395" w:rsidRDefault="0083775C">
            <w:pPr>
              <w:pStyle w:val="P68B1DB1-TableParagraph17"/>
              <w:spacing w:before="108"/>
              <w:ind w:left="85"/>
              <w:jc w:val="both"/>
            </w:pPr>
            <w:r>
              <w:t xml:space="preserve">No atvasinātajiem instrumentiem izrietošo saistību uzskaites vērtība. </w:t>
            </w:r>
          </w:p>
          <w:p w14:paraId="7FE1B584" w14:textId="17111D9E" w:rsidR="00952395" w:rsidRDefault="0083775C">
            <w:pPr>
              <w:pStyle w:val="P68B1DB1-TableParagraph17"/>
              <w:spacing w:before="108"/>
              <w:ind w:left="85"/>
              <w:jc w:val="both"/>
              <w:rPr>
                <w:b/>
                <w:bCs/>
              </w:rPr>
            </w:pPr>
            <w:r>
              <w:t>Norāda tikai vērtības laukā “Uzskaites summa”.</w:t>
            </w:r>
          </w:p>
        </w:tc>
      </w:tr>
      <w:tr w:rsidR="00952395"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952395" w:rsidRDefault="0083775C">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952395" w:rsidRDefault="0083775C">
            <w:pPr>
              <w:pStyle w:val="P68B1DB1-TableParagraph14"/>
              <w:spacing w:before="108"/>
              <w:ind w:left="85"/>
              <w:jc w:val="both"/>
            </w:pPr>
            <w:r>
              <w:t>Neto saistību pozīciju summa, ņemot vērā līgumiskās savstarpējo prasījumu ieskaita kopas, pēc novērtēšanas atbilstoši tirgus cenas pielāgojumiem un pirms nodrošinājuma kompensācijas</w:t>
            </w:r>
          </w:p>
          <w:p w14:paraId="43E2EAD9" w14:textId="77777777" w:rsidR="00952395" w:rsidRDefault="0083775C">
            <w:pPr>
              <w:pStyle w:val="P68B1DB1-TableParagraph17"/>
              <w:spacing w:before="108"/>
              <w:ind w:left="85"/>
              <w:jc w:val="both"/>
            </w:pPr>
            <w:r>
              <w:t xml:space="preserve">Pēc noklusējuma visu atvasināto instrumentu saistību neto tirgus vērtību summa katrai līgumisko savstarpējo prasījumu ieskaita kopai. Savstarpējo prasījumu ieskaita kopu iekļauj pārskatā tikai tad, ja savstarpējo prasījumu ieskaita kopas tirgus vērtība ir saistības. Šajā nolūkā atvasinātos instrumentus, uz kuriem neattiecas savstarpējā ieskaita līgumi, uzskata par vienu līgumu, t. i., it kā tā būtu savstarpējo prasījumu ieskaita kopa ar tikai vienu atvasināto instrumentu. </w:t>
            </w:r>
          </w:p>
          <w:p w14:paraId="7FE1B588" w14:textId="07C2ADA5" w:rsidR="00952395" w:rsidRDefault="0083775C">
            <w:pPr>
              <w:pStyle w:val="P68B1DB1-TableParagraph17"/>
              <w:spacing w:before="108"/>
              <w:ind w:left="85"/>
              <w:jc w:val="both"/>
              <w:rPr>
                <w:b/>
                <w:bCs/>
              </w:rPr>
            </w:pPr>
            <w:r>
              <w:t>Norāda tikai vērtības laukā “Neatmaksātā summa”.</w:t>
            </w:r>
          </w:p>
        </w:tc>
      </w:tr>
      <w:tr w:rsidR="00952395"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952395" w:rsidRDefault="0083775C">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952395" w:rsidRDefault="0083775C">
            <w:pPr>
              <w:pStyle w:val="P68B1DB1-TableParagraph14"/>
              <w:spacing w:before="108"/>
              <w:ind w:left="85"/>
              <w:jc w:val="both"/>
            </w:pPr>
            <w:r>
              <w:t>Neto saistību pozīciju summa, ņemot vērā līgumiskās savstarpējo prasījumu ieskaita kopas, pēc novērtēšanas atbilstoši tirgus cenas pielāgojumiem un pēc nodrošinājuma kompensācijas</w:t>
            </w:r>
          </w:p>
          <w:p w14:paraId="5A26CA7C" w14:textId="1D9E4DD4" w:rsidR="00952395" w:rsidRDefault="0083775C">
            <w:pPr>
              <w:pStyle w:val="P68B1DB1-TableParagraph17"/>
              <w:spacing w:before="108"/>
              <w:ind w:left="85"/>
              <w:jc w:val="both"/>
            </w:pPr>
            <w:r>
              <w:t>Uz novērtējumu 0331. rindā attiecina pielāgojumu nodrošinājumam, kas paredzēts, lai nodrošinātu šo riska darījumu, kā rezultātā tiek iegūta šo neto tirgus vērtību summa pēc nodrošinājuma savstarpējā ieskaita atbilstoši tā tirgus vērtībai. Šajā rindā uzrāda tikai tās līgumisko savstarpējo prasījumu ieskaita kopas, kurās saistību pozīcija pēc vērtības pēc tirgus vērtības korekcijām un pēcnodrošinājuma ieskaita ir pozitīva summa (t. i., tikai tad, ja neto pēc tirgus vērtības vērtības (Z15.00 veidnes 0120. c012</w:t>
            </w:r>
            <w:r>
              <w:t xml:space="preserve">0) ir lielāka nekā izvietotā neto nodrošinājuma vērtība (Z15.00 veidnes 0130. c.)). </w:t>
            </w:r>
          </w:p>
          <w:p w14:paraId="7FE1B58C" w14:textId="453C45AE" w:rsidR="00952395" w:rsidRDefault="0083775C">
            <w:pPr>
              <w:pStyle w:val="P68B1DB1-TableParagraph17"/>
              <w:spacing w:before="108"/>
              <w:ind w:left="85"/>
              <w:jc w:val="both"/>
            </w:pPr>
            <w:r>
              <w:t>Norāda tikai vērtības laukā “Neatmaksātā summa”.</w:t>
            </w:r>
          </w:p>
        </w:tc>
      </w:tr>
      <w:tr w:rsidR="00952395"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952395" w:rsidRDefault="0083775C">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952395" w:rsidRDefault="0083775C">
            <w:pPr>
              <w:pStyle w:val="P68B1DB1-TableParagraph14"/>
              <w:spacing w:before="108"/>
              <w:ind w:left="85"/>
              <w:jc w:val="both"/>
            </w:pPr>
            <w:r>
              <w:t>Neto saistību pozīciju summa, ņemot vērā līgumiskās savstarpējo prasījumu ieskaita kopas, pēc novērtēšanas atbilstoši tirgus cenas pielāgojumiem un pēc nodrošinājuma kompensācijas, iekļaujot aplēstās slēgšanas summas</w:t>
            </w:r>
          </w:p>
          <w:p w14:paraId="7FE1B590" w14:textId="77777777" w:rsidR="00952395" w:rsidRDefault="0083775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Saskaņā ar Komisijas Deleģēto regulu (ES)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par tādu saistību vērtēšanu, kas izriet no atvasinātajiem instrumentiem, papildu slēgšanas summu, kas sedz zaudējumu summu vai atvasināto instrumentu darījumu partneru radītās izmaksas vai to gūtos ieguvumus, aizstājot vai iegūstot ekonomisko ekvivalentu atbilstoši līgumu materiālajiem noteikumiem un pušu izvēles tiesības, ievērojot izbeigtos līgumus.</w:t>
            </w:r>
          </w:p>
          <w:p w14:paraId="00480641" w14:textId="2B7C2F6F" w:rsidR="00952395" w:rsidRDefault="0083775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Nepieciešamās aplēses, lai noteiktu slēgšanas summu saskaņā ar iepriekš minēto regulu, individuālā līmenī var būt sarežģītas. Tāpēc to vietā var izmantot aizstājējvērtības, kuru pamatā var būt pieejamie dati, piemēram, prudenciālās prasības tirgus riskam. Ja atvasināto instrumentu saistībām nav iespējams aprēķināt slēgšanas summu, norādītajai summai vajadzētu būt vienādai ar 0332. rindā norādīto summu.</w:t>
            </w:r>
            <w:r>
              <w:t xml:space="preserve"> </w:t>
            </w:r>
            <w:r>
              <w:rPr>
                <w:rFonts w:ascii="Times New Roman" w:eastAsia="Cambria" w:hAnsi="Times New Roman" w:cs="Times New Roman"/>
                <w:color w:val="000000" w:themeColor="text1"/>
                <w:sz w:val="20"/>
                <w:szCs w:val="20"/>
              </w:rPr>
              <w:t>Šajā rindā uzrāda tikai tās līgumisko savstarpējo prasījumu ieskaita kopas, kurās saistību pozīcija pēc novērtējuma pēc tirgus vērtības korekcijām, pēc nodrošinājuma ieskaita un iekļaujot aplēstās slēgšanas summas ir pozitīva summa (t. i., tikai tad, ja aplēstā agrīnas izbeigšanas summa (0150. no Z15.00) ir pozitīva).</w:t>
            </w:r>
          </w:p>
          <w:p w14:paraId="7FE1B591" w14:textId="3F2EA3D4" w:rsidR="00952395" w:rsidRDefault="0083775C">
            <w:pPr>
              <w:pStyle w:val="P68B1DB1-TableParagraph17"/>
              <w:spacing w:before="108"/>
              <w:ind w:left="85"/>
              <w:jc w:val="both"/>
            </w:pPr>
            <w:r>
              <w:t>Norāda tikai vērtības laukā “Neatmaksātā summa”.</w:t>
            </w:r>
          </w:p>
        </w:tc>
      </w:tr>
      <w:tr w:rsidR="00952395"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952395" w:rsidRDefault="0083775C">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952395" w:rsidRDefault="0083775C">
            <w:pPr>
              <w:pStyle w:val="P68B1DB1-TableParagraph14"/>
              <w:spacing w:before="108"/>
              <w:ind w:left="85"/>
              <w:jc w:val="both"/>
              <w:rPr>
                <w:bCs/>
              </w:rPr>
            </w:pPr>
            <w:r>
              <w:t>Neto saistību pozīciju summa, ņemot vērā prudenciālā ieskaita noteikumus</w:t>
            </w:r>
          </w:p>
          <w:p w14:paraId="225BC2D2" w14:textId="5634735D" w:rsidR="00952395" w:rsidRDefault="0083775C">
            <w:pPr>
              <w:pStyle w:val="P68B1DB1-TableParagraph17"/>
              <w:spacing w:before="108"/>
              <w:ind w:left="85"/>
              <w:jc w:val="both"/>
            </w:pPr>
            <w:r>
              <w:t>Pārskatā norāda neto saistību pozīcijas atvasinātajiem instrumentiem, ņemot vērā Regulas (ES) Nr. 575/2013 429. panta prudenciālā ieskaita noteikumus (saistībā ar sviras rādītāja kopējās riska darījumu vērtības mēra aprēķināšanu).</w:t>
            </w:r>
          </w:p>
          <w:p w14:paraId="7FE1B595" w14:textId="1E8C2F86" w:rsidR="00952395" w:rsidRDefault="0083775C">
            <w:pPr>
              <w:pStyle w:val="P68B1DB1-TableParagraph17"/>
              <w:spacing w:before="108"/>
              <w:ind w:left="85"/>
              <w:jc w:val="both"/>
              <w:rPr>
                <w:b/>
                <w:bCs/>
              </w:rPr>
            </w:pPr>
            <w:r>
              <w:t>Norāda tikai vērtības laukā “Neatmaksātā summa”.</w:t>
            </w:r>
          </w:p>
        </w:tc>
      </w:tr>
      <w:tr w:rsidR="00952395"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952395" w:rsidRDefault="0083775C">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952395" w:rsidRDefault="0083775C">
            <w:pPr>
              <w:pStyle w:val="P68B1DB1-TableParagraph14"/>
              <w:spacing w:before="108"/>
              <w:ind w:left="85"/>
              <w:jc w:val="both"/>
              <w:rPr>
                <w:bCs/>
              </w:rPr>
            </w:pPr>
            <w:r>
              <w:t>Nodrošinātās saistības, kas netiek izmantotas kā nodrošinājums</w:t>
            </w:r>
          </w:p>
          <w:p w14:paraId="7FE1B599" w14:textId="77777777" w:rsidR="00952395" w:rsidRDefault="0083775C">
            <w:pPr>
              <w:pStyle w:val="P68B1DB1-TableParagraph13"/>
              <w:spacing w:before="108"/>
              <w:ind w:left="85"/>
              <w:jc w:val="both"/>
              <w:rPr>
                <w:b/>
                <w:bCs/>
              </w:rPr>
            </w:pPr>
            <w:r>
              <w:t>Nodrošināto saistību vai saistību summa, kurām ir ieķīlāts nodrošinājums, kas pārsniedz aktīvu, ķīlas, aizturējuma tiesību vai nodrošinājuma vērtību, pret ko tas ir nodrošināts. Tas ietver jebkādu saistību, kas tiek izmantotas kā nodrošinājums, “nenodrošināto” daļu, piemēram, segto obligāciju vai repo darījumu nenodrošināto daļu.</w:t>
            </w:r>
          </w:p>
        </w:tc>
      </w:tr>
      <w:tr w:rsidR="00952395"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952395" w:rsidRDefault="0083775C">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952395" w:rsidRDefault="0083775C">
            <w:pPr>
              <w:pStyle w:val="P68B1DB1-TableParagraph14"/>
              <w:spacing w:before="108"/>
              <w:ind w:left="85"/>
              <w:jc w:val="both"/>
              <w:rPr>
                <w:bCs/>
              </w:rPr>
            </w:pPr>
            <w:r>
              <w:t>Strukturētās parādzīmes</w:t>
            </w:r>
          </w:p>
          <w:p w14:paraId="7FE1B59D" w14:textId="77777777" w:rsidR="00952395" w:rsidRDefault="0083775C">
            <w:pPr>
              <w:pStyle w:val="P68B1DB1-TableParagraph17"/>
              <w:spacing w:before="108"/>
              <w:ind w:left="85"/>
              <w:jc w:val="both"/>
              <w:rPr>
                <w:b/>
                <w:bCs/>
              </w:rPr>
            </w:pPr>
            <w:r>
              <w:t>Strukturētas parādzīmes šajā nolūkā definē kā parādsaistības, kas ietver iegulta atvasināta instrumenta elementu ar atdevi, kas saistīta ar bāzes aktīviem vai indeksu (publisku vai pasūtītu, piemēram, kapitāla vērtspapīrus vai obligācijas, fiksētas ieņēmumu likmes vai kredītu, ārvalstu valūtas, preces u. c.). Strukturētas parādzīmes neietver parāda instrumentus, kas ietver tikai pirkšanas vai pārdošanas iespējas, piem., instrumenta vērtība nav atkarīga ne no kāda iegulta atvasināta instrumenta elementa.</w:t>
            </w:r>
          </w:p>
        </w:tc>
      </w:tr>
      <w:tr w:rsidR="00952395"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952395" w:rsidRDefault="0083775C">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952395" w:rsidRDefault="0083775C">
            <w:pPr>
              <w:pStyle w:val="P68B1DB1-TableParagraph14"/>
              <w:spacing w:before="108"/>
              <w:ind w:left="85"/>
              <w:jc w:val="both"/>
              <w:rPr>
                <w:bCs/>
              </w:rPr>
            </w:pPr>
            <w:r>
              <w:t>Augstākās prioritātes nenodrošinātās saistības</w:t>
            </w:r>
          </w:p>
          <w:p w14:paraId="7FE1B5A1" w14:textId="2515816B" w:rsidR="00952395" w:rsidRDefault="0083775C">
            <w:pPr>
              <w:pStyle w:val="P68B1DB1-TableParagraph17"/>
              <w:spacing w:before="108"/>
              <w:ind w:left="85"/>
              <w:jc w:val="both"/>
              <w:rPr>
                <w:b/>
                <w:bCs/>
              </w:rPr>
            </w:pPr>
            <w:r>
              <w:t>Tas ietver visus augstākās prioritātes nenodrošinātos instrumentus, kas nav iekļauti citās kategorijās augstāk.</w:t>
            </w:r>
          </w:p>
        </w:tc>
      </w:tr>
      <w:tr w:rsidR="00952395"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952395" w:rsidRDefault="0083775C">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952395" w:rsidRDefault="0083775C">
            <w:pPr>
              <w:pStyle w:val="P68B1DB1-TableParagraph14"/>
              <w:spacing w:before="108"/>
              <w:ind w:left="85"/>
              <w:jc w:val="both"/>
            </w:pPr>
            <w:r>
              <w:t>Augstākās prioritātes nepreferenciālas saistības</w:t>
            </w:r>
          </w:p>
          <w:p w14:paraId="7FE1B5A5" w14:textId="77777777" w:rsidR="00952395" w:rsidRDefault="0083775C">
            <w:pPr>
              <w:pStyle w:val="P68B1DB1-TableParagraph13"/>
              <w:spacing w:before="108"/>
              <w:ind w:left="85"/>
              <w:jc w:val="both"/>
            </w:pPr>
            <w:r>
              <w:t>Jebkuru šādu saistību summa:</w:t>
            </w:r>
          </w:p>
          <w:p w14:paraId="7FE1B5A6" w14:textId="51806099" w:rsidR="00952395" w:rsidRDefault="0083775C">
            <w:pPr>
              <w:pStyle w:val="P68B1DB1-TableParagraph13"/>
              <w:numPr>
                <w:ilvl w:val="0"/>
                <w:numId w:val="69"/>
              </w:numPr>
              <w:spacing w:before="108"/>
              <w:jc w:val="both"/>
            </w:pPr>
            <w:r>
              <w:t xml:space="preserve">Nenodrošinātiem prasījumiem, kas izriet no parāda instrumentiem, kuri atbilst Direktīvas 2014/59/ES 108. panta 2. punkta a), b) un c) apakšpunktā un 3. punktā izklāstītajiem nosacījumiem; </w:t>
            </w:r>
          </w:p>
          <w:p w14:paraId="7FE1B5A7" w14:textId="77777777" w:rsidR="00952395" w:rsidRDefault="0083775C">
            <w:pPr>
              <w:pStyle w:val="P68B1DB1-TableParagraph13"/>
              <w:numPr>
                <w:ilvl w:val="0"/>
                <w:numId w:val="69"/>
              </w:numPr>
              <w:spacing w:before="108"/>
              <w:jc w:val="both"/>
            </w:pPr>
            <w:r>
              <w:t>Nenodrošinātas prasības, kas izriet no Direktīvas 2014/59/ES 108. panta 5. punkta pirmās daļas b) apakšpunktā minētajiem parāda instrumentiem; vai</w:t>
            </w:r>
          </w:p>
          <w:p w14:paraId="7FE1B5A8" w14:textId="77777777" w:rsidR="00952395" w:rsidRDefault="0083775C">
            <w:pPr>
              <w:pStyle w:val="P68B1DB1-TableParagraph13"/>
              <w:numPr>
                <w:ilvl w:val="0"/>
                <w:numId w:val="69"/>
              </w:numPr>
              <w:spacing w:before="108"/>
              <w:jc w:val="both"/>
            </w:pPr>
            <w:r>
              <w:lastRenderedPageBreak/>
              <w:t>Parāda instrumenti, kam ir viszemākā prioritāte starp parastajām nenodrošinātajām prasībām, kas izriet no Direktīvas 2014/59/ES 108. panta 7. punktā minētajiem parāda instrumentiem, attiecībā uz kuriem kāda dalībvalsts saskaņā ar minēto punktu ir noteikusi, ka tie ir vienā līmenī ar prasībām, kas atbilst Direktīvas 2014/59/ES 108. panta 2. punkta a), b) un c) apakšpunktā un 3. punktā minētajiem nosacījumiem.</w:t>
            </w:r>
          </w:p>
        </w:tc>
      </w:tr>
      <w:tr w:rsidR="00952395"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952395" w:rsidRDefault="0083775C">
            <w:pPr>
              <w:pStyle w:val="P68B1DB1-TableParagraph13"/>
              <w:spacing w:before="106"/>
              <w:ind w:left="-1"/>
            </w:pPr>
            <w:r>
              <w:lastRenderedPageBreak/>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952395" w:rsidRDefault="0083775C">
            <w:pPr>
              <w:pStyle w:val="P68B1DB1-TableParagraph14"/>
              <w:spacing w:before="108"/>
              <w:ind w:left="85"/>
              <w:jc w:val="both"/>
              <w:rPr>
                <w:bCs/>
              </w:rPr>
            </w:pPr>
            <w:r>
              <w:t>Subordinētās saistības (nav atzītas kā pašu kapitāls)</w:t>
            </w:r>
          </w:p>
          <w:p w14:paraId="7FE1B5AC" w14:textId="77777777" w:rsidR="00952395" w:rsidRDefault="0083775C">
            <w:pPr>
              <w:pStyle w:val="P68B1DB1-TableParagraph17"/>
              <w:spacing w:before="108"/>
              <w:ind w:left="85"/>
              <w:jc w:val="both"/>
            </w:pPr>
            <w:r>
              <w:t>Saistības, kuras tiks atmaksātas tikai saskaņā ar valsts tiesību aktiem maksātnespējas jomā pēc tam, kad visām parasto kreditoru un augstākās prioritātes nepreferenciālo kreditoru kategorijām ir veikta pilnīga atmaksa. Tās ietver gan līgumiskās, gan likumiskās subordinētās saistības. Pārvaldītājsabiedrību gadījumā šajā kategorijā var norādīt arī nesubordinētos parāda vērtspapīrus (t. i., strukturāla subordinācija).</w:t>
            </w:r>
          </w:p>
          <w:p w14:paraId="7FE1B5AD" w14:textId="77777777" w:rsidR="00952395" w:rsidRDefault="0083775C">
            <w:pPr>
              <w:pStyle w:val="P68B1DB1-TableParagraph17"/>
              <w:spacing w:before="108"/>
              <w:ind w:left="85"/>
              <w:jc w:val="both"/>
            </w:pPr>
            <w:r>
              <w:t xml:space="preserve">Šajā kategorijā iekļauj tikai subordinētus instrumentus, kas netiek atzīti kā pašu kapitāls. </w:t>
            </w:r>
          </w:p>
          <w:p w14:paraId="7FE1B5AE" w14:textId="77777777" w:rsidR="00952395" w:rsidRDefault="0083775C">
            <w:pPr>
              <w:pStyle w:val="P68B1DB1-TableParagraph17"/>
              <w:spacing w:before="108"/>
              <w:ind w:left="85"/>
              <w:jc w:val="both"/>
              <w:rPr>
                <w:b/>
                <w:bCs/>
              </w:rPr>
            </w:pPr>
            <w:r>
              <w:t xml:space="preserve">Šajā rindā arī iekļauj to subordinēto saistību daļu, kas principā ir kvalificējama kā pašu kapitāls, taču nav iekļauta pašu kapitālā pārejas noteikumu dēļ, piemēram, saskaņā ar Regulas (ES) Nr. 575/2013 64. pantu (atlikušais termiņš) vai Regulas (ES) Nr. 575/2013 10. daļu (tiesību saglabāt iepriekš spēkā esošos nosacījumus ietekme). </w:t>
            </w:r>
          </w:p>
        </w:tc>
      </w:tr>
      <w:tr w:rsidR="00952395"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952395" w:rsidRDefault="0083775C">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952395" w:rsidRDefault="0083775C">
            <w:pPr>
              <w:pStyle w:val="P68B1DB1-TableParagraph14"/>
              <w:spacing w:before="108"/>
              <w:ind w:left="85"/>
              <w:jc w:val="both"/>
              <w:rPr>
                <w:bCs/>
              </w:rPr>
            </w:pPr>
            <w:r>
              <w:t>Citas MREL atbilstīgas saistības</w:t>
            </w:r>
          </w:p>
          <w:p w14:paraId="7FE1B5B2" w14:textId="4506AA1E" w:rsidR="00952395" w:rsidRDefault="0083775C">
            <w:pPr>
              <w:pStyle w:val="P68B1DB1-TableParagraph13"/>
              <w:spacing w:before="108"/>
              <w:ind w:left="85"/>
              <w:jc w:val="both"/>
              <w:rPr>
                <w:b/>
                <w:bCs/>
              </w:rPr>
            </w:pPr>
            <w:r>
              <w:t>Saistību summa, kas ir atbilstīga, lai pārskatu sniedzošā vienība izpildītu Direktīvas 2014/59/ES 45. panta prasību attiecīgi saskaņā ar tās 45.e vai 45.f pantu, bet kas nav ietverta 0320. un 0340.–0370. rindā.</w:t>
            </w:r>
          </w:p>
        </w:tc>
      </w:tr>
      <w:tr w:rsidR="00952395"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952395" w:rsidRDefault="0083775C">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952395" w:rsidRDefault="0083775C">
            <w:pPr>
              <w:pStyle w:val="P68B1DB1-TableParagraph14"/>
              <w:spacing w:before="108"/>
              <w:ind w:left="85"/>
              <w:jc w:val="both"/>
              <w:rPr>
                <w:bCs/>
              </w:rPr>
            </w:pPr>
            <w:r>
              <w:t>Nefinanšu saistības</w:t>
            </w:r>
          </w:p>
          <w:p w14:paraId="7FE1B5B6" w14:textId="2BB92741" w:rsidR="00952395" w:rsidRDefault="0083775C">
            <w:pPr>
              <w:pStyle w:val="P68B1DB1-TableParagraph17"/>
              <w:spacing w:before="108"/>
              <w:ind w:left="85"/>
              <w:jc w:val="both"/>
              <w:rPr>
                <w:b/>
                <w:bCs/>
              </w:rPr>
            </w:pPr>
            <w:r>
              <w:t xml:space="preserve">To saistību summa, kuras netiek uzskatītas par finanšu saistībām saskaņā ar piemērojamo grāmatvedības regulējumu, piemēram, uzkrājumi, kas saistīti ar tiesvedību, kurā uzņēmums ir pakļauts. </w:t>
            </w:r>
          </w:p>
        </w:tc>
      </w:tr>
      <w:tr w:rsidR="00952395"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952395" w:rsidRDefault="0083775C">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952395" w:rsidRDefault="0083775C">
            <w:pPr>
              <w:pStyle w:val="P68B1DB1-TableParagraph14"/>
              <w:spacing w:before="108"/>
              <w:ind w:left="85"/>
              <w:jc w:val="both"/>
              <w:rPr>
                <w:bCs/>
              </w:rPr>
            </w:pPr>
            <w:r>
              <w:t>Atlikušās saistības</w:t>
            </w:r>
          </w:p>
          <w:p w14:paraId="7FE1B5BA" w14:textId="66DA2802" w:rsidR="00952395" w:rsidRDefault="0083775C">
            <w:pPr>
              <w:pStyle w:val="P68B1DB1-TableParagraph17"/>
              <w:spacing w:before="108"/>
              <w:ind w:left="85"/>
              <w:jc w:val="both"/>
              <w:rPr>
                <w:b/>
                <w:bCs/>
              </w:rPr>
            </w:pPr>
            <w:r>
              <w:t xml:space="preserve">To saistību summa, kas nav uzrādītas 0100.–0390. rindā. </w:t>
            </w:r>
          </w:p>
        </w:tc>
      </w:tr>
      <w:tr w:rsidR="00952395"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952395" w:rsidRDefault="0083775C">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952395" w:rsidRDefault="0083775C">
            <w:pPr>
              <w:pStyle w:val="P68B1DB1-TableParagraph14"/>
              <w:spacing w:before="108"/>
              <w:ind w:left="85"/>
              <w:jc w:val="both"/>
            </w:pPr>
            <w:r>
              <w:t>Pašu kapitāls</w:t>
            </w:r>
          </w:p>
          <w:p w14:paraId="7FE1B5BE" w14:textId="77777777" w:rsidR="00952395" w:rsidRDefault="0083775C">
            <w:pPr>
              <w:pStyle w:val="P68B1DB1-TableParagraph17"/>
              <w:spacing w:before="108"/>
              <w:ind w:left="85"/>
              <w:jc w:val="both"/>
            </w:pPr>
            <w:r>
              <w:t>Regulas (ES) Nr. 575/2013 4. panta 1. un 118. punkts un 72. pants.</w:t>
            </w:r>
          </w:p>
          <w:p w14:paraId="7FE1B5BF" w14:textId="77777777" w:rsidR="00952395" w:rsidRDefault="0083775C">
            <w:pPr>
              <w:pStyle w:val="P68B1DB1-TableParagraph17"/>
              <w:spacing w:before="108"/>
              <w:ind w:left="85"/>
              <w:jc w:val="both"/>
            </w:pPr>
            <w:r>
              <w:t>Tāda pati definīcija kā COREP (OF): ΘC 01.00;010;010</w:t>
            </w:r>
          </w:p>
        </w:tc>
      </w:tr>
      <w:tr w:rsidR="00952395"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952395" w:rsidRDefault="0083775C">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952395" w:rsidRDefault="0083775C">
            <w:pPr>
              <w:pStyle w:val="P68B1DB1-TableParagraph14"/>
              <w:spacing w:before="108"/>
              <w:ind w:left="85"/>
              <w:jc w:val="both"/>
              <w:rPr>
                <w:bCs/>
              </w:rPr>
            </w:pPr>
            <w:r>
              <w:t>Pirmā līmeņa pamata kapitāls</w:t>
            </w:r>
          </w:p>
          <w:p w14:paraId="7FE1B5C3" w14:textId="77777777" w:rsidR="00952395" w:rsidRDefault="0083775C">
            <w:pPr>
              <w:pStyle w:val="P68B1DB1-TableParagraph17"/>
              <w:spacing w:before="108"/>
              <w:ind w:left="85"/>
              <w:jc w:val="both"/>
            </w:pPr>
            <w:r>
              <w:t>Regulas (ES) Nr. 575/2013 50. pants</w:t>
            </w:r>
          </w:p>
          <w:p w14:paraId="7FE1B5C4" w14:textId="77777777" w:rsidR="00952395" w:rsidRDefault="0083775C">
            <w:pPr>
              <w:pStyle w:val="P68B1DB1-TableParagraph17"/>
              <w:spacing w:before="108"/>
              <w:ind w:left="85"/>
              <w:jc w:val="both"/>
              <w:rPr>
                <w:b/>
                <w:bCs/>
              </w:rPr>
            </w:pPr>
            <w:r>
              <w:t>Tāda pati definīcija kā COREP (OF): ΘC 01.00;020;010Θ</w:t>
            </w:r>
          </w:p>
        </w:tc>
      </w:tr>
      <w:tr w:rsidR="00952395"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952395" w:rsidRDefault="0083775C">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952395" w:rsidRDefault="0083775C">
            <w:pPr>
              <w:pStyle w:val="P68B1DB1-TableParagraph14"/>
              <w:spacing w:before="108"/>
              <w:ind w:left="85"/>
              <w:jc w:val="both"/>
              <w:rPr>
                <w:bCs/>
              </w:rPr>
            </w:pPr>
            <w:r>
              <w:t>Tajā skaitā: kapitāla instrumenti/akciju kapitāls</w:t>
            </w:r>
          </w:p>
          <w:p w14:paraId="7FE1B5C8" w14:textId="77777777" w:rsidR="00952395" w:rsidRDefault="0083775C">
            <w:pPr>
              <w:pStyle w:val="P68B1DB1-TableParagraph17"/>
              <w:spacing w:before="108"/>
              <w:ind w:left="85"/>
              <w:jc w:val="both"/>
            </w:pPr>
            <w:r>
              <w:t>Tiesību instrumenti, kas veido pirmā līmeņa pamata kapitālu (daļu no tā) kapitāla instrumentu/akciju kapitāla veidā.</w:t>
            </w:r>
          </w:p>
          <w:p w14:paraId="7FE1B5C9" w14:textId="5A3DBB27" w:rsidR="00952395" w:rsidRDefault="0083775C">
            <w:pPr>
              <w:pStyle w:val="P68B1DB1-TableParagraph13"/>
              <w:spacing w:before="108"/>
              <w:ind w:left="85"/>
              <w:jc w:val="both"/>
            </w:pPr>
            <w:r>
              <w:t>Uzskaites vērtību (FINREP F01.03–020–010 + F01.03–040) saprot kā instrumentu nominālvērtību, savukārt atlikusī summa atspoguļo atlikušo prasību par akcijām attiecībā uz kopējo uzskaites pašu kapitālu, t. i., ieskaitot uzņēmuma/grupas rezerves.</w:t>
            </w:r>
          </w:p>
        </w:tc>
      </w:tr>
      <w:tr w:rsidR="00952395"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952395" w:rsidRDefault="0083775C">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952395" w:rsidRDefault="0083775C">
            <w:pPr>
              <w:pStyle w:val="P68B1DB1-TableParagraph14"/>
              <w:spacing w:before="108"/>
              <w:ind w:left="85"/>
              <w:jc w:val="both"/>
              <w:rPr>
                <w:bCs/>
              </w:rPr>
            </w:pPr>
            <w:r>
              <w:t>Tajā skaitā: parastām akcijām līdzvērtīgi instrumenti</w:t>
            </w:r>
          </w:p>
          <w:p w14:paraId="7FE1B5CD" w14:textId="0D41ACA0" w:rsidR="00952395" w:rsidRDefault="0083775C">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Tiesību instrumenti, kas veido pirmā līmeņa pamata kapitāla pašu kapitālu (daļu no tā) kā instrumenti, kas nav kapitāla instrumenti/akciju kapitāls, taču ir līdzvērtīgi šai kategorijai.</w:t>
            </w:r>
            <w:r>
              <w:rPr>
                <w:rFonts w:ascii="Times New Roman" w:hAnsi="Times New Roman" w:cs="Times New Roman"/>
              </w:rPr>
              <w:t xml:space="preserve"> </w:t>
            </w:r>
            <w:r>
              <w:rPr>
                <w:rFonts w:ascii="Times New Roman" w:eastAsia="Cambria" w:hAnsi="Times New Roman" w:cs="Times New Roman"/>
                <w:color w:val="000000" w:themeColor="text1"/>
                <w:sz w:val="20"/>
                <w:szCs w:val="20"/>
              </w:rPr>
              <w:t xml:space="preserve">Šajā rindā neuzrāda </w:t>
            </w:r>
            <w:bookmarkStart w:id="57" w:name="_Hlk170122776"/>
            <w:r>
              <w:rPr>
                <w:rFonts w:ascii="Times New Roman" w:eastAsia="Cambria" w:hAnsi="Times New Roman" w:cs="Times New Roman"/>
                <w:color w:val="000000" w:themeColor="text1"/>
                <w:sz w:val="20"/>
                <w:szCs w:val="20"/>
              </w:rPr>
              <w:t>nesadalīto peļņu un rezerves.</w:t>
            </w:r>
            <w:bookmarkEnd w:id="57"/>
          </w:p>
        </w:tc>
      </w:tr>
      <w:tr w:rsidR="00952395"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952395" w:rsidRDefault="0083775C">
            <w:pPr>
              <w:pStyle w:val="P68B1DB1-TableParagraph13"/>
              <w:spacing w:before="106"/>
              <w:ind w:left="-1"/>
            </w:pPr>
            <w:r>
              <w:lastRenderedPageBreak/>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952395" w:rsidRDefault="0083775C">
            <w:pPr>
              <w:pStyle w:val="P68B1DB1-TableParagraph14"/>
              <w:spacing w:before="108"/>
              <w:ind w:left="85"/>
              <w:jc w:val="both"/>
              <w:rPr>
                <w:bCs/>
              </w:rPr>
            </w:pPr>
            <w:r>
              <w:t>Pirmā līmeņa papildu kapitāls</w:t>
            </w:r>
          </w:p>
          <w:p w14:paraId="7FE1B5D1" w14:textId="77777777" w:rsidR="00952395" w:rsidRDefault="0083775C">
            <w:pPr>
              <w:pStyle w:val="P68B1DB1-TableParagraph17"/>
              <w:spacing w:before="108"/>
              <w:ind w:left="85"/>
              <w:jc w:val="both"/>
            </w:pPr>
            <w:r>
              <w:t>Regulas (ES) Nr. 575/2013 61. pants</w:t>
            </w:r>
          </w:p>
          <w:p w14:paraId="7FE1B5D2" w14:textId="77777777" w:rsidR="00952395" w:rsidRDefault="0083775C">
            <w:pPr>
              <w:pStyle w:val="P68B1DB1-TableParagraph17"/>
              <w:spacing w:before="108"/>
              <w:ind w:left="85"/>
              <w:jc w:val="both"/>
              <w:rPr>
                <w:b/>
                <w:bCs/>
              </w:rPr>
            </w:pPr>
            <w:r>
              <w:t>Tāda pati definīcija kā COREP (OF): ΘC 01.00;530;010Θ</w:t>
            </w:r>
          </w:p>
        </w:tc>
      </w:tr>
      <w:tr w:rsidR="00952395"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952395" w:rsidRDefault="0083775C">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952395" w:rsidRDefault="0083775C">
            <w:pPr>
              <w:pStyle w:val="P68B1DB1-TableParagraph14"/>
              <w:spacing w:before="108"/>
              <w:ind w:left="85"/>
              <w:jc w:val="both"/>
              <w:rPr>
                <w:bCs/>
              </w:rPr>
            </w:pPr>
            <w:r>
              <w:t>Tajā skaitā: subordinētās saistības (to daļa), kas atzītas kā pašu kapitāls</w:t>
            </w:r>
          </w:p>
          <w:p w14:paraId="7FE1B5D6" w14:textId="77777777" w:rsidR="00952395" w:rsidRDefault="0083775C">
            <w:pPr>
              <w:pStyle w:val="P68B1DB1-TableParagraph17"/>
              <w:spacing w:before="108"/>
              <w:ind w:left="85"/>
              <w:jc w:val="both"/>
              <w:rPr>
                <w:b/>
                <w:bCs/>
              </w:rPr>
            </w:pPr>
            <w:r>
              <w:t>Tiesību instrumenti, kas veido pirmā līmeņa papildu kapitālu (daļu no tā).</w:t>
            </w:r>
          </w:p>
        </w:tc>
      </w:tr>
      <w:tr w:rsidR="00952395"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952395" w:rsidRDefault="0083775C">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952395" w:rsidRDefault="0083775C">
            <w:pPr>
              <w:pStyle w:val="P68B1DB1-TableParagraph14"/>
              <w:spacing w:before="108"/>
              <w:ind w:left="85"/>
              <w:jc w:val="both"/>
              <w:rPr>
                <w:bCs/>
              </w:rPr>
            </w:pPr>
            <w:r>
              <w:t>Otrā līmeņa kapitāls</w:t>
            </w:r>
          </w:p>
          <w:p w14:paraId="7FE1B5DA" w14:textId="77777777" w:rsidR="00952395" w:rsidRDefault="0083775C">
            <w:pPr>
              <w:pStyle w:val="P68B1DB1-TableParagraph17"/>
              <w:spacing w:before="108"/>
              <w:ind w:left="85"/>
              <w:jc w:val="both"/>
            </w:pPr>
            <w:r>
              <w:t>Regulas (ES) Nr. 575/2013 71. pants</w:t>
            </w:r>
          </w:p>
          <w:p w14:paraId="7FE1B5DB" w14:textId="77777777" w:rsidR="00952395" w:rsidRDefault="0083775C">
            <w:pPr>
              <w:pStyle w:val="P68B1DB1-TableParagraph17"/>
              <w:spacing w:before="108"/>
              <w:ind w:left="85"/>
              <w:jc w:val="both"/>
              <w:rPr>
                <w:b/>
                <w:bCs/>
              </w:rPr>
            </w:pPr>
            <w:r>
              <w:t>Tāda pati definīcija kā COREP (OF): ΘC 01.00;750;010Θ</w:t>
            </w:r>
          </w:p>
        </w:tc>
      </w:tr>
      <w:tr w:rsidR="00952395"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952395" w:rsidRDefault="0083775C">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952395" w:rsidRDefault="0083775C">
            <w:pPr>
              <w:pStyle w:val="P68B1DB1-TableParagraph14"/>
              <w:spacing w:before="108"/>
              <w:ind w:left="85"/>
              <w:jc w:val="both"/>
              <w:rPr>
                <w:bCs/>
              </w:rPr>
            </w:pPr>
            <w:r>
              <w:t>Tajā skaitā: subordinētās saistības (to daļa), kas atzītas kā pašu kapitāls</w:t>
            </w:r>
          </w:p>
          <w:p w14:paraId="7FE1B5DF" w14:textId="77777777" w:rsidR="00952395" w:rsidRDefault="0083775C">
            <w:pPr>
              <w:pStyle w:val="P68B1DB1-TableParagraph17"/>
              <w:spacing w:before="108"/>
              <w:ind w:left="85"/>
              <w:jc w:val="both"/>
              <w:rPr>
                <w:b/>
                <w:bCs/>
              </w:rPr>
            </w:pPr>
            <w:r>
              <w:t>Šajā sadalījumā identificēti tiesību instrumenti, kas veido otrā līmeņa pašu kapitālu (daļu no tā).</w:t>
            </w:r>
          </w:p>
        </w:tc>
      </w:tr>
      <w:tr w:rsidR="00952395"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952395" w:rsidRDefault="0083775C">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952395" w:rsidRDefault="0083775C">
            <w:pPr>
              <w:pStyle w:val="P68B1DB1-TableParagraph14"/>
              <w:spacing w:before="108"/>
              <w:ind w:left="85"/>
              <w:jc w:val="both"/>
              <w:rPr>
                <w:bCs/>
              </w:rPr>
            </w:pPr>
            <w:r>
              <w:t>Kopējās saistības un pašu kapitāls, tostarp atvasināto instrumentu saistības</w:t>
            </w:r>
          </w:p>
          <w:p w14:paraId="7FE1B5E3" w14:textId="77777777" w:rsidR="00952395" w:rsidRDefault="0083775C">
            <w:pPr>
              <w:pStyle w:val="P68B1DB1-TableParagraph17"/>
              <w:spacing w:before="108"/>
              <w:ind w:left="85"/>
              <w:jc w:val="both"/>
              <w:rPr>
                <w:b/>
                <w:bCs/>
              </w:rPr>
            </w:pPr>
            <w:r>
              <w:t>Visu šajā veidnē norādīto saistību un regulatīvām prasībām atbilstošā kapitāla summa. Šajā nolūkā pieskaita visas iepriekšējo rindu summas. Attiecībā uz atvasinātajiem instrumentiem izmantojamā vērtība ir 0334. rindā “Neto saistību pozīciju summa, ņemot vērā prudenciālā ieskaita noteikumus” norādītā vērtība.</w:t>
            </w:r>
          </w:p>
        </w:tc>
      </w:tr>
      <w:tr w:rsidR="00952395"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952395" w:rsidRDefault="0083775C">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952395" w:rsidRDefault="0083775C">
            <w:pPr>
              <w:pStyle w:val="P68B1DB1-TableParagraph14"/>
              <w:jc w:val="both"/>
              <w:rPr>
                <w:bCs/>
              </w:rPr>
            </w:pPr>
            <w:r>
              <w:t>Kopējais pašu kapitāls</w:t>
            </w:r>
          </w:p>
          <w:p w14:paraId="7FE1B604" w14:textId="77777777" w:rsidR="00952395" w:rsidRDefault="0083775C">
            <w:pPr>
              <w:pStyle w:val="P68B1DB1-Normal21"/>
              <w:spacing w:line="276" w:lineRule="auto"/>
              <w:jc w:val="both"/>
            </w:pPr>
            <w:r>
              <w:t>(FINREP F01.03–300–010) uzskaites vērtībai.</w:t>
            </w:r>
          </w:p>
          <w:p w14:paraId="7FE1B605" w14:textId="44D71F77" w:rsidR="00952395" w:rsidRDefault="0083775C">
            <w:pPr>
              <w:pStyle w:val="P68B1DB1-Normal21"/>
              <w:spacing w:line="276" w:lineRule="auto"/>
              <w:jc w:val="both"/>
            </w:pPr>
            <w:r>
              <w:t>Šī kopsumma ir vienāda ar bilances kopējo pašu kapitālu.</w:t>
            </w:r>
          </w:p>
          <w:p w14:paraId="7FE1B606" w14:textId="77777777" w:rsidR="00952395" w:rsidRDefault="00952395">
            <w:pPr>
              <w:pStyle w:val="TableParagraph"/>
              <w:jc w:val="both"/>
              <w:rPr>
                <w:rFonts w:ascii="Times New Roman" w:hAnsi="Times New Roman" w:cs="Times New Roman"/>
                <w:b/>
                <w:bCs/>
                <w:color w:val="000000" w:themeColor="text1"/>
                <w:sz w:val="20"/>
                <w:szCs w:val="20"/>
              </w:rPr>
            </w:pPr>
          </w:p>
        </w:tc>
      </w:tr>
    </w:tbl>
    <w:p w14:paraId="7FE1B60E" w14:textId="77777777" w:rsidR="00952395" w:rsidRDefault="00952395">
      <w:pPr>
        <w:rPr>
          <w:rFonts w:ascii="Times New Roman" w:hAnsi="Times New Roman" w:cs="Times New Roman"/>
        </w:rPr>
      </w:pPr>
    </w:p>
    <w:p w14:paraId="7FE1B60F" w14:textId="1DD0504B" w:rsidR="00952395" w:rsidRDefault="0083775C">
      <w:pPr>
        <w:pStyle w:val="P68B1DB1-Instructionsberschrift25"/>
        <w:numPr>
          <w:ilvl w:val="1"/>
          <w:numId w:val="49"/>
        </w:numPr>
        <w:ind w:left="357" w:hanging="357"/>
      </w:pPr>
      <w:bookmarkStart w:id="58" w:name="_Toc492542323"/>
      <w:bookmarkStart w:id="59" w:name="_Toc81454181"/>
      <w:bookmarkStart w:id="60" w:name="_Toc208244946"/>
      <w:r>
        <w:t>Z 03.01 — Pašu kapitāla prasības — Kredītiestādes (LIAB 2)</w:t>
      </w:r>
      <w:bookmarkEnd w:id="58"/>
      <w:bookmarkEnd w:id="59"/>
      <w:bookmarkEnd w:id="60"/>
    </w:p>
    <w:p w14:paraId="7FE1B610" w14:textId="77777777" w:rsidR="00952395" w:rsidRDefault="0083775C">
      <w:pPr>
        <w:pStyle w:val="Instructionsberschrift3"/>
      </w:pPr>
      <w:r>
        <w:t>Vispārīgas piezīmes</w:t>
      </w:r>
    </w:p>
    <w:p w14:paraId="7FE1B611" w14:textId="77777777" w:rsidR="00952395" w:rsidRDefault="0083775C">
      <w:pPr>
        <w:pStyle w:val="P68B1DB1-InstructionsText26"/>
        <w:numPr>
          <w:ilvl w:val="0"/>
          <w:numId w:val="232"/>
        </w:numPr>
        <w:spacing w:before="0"/>
      </w:pPr>
      <w:r>
        <w:t>Šajā veidnē apkopota informācija par pašu kapitāla prasībām vienībai vai grupai.</w:t>
      </w:r>
    </w:p>
    <w:p w14:paraId="7FE1B612" w14:textId="77777777" w:rsidR="00952395" w:rsidRDefault="0083775C">
      <w:pPr>
        <w:pStyle w:val="P68B1DB1-InstructionsText26"/>
        <w:numPr>
          <w:ilvl w:val="0"/>
          <w:numId w:val="232"/>
        </w:numPr>
        <w:spacing w:before="0"/>
      </w:pPr>
      <w:r>
        <w:t>Visa norādītā informācija atspoguļo pašu kapitāla prasības, kas piemērojamas pārskata atsauces datumā.</w:t>
      </w:r>
    </w:p>
    <w:p w14:paraId="7FE1B613" w14:textId="1B7809D4" w:rsidR="00952395" w:rsidRDefault="0083775C">
      <w:pPr>
        <w:pStyle w:val="P68B1DB1-InstructionsText26"/>
        <w:numPr>
          <w:ilvl w:val="0"/>
          <w:numId w:val="232"/>
        </w:numPr>
        <w:spacing w:before="0"/>
      </w:pPr>
      <w:r>
        <w:t>Izņēmuma kārtā šajā veidnē uzrādītā informācija par SREP kopējās kapitāla prasības (TSCR) rādītāju 0300 — pamatojas uz jaunāko pieejamo oficiālo SREP lēmumu, kas paziņots līdz šā ziņojuma nosūtīšanas datumam, ko sniegusi kompetentā iestāde.</w:t>
      </w:r>
    </w:p>
    <w:p w14:paraId="7FE1B614" w14:textId="77777777" w:rsidR="00952395" w:rsidRDefault="0083775C">
      <w:pPr>
        <w:pStyle w:val="P68B1DB1-InstructionsText26"/>
        <w:numPr>
          <w:ilvl w:val="0"/>
          <w:numId w:val="232"/>
        </w:numPr>
        <w:spacing w:before="0"/>
      </w:pPr>
      <w:r>
        <w:t>Attiecībā uz konsolidētu vai individuālu ziņošanu, ja vienība šos datu punktus jau ir paziņojusi FINREP vai COREP par to pašu atsauces datumu un ziņošanas tvērumu (sk. COREP/FINREP atsauces norādījumos), pārskatu sniedzošajai struktūrai šie datu punkti nav jāziņo otrreiz. Dati ir jāsniedz tikai tad, ja, piemēram, pārskatu sniedzošā vienība ir atbrīvota no finanšu vai prudenciālās ziņošanas pienākumiem, un tādā gadījumā noregulējuma iestādēm vienīgais datu avots attiecībā uz šiem datu punktiem ir šis ziņojum</w:t>
      </w:r>
      <w:r>
        <w:t>s.</w:t>
      </w:r>
    </w:p>
    <w:p w14:paraId="7FE1B615" w14:textId="77777777" w:rsidR="00952395" w:rsidRDefault="00952395">
      <w:pPr>
        <w:pStyle w:val="InstructionsText2"/>
        <w:numPr>
          <w:ilvl w:val="0"/>
          <w:numId w:val="0"/>
        </w:numPr>
        <w:spacing w:before="0"/>
        <w:ind w:left="1440"/>
        <w:rPr>
          <w:rFonts w:ascii="Times New Roman" w:hAnsi="Times New Roman" w:cs="Times New Roman"/>
          <w:sz w:val="20"/>
          <w:szCs w:val="20"/>
        </w:rPr>
      </w:pPr>
    </w:p>
    <w:p w14:paraId="7FE1B61B" w14:textId="77777777" w:rsidR="00952395" w:rsidRDefault="0083775C">
      <w:pPr>
        <w:pStyle w:val="Instructionsberschrift3"/>
      </w:pPr>
      <w:r>
        <w:t>Norādījumi attiecībā uz konkrētām pozīcijām</w:t>
      </w:r>
    </w:p>
    <w:p w14:paraId="7FE1B61C" w14:textId="77777777" w:rsidR="00952395" w:rsidRDefault="00952395">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952395"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952395" w:rsidRDefault="0083775C">
            <w:pPr>
              <w:pStyle w:val="P68B1DB1-TableParagraph13"/>
              <w:spacing w:before="66"/>
              <w:rPr>
                <w:rFonts w:eastAsia="Cambria"/>
              </w:rPr>
            </w:pPr>
            <w:r>
              <w:lastRenderedPageBreak/>
              <w:t>Rindas</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952395" w:rsidRDefault="0083775C">
            <w:pPr>
              <w:pStyle w:val="P68B1DB1-TableParagraph13"/>
              <w:spacing w:before="66"/>
              <w:ind w:right="1"/>
              <w:jc w:val="center"/>
              <w:rPr>
                <w:rFonts w:eastAsia="Cambria"/>
              </w:rPr>
            </w:pPr>
            <w:r>
              <w:t>Norādījumi</w:t>
            </w:r>
          </w:p>
        </w:tc>
      </w:tr>
      <w:tr w:rsidR="00952395"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952395" w:rsidRDefault="0083775C">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952395" w:rsidRDefault="0083775C">
            <w:pPr>
              <w:pStyle w:val="P68B1DB1-TableParagraph14"/>
              <w:spacing w:before="108"/>
              <w:rPr>
                <w:bCs/>
              </w:rPr>
            </w:pPr>
            <w:r>
              <w:t>Kopējā riska darījumu vērtība</w:t>
            </w:r>
          </w:p>
          <w:p w14:paraId="7FE1B622" w14:textId="77777777" w:rsidR="00952395" w:rsidRDefault="0083775C">
            <w:pPr>
              <w:pStyle w:val="P68B1DB1-TableParagraph17"/>
              <w:spacing w:before="108"/>
            </w:pPr>
            <w:r>
              <w:t>Summa, kas norādīta Direktīvas 2014/59/ES 45. panta 2. punkta a) apakšpunktā, aprēķināta atbilstoši Regulas (ES) Nr. 575/2013 92. panta 3. punktam.</w:t>
            </w:r>
          </w:p>
        </w:tc>
      </w:tr>
      <w:tr w:rsidR="00952395"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952395" w:rsidRDefault="0083775C">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952395" w:rsidRDefault="0083775C">
            <w:pPr>
              <w:pStyle w:val="P68B1DB1-TableParagraph14"/>
              <w:spacing w:before="108"/>
              <w:jc w:val="both"/>
              <w:rPr>
                <w:bCs/>
              </w:rPr>
            </w:pPr>
            <w:r>
              <w:t>Kopējās riska darījumu vērtības mērs</w:t>
            </w:r>
          </w:p>
          <w:p w14:paraId="7FE1B626" w14:textId="77777777" w:rsidR="00952395" w:rsidRDefault="0083775C">
            <w:pPr>
              <w:pStyle w:val="P68B1DB1-TableParagraph17"/>
              <w:spacing w:before="108"/>
              <w:jc w:val="both"/>
              <w:rPr>
                <w:b/>
                <w:bCs/>
              </w:rPr>
            </w:pPr>
            <w:r>
              <w:t>Summa, kas norādīta Direktīvas 2014/59/ES 45. panta 2. punkta b) apakšpunktā, aprēķināta saskaņā ar Regulas (ES) Nr. 575/2013 429. panta 4. punktu un 429.a pantu.</w:t>
            </w:r>
          </w:p>
        </w:tc>
      </w:tr>
      <w:tr w:rsidR="00952395"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952395" w:rsidRDefault="0083775C">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952395" w:rsidRDefault="0083775C">
            <w:pPr>
              <w:pStyle w:val="P68B1DB1-TableParagraph14"/>
              <w:spacing w:before="108"/>
              <w:jc w:val="both"/>
              <w:rPr>
                <w:bCs/>
              </w:rPr>
            </w:pPr>
            <w:r>
              <w:t>Sākotnējā kapitāla un sviras rādītāja prasības</w:t>
            </w:r>
          </w:p>
        </w:tc>
      </w:tr>
      <w:tr w:rsidR="00952395"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952395" w:rsidRDefault="0083775C">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952395" w:rsidRDefault="0083775C">
            <w:pPr>
              <w:pStyle w:val="P68B1DB1-TableParagraph14"/>
              <w:spacing w:before="108"/>
              <w:jc w:val="both"/>
              <w:rPr>
                <w:bCs/>
              </w:rPr>
            </w:pPr>
            <w:r>
              <w:t>Sākumkapitāls</w:t>
            </w:r>
          </w:p>
          <w:p w14:paraId="7FE1B62D" w14:textId="77777777" w:rsidR="00952395" w:rsidRDefault="0083775C">
            <w:pPr>
              <w:pStyle w:val="P68B1DB1-TableParagraph17"/>
              <w:spacing w:before="108"/>
              <w:jc w:val="both"/>
            </w:pPr>
            <w:r>
              <w:t>Summa, kas minēta Direktīvas 2013/36/ES 12. pantā un Regulas (ES) Nr. 575/2013 93. pantā.</w:t>
            </w:r>
          </w:p>
          <w:p w14:paraId="7FE1B62E" w14:textId="77777777" w:rsidR="00952395" w:rsidRDefault="0083775C">
            <w:pPr>
              <w:pStyle w:val="P68B1DB1-TableParagraph17"/>
              <w:spacing w:before="108"/>
              <w:jc w:val="both"/>
              <w:rPr>
                <w:b/>
                <w:bCs/>
              </w:rPr>
            </w:pPr>
            <w:r>
              <w:t>Sākotnējā kapitāla summa, kas nepieciešama kā priekšnosacījums atļaujai uzsākt iestādes darbību.</w:t>
            </w:r>
          </w:p>
        </w:tc>
      </w:tr>
      <w:tr w:rsidR="00952395"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952395" w:rsidRDefault="0083775C">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952395" w:rsidRDefault="0083775C">
            <w:pPr>
              <w:pStyle w:val="P68B1DB1-TableParagraph14"/>
              <w:spacing w:before="108"/>
              <w:jc w:val="both"/>
              <w:rPr>
                <w:bCs/>
              </w:rPr>
            </w:pPr>
            <w:r>
              <w:t>Sviras rādītāja prasība</w:t>
            </w:r>
          </w:p>
          <w:p w14:paraId="7FE1B632" w14:textId="77777777" w:rsidR="00952395" w:rsidRDefault="0083775C">
            <w:pPr>
              <w:pStyle w:val="P68B1DB1-TableParagraph13"/>
              <w:spacing w:before="108"/>
              <w:jc w:val="both"/>
            </w:pPr>
            <w:r>
              <w:t>Sviras rādītāja prasība, izņemot prasību, kas noteikta Regulas (ES) Nr. 575/2013 92. panta 1a. punktā, kas piemērojama vienībai vai grupai un izteikta kā kopējās riska darījumu vērtības mērs. Ja nav spēkā formāla prasība, vienības šo aili atstāj tukšu.</w:t>
            </w:r>
          </w:p>
        </w:tc>
      </w:tr>
      <w:tr w:rsidR="00952395"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952395" w:rsidRDefault="0083775C">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952395" w:rsidRDefault="0083775C">
            <w:pPr>
              <w:pStyle w:val="P68B1DB1-TableParagraph14"/>
              <w:spacing w:before="108"/>
              <w:jc w:val="both"/>
              <w:rPr>
                <w:bCs/>
              </w:rPr>
            </w:pPr>
            <w:r>
              <w:t xml:space="preserve">Kopējās SREP kapitāla prasības (TSCR) rādītājs </w:t>
            </w:r>
          </w:p>
          <w:p w14:paraId="7FE1B636" w14:textId="77777777" w:rsidR="00952395" w:rsidRDefault="0083775C">
            <w:pPr>
              <w:pStyle w:val="P68B1DB1-TableParagraph13"/>
              <w:spacing w:before="108"/>
              <w:jc w:val="both"/>
            </w:pPr>
            <w:r>
              <w:t>COREP (OF): ΘC 03.00;130;010Θ</w:t>
            </w:r>
          </w:p>
          <w:p w14:paraId="7FE1B637" w14:textId="77777777" w:rsidR="00952395" w:rsidRDefault="0083775C">
            <w:pPr>
              <w:pStyle w:val="P68B1DB1-InstructionsText22"/>
              <w:ind w:firstLine="0"/>
            </w:pPr>
            <w:r>
              <w:t>Un ii) summa attiecīgi:</w:t>
            </w:r>
          </w:p>
          <w:p w14:paraId="7FE1B638" w14:textId="77777777" w:rsidR="00952395" w:rsidRDefault="0083775C">
            <w:pPr>
              <w:pStyle w:val="P68B1DB1-InstructionsText22"/>
              <w:numPr>
                <w:ilvl w:val="3"/>
                <w:numId w:val="49"/>
              </w:numPr>
            </w:pPr>
            <w:r>
              <w:t xml:space="preserve">kopējais kapitāla rādītājs (8 %), kā noteikts Regulas (ES) Nr. 575/2013 92. panta 1. punkta c) apakšpunktā; </w:t>
            </w:r>
          </w:p>
          <w:p w14:paraId="7FE1B639" w14:textId="77777777" w:rsidR="00952395" w:rsidRDefault="0083775C">
            <w:pPr>
              <w:pStyle w:val="P68B1DB1-InstructionsText22"/>
              <w:numPr>
                <w:ilvl w:val="3"/>
                <w:numId w:val="49"/>
              </w:numPr>
            </w:pPr>
            <w:r>
              <w:t xml:space="preserve">papildu pašu kapitāla prasību (2. pīlāra prasības — P2R) rādītājs, kas noteikts saskaņā ar </w:t>
            </w:r>
            <w:r>
              <w:rPr>
                <w:i/>
              </w:rPr>
              <w:t xml:space="preserve">EBI pamatnostādnēs par kopējām procedūrām un metodoloģijām uzraudzības pārskatam un novērtēšanas procesam un uzraudzības stresa pārbaudei </w:t>
            </w:r>
            <w:r>
              <w:t>(EBI SREP GL) minētajiem kritērijiem.</w:t>
            </w:r>
          </w:p>
          <w:p w14:paraId="7FE1B63A" w14:textId="77777777" w:rsidR="00952395" w:rsidRDefault="0083775C">
            <w:pPr>
              <w:pStyle w:val="P68B1DB1-InstructionsText22"/>
              <w:ind w:firstLine="0"/>
            </w:pPr>
            <w:r>
              <w:t>Šis postenis atspoguļo jaunāko no nosūtīšanas datuma kopējās SREP kapitāla prasības (TSCR) rādītāju, ko kompetentā iestāde paziņojusi iestādei, t. i., attiecībā uz iesniegšanu ar atsauci uz konkrētā gada 31. decembri uzrāda nākamajā gadā piemērojamo P2R. TSCR ir definēts EBI SREP pamatnostādņu 1.2. iedaļā.</w:t>
            </w:r>
          </w:p>
          <w:p w14:paraId="7FE1B63B" w14:textId="77777777" w:rsidR="00952395" w:rsidRDefault="0083775C">
            <w:pPr>
              <w:pStyle w:val="P68B1DB1-InstructionsText22"/>
              <w:ind w:firstLine="0"/>
            </w:pPr>
            <w:r>
              <w:t>Ja pārskatu sniedzošā vienība ir noregulējuma vienība, kurai noregulējuma grupas konsolidētajā līmenī nav piemērota Direktīvas 2013/36/ES 104.a pantā minētā papildu pašu kapitāla prasība, ii) punktā uzrādītā vērtība ir Komisijas Deleģētās regulas (ES) 2021/1118 1. pantā minētās aplēses rezultāts, bet pārskatu sniedzošā vienība to ir veikusi provizoriski.</w:t>
            </w:r>
          </w:p>
          <w:p w14:paraId="7FE1B63C" w14:textId="77777777" w:rsidR="00952395" w:rsidRDefault="0083775C">
            <w:pPr>
              <w:pStyle w:val="P68B1DB1-TableParagraph13"/>
              <w:spacing w:before="108"/>
              <w:jc w:val="both"/>
              <w:rPr>
                <w:b/>
                <w:bCs/>
              </w:rPr>
            </w:pPr>
            <w:r>
              <w:t>Ja kompetentā iestāde nav paziņojusi nekādas papildu pašu kapitāla prasības un augšējais punkts nav piemērojams, pārskatu sniedz tikai par i) punktu.</w:t>
            </w:r>
          </w:p>
        </w:tc>
      </w:tr>
      <w:tr w:rsidR="00952395"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952395" w:rsidRDefault="0083775C">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952395" w:rsidRDefault="0083775C">
            <w:pPr>
              <w:pStyle w:val="P68B1DB1-TableParagraph14"/>
              <w:spacing w:before="108"/>
              <w:jc w:val="both"/>
              <w:rPr>
                <w:bCs/>
              </w:rPr>
            </w:pPr>
            <w:r>
              <w:t>Apvienoto rezervju prasība</w:t>
            </w:r>
          </w:p>
          <w:p w14:paraId="7FE1B640" w14:textId="7A5205D6" w:rsidR="00952395" w:rsidRDefault="0083775C">
            <w:pPr>
              <w:pStyle w:val="P68B1DB1-TableParagraph13"/>
              <w:spacing w:before="108"/>
              <w:jc w:val="both"/>
            </w:pPr>
            <w:r>
              <w:t>COREP (OF): C 04.00;740;010Θ).</w:t>
            </w:r>
          </w:p>
          <w:p w14:paraId="7FE1B641" w14:textId="77777777" w:rsidR="00952395" w:rsidRDefault="0083775C">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Direktīvas</w:t>
            </w:r>
            <w:r>
              <w:rPr>
                <w:rStyle w:val="InstructionsTabelleberschrift"/>
                <w:rFonts w:ascii="Times New Roman" w:hAnsi="Times New Roman"/>
                <w:b w:val="0"/>
                <w:color w:val="000000" w:themeColor="text1"/>
                <w:szCs w:val="20"/>
                <w:u w:val="none"/>
              </w:rPr>
              <w:t xml:space="preserve"> 2013/36/ES</w:t>
            </w:r>
            <w:r>
              <w:rPr>
                <w:rFonts w:ascii="Times New Roman" w:eastAsia="Cambria" w:hAnsi="Times New Roman" w:cs="Times New Roman"/>
                <w:color w:val="000000" w:themeColor="text1"/>
                <w:sz w:val="20"/>
                <w:szCs w:val="20"/>
              </w:rPr>
              <w:t>128. panta pirmās daļas 6. punkta prasība.</w:t>
            </w:r>
          </w:p>
          <w:p w14:paraId="7FE1B642" w14:textId="37B6D097" w:rsidR="00952395" w:rsidRDefault="0083775C">
            <w:pPr>
              <w:pStyle w:val="P68B1DB1-TableParagraph13"/>
              <w:spacing w:before="108"/>
              <w:jc w:val="both"/>
            </w:pPr>
            <w:r>
              <w:t xml:space="preserve">Ja noregulējuma perimetrs atšķiras no prudenciālās uzraudzības, to elementu aplēse, kas ietver noregulējuma vienības apvienoto rezervju prasību noregulējuma grupas konsolidētajā līmenī, atbilst Komisijas Deleģētās regulas (ES) 2021/1118 3. panta 1. punktam, bet pārskatu sniedzošajai vienībai tā būtu jāveic provizoriski. </w:t>
            </w:r>
          </w:p>
        </w:tc>
      </w:tr>
      <w:tr w:rsidR="00952395"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952395" w:rsidRDefault="0083775C">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952395" w:rsidRDefault="0083775C">
            <w:pPr>
              <w:pStyle w:val="P68B1DB1-TableParagraph14"/>
              <w:spacing w:before="108"/>
              <w:jc w:val="both"/>
              <w:rPr>
                <w:bCs/>
              </w:rPr>
            </w:pPr>
            <w:r>
              <w:t>Kapitāla saglabāšanas rezerves</w:t>
            </w:r>
          </w:p>
          <w:p w14:paraId="7FE1B646" w14:textId="7B6CEF6B" w:rsidR="00952395" w:rsidRDefault="0083775C">
            <w:pPr>
              <w:pStyle w:val="P68B1DB1-TableParagraph13"/>
              <w:spacing w:before="108"/>
              <w:jc w:val="both"/>
            </w:pPr>
            <w:r>
              <w:lastRenderedPageBreak/>
              <w:t>COREP (OF): C 04.00;750;010Θ).</w:t>
            </w:r>
          </w:p>
          <w:p w14:paraId="7FE1B647" w14:textId="77777777" w:rsidR="00952395" w:rsidRDefault="0083775C">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Direktīvas 2013/36/ES 128.</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panta 1) un 129. panta minētā prasība.</w:t>
            </w:r>
          </w:p>
          <w:p w14:paraId="7FE1B648" w14:textId="77777777" w:rsidR="00952395" w:rsidRDefault="0083775C">
            <w:pPr>
              <w:pStyle w:val="P68B1DB1-TableParagraph13"/>
              <w:spacing w:before="108"/>
              <w:jc w:val="both"/>
              <w:rPr>
                <w:rFonts w:eastAsia="Cambria"/>
              </w:rPr>
            </w:pPr>
            <w:r>
              <w:t>Ja noregulējuma perimetrs atšķiras no prudenciālās uzraudzības, šīs noregulējuma vienības rezervju prasības aplēse noregulējuma grupas konsolidētajā līmenī atbilst Komisijas Deleģētās regulas (ES) 2021/1118 3. panta 2. punktam, bet pārskatu sniedzošajai vienībai tā būtu jāveic provizoriski.</w:t>
            </w:r>
          </w:p>
        </w:tc>
      </w:tr>
      <w:tr w:rsidR="00952395"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952395" w:rsidRDefault="0083775C">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952395" w:rsidRDefault="0083775C">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Saglabāšanas rezerves saistībā ar dalībvalsts līmenī konstatēto makroprudenciālo vai sistēmisko risku</w:t>
            </w:r>
          </w:p>
          <w:p w14:paraId="7FE1B64C" w14:textId="77777777" w:rsidR="00952395" w:rsidRDefault="0083775C">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C 04.00;760;010Θ).</w:t>
            </w:r>
          </w:p>
          <w:p w14:paraId="7FE1B64D" w14:textId="1D29CF6A" w:rsidR="00952395" w:rsidRDefault="0083775C">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Prasība, kas minēta</w:t>
            </w:r>
            <w:r>
              <w:rPr>
                <w:rStyle w:val="InstructionsTabelleberschrift"/>
                <w:rFonts w:ascii="Times New Roman" w:hAnsi="Times New Roman"/>
                <w:b w:val="0"/>
                <w:color w:val="000000" w:themeColor="text1"/>
                <w:szCs w:val="20"/>
                <w:u w:val="none"/>
              </w:rPr>
              <w:t xml:space="preserve"> Regulas (</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ES) Nr. 575/2013 458. panta 2. punkta d) apakšpunktā vi)</w:t>
            </w:r>
          </w:p>
          <w:p w14:paraId="7FE1B64E" w14:textId="77777777" w:rsidR="00952395" w:rsidRDefault="0083775C">
            <w:pPr>
              <w:pStyle w:val="P68B1DB1-TableParagraph13"/>
              <w:spacing w:before="108"/>
              <w:jc w:val="both"/>
              <w:rPr>
                <w:rFonts w:eastAsia="Cambria"/>
              </w:rPr>
            </w:pPr>
            <w:r>
              <w:t>Ja noregulējuma perimetrs atšķiras no prudenciālās uzraudzības, uzrādītā summa atbilst rezervei, ko piemēro noregulējuma grupas riska darījumiem.</w:t>
            </w:r>
          </w:p>
        </w:tc>
      </w:tr>
      <w:tr w:rsidR="00952395"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952395" w:rsidRDefault="0083775C">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952395" w:rsidRDefault="0083775C">
            <w:pPr>
              <w:pStyle w:val="P68B1DB1-TableParagraph14"/>
              <w:spacing w:before="108"/>
              <w:jc w:val="both"/>
              <w:rPr>
                <w:bCs/>
              </w:rPr>
            </w:pPr>
            <w:r>
              <w:t xml:space="preserve">Iestādes specifiskās pretcikliskās kapitāla rezerves </w:t>
            </w:r>
          </w:p>
          <w:p w14:paraId="7FE1B652" w14:textId="77777777" w:rsidR="00952395" w:rsidRDefault="0083775C">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(sk. COREP (OF): C 04.00;770;010Θ).</w:t>
            </w:r>
          </w:p>
          <w:p w14:paraId="7FE1B653" w14:textId="77777777" w:rsidR="00952395" w:rsidRDefault="0083775C">
            <w:pPr>
              <w:pStyle w:val="P68B1DB1-TableParagraph17"/>
              <w:spacing w:before="108"/>
              <w:jc w:val="both"/>
            </w:pPr>
            <w:r>
              <w:t>Prasība, kas minēta Direktīvas 2013/36/ES 128. panta 2. punktā un 130., 135.–140. pantā.</w:t>
            </w:r>
          </w:p>
          <w:p w14:paraId="7FE1B654" w14:textId="77777777" w:rsidR="00952395" w:rsidRDefault="0083775C">
            <w:pPr>
              <w:pStyle w:val="P68B1DB1-TableParagraph13"/>
              <w:spacing w:before="108"/>
              <w:jc w:val="both"/>
              <w:rPr>
                <w:rFonts w:eastAsia="Cambria"/>
              </w:rPr>
            </w:pPr>
            <w:r>
              <w:t>Ja noregulējuma perimetrs atšķiras no prudenciālās uzraudzības, uzrādītā summa atbilst rezervju prasībai, ko piemēro noregulējuma grupas riska darījumiem.</w:t>
            </w:r>
          </w:p>
        </w:tc>
      </w:tr>
      <w:tr w:rsidR="00952395"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952395" w:rsidRDefault="0083775C">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952395" w:rsidRDefault="0083775C">
            <w:pPr>
              <w:pStyle w:val="P68B1DB1-TableParagraph14"/>
              <w:spacing w:before="108"/>
              <w:jc w:val="both"/>
              <w:rPr>
                <w:bCs/>
              </w:rPr>
            </w:pPr>
            <w:r>
              <w:t>Sistēmiskā riska rezerves</w:t>
            </w:r>
          </w:p>
          <w:p w14:paraId="7FE1B658" w14:textId="77777777" w:rsidR="00952395" w:rsidRDefault="0083775C">
            <w:pPr>
              <w:pStyle w:val="P68B1DB1-TableParagraph13"/>
              <w:spacing w:before="108"/>
              <w:jc w:val="both"/>
            </w:pPr>
            <w:r>
              <w:t>(sk. COREP (OF): C 04.00;780;010Θ)</w:t>
            </w:r>
          </w:p>
          <w:p w14:paraId="7FE1B659" w14:textId="77777777" w:rsidR="00952395" w:rsidRDefault="0083775C">
            <w:pPr>
              <w:pStyle w:val="P68B1DB1-TableParagraph17"/>
              <w:spacing w:before="108"/>
              <w:jc w:val="both"/>
            </w:pPr>
            <w:r>
              <w:t>Prasība, kas minēta Direktīvas 2013/36/ES 128. panta 5. punktā, 133. un 134. pantā</w:t>
            </w:r>
          </w:p>
          <w:p w14:paraId="7FE1B65A" w14:textId="77777777" w:rsidR="00952395" w:rsidRDefault="0083775C">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Ja noregulējuma perimetrs atšķiras no prudenciālās uzraudzības, šīs noregulējuma vienības rezervju prasības aplēse noregulējuma grupas konsolidētajā līmenī atbilst Komisijas Deleģētās regulas (ES) 2021/1118 3. panta 5. punktam, bet</w:t>
            </w:r>
            <w:r>
              <w:t xml:space="preserve"> </w:t>
            </w:r>
            <w:r>
              <w:rPr>
                <w:rFonts w:ascii="Times New Roman" w:hAnsi="Times New Roman" w:cs="Times New Roman"/>
                <w:color w:val="000000" w:themeColor="text1"/>
                <w:sz w:val="20"/>
                <w:szCs w:val="20"/>
              </w:rPr>
              <w:t xml:space="preserve">pārskatu sniedzošajai vienībai tā būtu jāveic provizoriski. </w:t>
            </w:r>
          </w:p>
        </w:tc>
      </w:tr>
      <w:tr w:rsidR="00952395"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952395" w:rsidRDefault="0083775C">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952395" w:rsidRDefault="0083775C">
            <w:pPr>
              <w:pStyle w:val="P68B1DB1-TableParagraph14"/>
              <w:spacing w:before="108"/>
              <w:jc w:val="both"/>
              <w:rPr>
                <w:bCs/>
              </w:rPr>
            </w:pPr>
            <w:r>
              <w:t>Globālas sistēmiski nozīmīgas iestādes rezerves</w:t>
            </w:r>
          </w:p>
          <w:p w14:paraId="7FE1B65E" w14:textId="77777777" w:rsidR="00952395" w:rsidRDefault="0083775C">
            <w:pPr>
              <w:pStyle w:val="P68B1DB1-TableParagraph17"/>
              <w:spacing w:before="108"/>
              <w:jc w:val="both"/>
            </w:pPr>
            <w:r>
              <w:t>COREP (OF): C 04.00;800;010Θ</w:t>
            </w:r>
          </w:p>
          <w:p w14:paraId="7FE1B65F" w14:textId="77777777" w:rsidR="00952395" w:rsidRDefault="0083775C">
            <w:pPr>
              <w:pStyle w:val="P68B1DB1-TableParagraph17"/>
              <w:spacing w:before="108"/>
              <w:jc w:val="both"/>
            </w:pPr>
            <w:r>
              <w:t>Direktīvas 2013/36/ES 128. panta 3. punkts un 131. pants minētā prasība.</w:t>
            </w:r>
          </w:p>
          <w:p w14:paraId="7FE1B660" w14:textId="77777777" w:rsidR="00952395" w:rsidRDefault="0083775C">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Ja noregulējuma perimetrs atšķiras no prudenciālās uzraudzības, šīs noregulējuma vienības rezervju prasības aplēse noregulējuma grupas konsolidētajā līmenī atbilst Komisijas Deleģētās regulas (ES) 2021/1118 3. panta 3. punktam, bet</w:t>
            </w:r>
            <w:r>
              <w:t xml:space="preserve"> </w:t>
            </w:r>
            <w:r>
              <w:rPr>
                <w:rFonts w:ascii="Times New Roman" w:hAnsi="Times New Roman" w:cs="Times New Roman"/>
                <w:color w:val="000000" w:themeColor="text1"/>
                <w:sz w:val="20"/>
                <w:szCs w:val="20"/>
              </w:rPr>
              <w:t xml:space="preserve">pārskatu sniedzošajai vienībai tā būtu jāveic provizoriski. </w:t>
            </w:r>
          </w:p>
        </w:tc>
      </w:tr>
      <w:tr w:rsidR="00952395"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952395" w:rsidRDefault="0083775C">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952395" w:rsidRDefault="0083775C">
            <w:pPr>
              <w:pStyle w:val="P68B1DB1-TableParagraph13"/>
              <w:spacing w:before="108"/>
              <w:jc w:val="both"/>
            </w:pPr>
            <w:r>
              <w:rPr>
                <w:b/>
              </w:rPr>
              <w:t>Citas sistēmiski nozīmīgas iestādes rezerves</w:t>
            </w:r>
            <w:r>
              <w:t xml:space="preserve">Direktīvas 2013/36/ES 128. panta 4. punkts un 131. pants </w:t>
            </w:r>
          </w:p>
          <w:p w14:paraId="7FE1B665" w14:textId="77777777" w:rsidR="00952395" w:rsidRDefault="0083775C">
            <w:pPr>
              <w:pStyle w:val="P68B1DB1-TableParagraph13"/>
              <w:spacing w:before="108"/>
              <w:jc w:val="both"/>
            </w:pPr>
            <w:r>
              <w:t xml:space="preserve">COREP (OF): C 04.00;810;010Θ </w:t>
            </w:r>
          </w:p>
          <w:p w14:paraId="7FE1B666" w14:textId="77777777" w:rsidR="00952395" w:rsidRDefault="0083775C">
            <w:pPr>
              <w:pStyle w:val="P68B1DB1-TableParagraph13"/>
              <w:spacing w:before="108"/>
              <w:jc w:val="both"/>
              <w:rPr>
                <w:b/>
                <w:bCs/>
              </w:rPr>
            </w:pPr>
            <w:r>
              <w:t>Uzrādītā summa atspoguļo pašu kapitāla summu, kas nepieciešama, lai pārskata sniegšanas datumā izpildītu attiecīgās kapitāla rezervju prasības.</w:t>
            </w:r>
          </w:p>
        </w:tc>
      </w:tr>
      <w:tr w:rsidR="00952395"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952395" w:rsidRDefault="0083775C">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952395" w:rsidRDefault="0083775C">
            <w:pPr>
              <w:pStyle w:val="P68B1DB1-TableParagraph14"/>
              <w:spacing w:before="108"/>
              <w:jc w:val="both"/>
              <w:rPr>
                <w:bCs/>
              </w:rPr>
            </w:pPr>
            <w:r>
              <w:t xml:space="preserve">Vispārējās kapitāla prasības (OCR) rādītājs </w:t>
            </w:r>
          </w:p>
          <w:p w14:paraId="7FE1B66A" w14:textId="77777777" w:rsidR="00952395" w:rsidRDefault="0083775C">
            <w:pPr>
              <w:pStyle w:val="P68B1DB1-TableParagraph13"/>
              <w:spacing w:before="108"/>
              <w:jc w:val="both"/>
            </w:pPr>
            <w:r>
              <w:t xml:space="preserve">COREP (OF): ΘC 03.00;160;010Θ </w:t>
            </w:r>
          </w:p>
          <w:p w14:paraId="7FE1B66B" w14:textId="77777777" w:rsidR="00952395" w:rsidRDefault="0083775C">
            <w:pPr>
              <w:pStyle w:val="P68B1DB1-TableParagraph13"/>
              <w:spacing w:before="108"/>
              <w:jc w:val="both"/>
            </w:pPr>
            <w:r>
              <w:t xml:space="preserve">Un ii) summa attiecīgi: </w:t>
            </w:r>
          </w:p>
          <w:p w14:paraId="7FE1B66C" w14:textId="77777777" w:rsidR="00952395" w:rsidRDefault="0083775C">
            <w:pPr>
              <w:pStyle w:val="P68B1DB1-TableParagraph13"/>
              <w:numPr>
                <w:ilvl w:val="3"/>
                <w:numId w:val="211"/>
              </w:numPr>
              <w:spacing w:before="108"/>
              <w:ind w:left="931" w:hanging="567"/>
              <w:jc w:val="both"/>
            </w:pPr>
            <w:r>
              <w:t xml:space="preserve">TSCR rādītājs, kas minēts 0300. rindā; </w:t>
            </w:r>
          </w:p>
          <w:p w14:paraId="7FE1B66D" w14:textId="77777777" w:rsidR="00952395" w:rsidRDefault="0083775C">
            <w:pPr>
              <w:pStyle w:val="P68B1DB1-TableParagraph13"/>
              <w:numPr>
                <w:ilvl w:val="3"/>
                <w:numId w:val="211"/>
              </w:numPr>
              <w:spacing w:before="108"/>
              <w:ind w:left="931" w:hanging="567"/>
              <w:jc w:val="both"/>
            </w:pPr>
            <w:r>
              <w:t xml:space="preserve">ciktāl tas ir juridiski piemērojami, Direktīvas 2013/36/ES 128. panta 6. punktā minētais apvienoto rezervju prasības rādītājs. </w:t>
            </w:r>
          </w:p>
          <w:p w14:paraId="7FE1B66E" w14:textId="77777777" w:rsidR="00952395" w:rsidRDefault="0083775C">
            <w:pPr>
              <w:pStyle w:val="P68B1DB1-TableParagraph13"/>
              <w:spacing w:before="108"/>
              <w:jc w:val="both"/>
            </w:pPr>
            <w:r>
              <w:t xml:space="preserve">Šajā postenī atspoguļo kopējo kapitāla prasību (OCR) rādītāju, kā noteikts EBI SREP pamatnostādņu </w:t>
            </w:r>
            <w:r>
              <w:lastRenderedPageBreak/>
              <w:t xml:space="preserve">1.2. iedaļā. </w:t>
            </w:r>
          </w:p>
          <w:p w14:paraId="7FE1B66F" w14:textId="77777777" w:rsidR="00952395" w:rsidRDefault="0083775C">
            <w:pPr>
              <w:pStyle w:val="P68B1DB1-TableParagraph13"/>
              <w:spacing w:before="108"/>
              <w:jc w:val="both"/>
              <w:rPr>
                <w:b/>
                <w:bCs/>
              </w:rPr>
            </w:pPr>
            <w:r>
              <w:t>Ja nekādas rezervju prasības nav piemērojamas, pārskatu sniedz tikai par i) punktu.</w:t>
            </w:r>
          </w:p>
        </w:tc>
      </w:tr>
    </w:tbl>
    <w:p w14:paraId="7FE1B712" w14:textId="77777777" w:rsidR="00952395" w:rsidRDefault="00952395">
      <w:pPr>
        <w:rPr>
          <w:rFonts w:ascii="Times New Roman" w:hAnsi="Times New Roman" w:cs="Times New Roman"/>
        </w:rPr>
      </w:pPr>
    </w:p>
    <w:p w14:paraId="7FE1B713" w14:textId="77777777" w:rsidR="00952395" w:rsidRDefault="00952395">
      <w:pPr>
        <w:rPr>
          <w:rFonts w:ascii="Times New Roman" w:hAnsi="Times New Roman" w:cs="Times New Roman"/>
        </w:rPr>
      </w:pPr>
    </w:p>
    <w:p w14:paraId="7FE1B714" w14:textId="77777777" w:rsidR="00952395" w:rsidRDefault="0083775C">
      <w:pPr>
        <w:pStyle w:val="P68B1DB1-Instructionsberschrift25"/>
        <w:numPr>
          <w:ilvl w:val="1"/>
          <w:numId w:val="49"/>
        </w:numPr>
        <w:ind w:left="357" w:hanging="357"/>
      </w:pPr>
      <w:bookmarkStart w:id="61" w:name="_Toc208244947"/>
      <w:r>
        <w:t>Z 03.02 — Pašu kapitāla prasības — ieguldījumu brokeru sabiedrības (LIAB 3)</w:t>
      </w:r>
      <w:bookmarkEnd w:id="61"/>
    </w:p>
    <w:p w14:paraId="7FE1B715" w14:textId="77777777" w:rsidR="00952395" w:rsidRDefault="0083775C">
      <w:pPr>
        <w:pStyle w:val="Instructionsberschrift3"/>
      </w:pPr>
      <w:r>
        <w:t>Vispārīgas piezīmes</w:t>
      </w:r>
    </w:p>
    <w:p w14:paraId="7FE1B716" w14:textId="77777777" w:rsidR="00952395" w:rsidRDefault="0083775C">
      <w:pPr>
        <w:pStyle w:val="Instructionsberschrift3"/>
        <w:numPr>
          <w:ilvl w:val="4"/>
          <w:numId w:val="260"/>
        </w:numPr>
      </w:pPr>
      <w:r>
        <w:t>Šajā veidnē apkopota informācija par pašu kapitāla prasībām vienībai vai grupai.</w:t>
      </w:r>
    </w:p>
    <w:p w14:paraId="7FE1B717" w14:textId="1213D388" w:rsidR="00952395" w:rsidRDefault="0083775C">
      <w:pPr>
        <w:pStyle w:val="Instructionsberschrift3"/>
        <w:numPr>
          <w:ilvl w:val="4"/>
          <w:numId w:val="260"/>
        </w:numPr>
      </w:pPr>
      <w:r>
        <w:t>Visa norādītā informācija atspoguļo pašu kapitāla prasības, kas piemērojamas pārskata atsauces datumā.</w:t>
      </w:r>
    </w:p>
    <w:p w14:paraId="666AF7EE" w14:textId="2B6DCE12" w:rsidR="00952395" w:rsidRDefault="0083775C">
      <w:pPr>
        <w:pStyle w:val="P68B1DB1-ListParagraph23"/>
        <w:numPr>
          <w:ilvl w:val="4"/>
          <w:numId w:val="260"/>
        </w:numPr>
      </w:pPr>
      <w:r>
        <w:t>Attiecībā uz konsolidētu vai individuālu pārskatu sniegšanu, ja sabiedrība šos datu punktus IFREP jau ir paziņojusi par to pašu atsauces datumu un pārskata tvērumu (sk. IFREP atsauces norādēs), pārskatu sniedzošajai sabiedrībai šie datu punkti nav jāziņo otrreiz. Dati ir jāsniedz tikai tad, ja, piemēram, pārskatu sniedzošā vienība ir atbrīvota no finanšu vai prudenciālās ziņošanas pienākumiem, un tādā gadījumā noregulējuma iestādēm vienīgais datu avots attiecībā uz šiem datu punktiem ir šis ziņojums.</w:t>
      </w:r>
    </w:p>
    <w:p w14:paraId="1DA6CBB2" w14:textId="77777777" w:rsidR="00952395" w:rsidRDefault="00952395">
      <w:pPr>
        <w:pStyle w:val="Instructionsberschrift3"/>
        <w:numPr>
          <w:ilvl w:val="4"/>
          <w:numId w:val="260"/>
        </w:numPr>
      </w:pPr>
    </w:p>
    <w:p w14:paraId="7FE1B718" w14:textId="4C8CE473" w:rsidR="00952395" w:rsidRDefault="00952395">
      <w:pPr>
        <w:pStyle w:val="InstructionsText2"/>
        <w:numPr>
          <w:ilvl w:val="0"/>
          <w:numId w:val="0"/>
        </w:numPr>
        <w:spacing w:before="0"/>
        <w:ind w:left="1440"/>
        <w:rPr>
          <w:rFonts w:ascii="Times New Roman" w:hAnsi="Times New Roman" w:cs="Times New Roman"/>
          <w:sz w:val="20"/>
          <w:szCs w:val="20"/>
        </w:rPr>
      </w:pPr>
    </w:p>
    <w:p w14:paraId="7FE1B719" w14:textId="77777777" w:rsidR="00952395" w:rsidRDefault="0083775C">
      <w:pPr>
        <w:pStyle w:val="Instructionsberschrift3"/>
      </w:pPr>
      <w:r>
        <w:t>Norādījumi attiecībā uz konkrētām pozīcijām</w:t>
      </w:r>
    </w:p>
    <w:p w14:paraId="7FE1B71A" w14:textId="77777777" w:rsidR="00952395" w:rsidRDefault="00952395">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952395"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952395" w:rsidRDefault="0083775C">
            <w:pPr>
              <w:pStyle w:val="P68B1DB1-TableParagraph13"/>
              <w:spacing w:before="66"/>
              <w:rPr>
                <w:rFonts w:eastAsia="Cambria"/>
              </w:rPr>
            </w:pPr>
            <w:r>
              <w:t>Rindas</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952395" w:rsidRDefault="0083775C">
            <w:pPr>
              <w:pStyle w:val="P68B1DB1-TableParagraph13"/>
              <w:spacing w:before="66"/>
              <w:ind w:right="1"/>
              <w:jc w:val="center"/>
              <w:rPr>
                <w:rFonts w:eastAsia="Cambria"/>
              </w:rPr>
            </w:pPr>
            <w:r>
              <w:t>Norādījumi</w:t>
            </w:r>
          </w:p>
        </w:tc>
      </w:tr>
      <w:tr w:rsidR="00952395"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952395" w:rsidRDefault="0083775C">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952395" w:rsidRDefault="0083775C">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Kopējā pašu kapitāla prasība </w:t>
            </w:r>
            <w:r>
              <w:rPr>
                <w:rStyle w:val="InstructionsTabelleberschrift"/>
                <w:rFonts w:ascii="Times New Roman" w:hAnsi="Times New Roman"/>
                <w:color w:val="000000" w:themeColor="text1"/>
                <w:szCs w:val="20"/>
              </w:rPr>
              <w:t>(IFREP I 02.01 r0130)</w:t>
            </w:r>
          </w:p>
          <w:p w14:paraId="29B1A135" w14:textId="77777777" w:rsidR="00952395" w:rsidRDefault="00952395">
            <w:pPr>
              <w:rPr>
                <w:rStyle w:val="InstructionsTabelleberschrift"/>
                <w:rFonts w:ascii="Times New Roman" w:hAnsi="Times New Roman"/>
                <w:color w:val="000000" w:themeColor="text1"/>
                <w:szCs w:val="20"/>
                <w:u w:val="none"/>
              </w:rPr>
            </w:pPr>
          </w:p>
          <w:p w14:paraId="4F8C79FA" w14:textId="210F9E6A" w:rsidR="00952395" w:rsidRDefault="0083775C">
            <w:pPr>
              <w:pStyle w:val="P68B1DB1-TableParagraph17"/>
              <w:spacing w:before="108"/>
            </w:pPr>
            <w:r>
              <w:t>Ieguldījumu brokeru sabiedrības kopējo pašu kapitāla prasību veido summa, kurā ietilpst atsauces datumā piemērojamās pašu kapitāla prasības, papildu pašu kapitāla prasība, kas uzrādīta 0120. rindā, un papildu pašu kapitāla norādes, kas uzrādītas 0130. rindā.</w:t>
            </w:r>
          </w:p>
          <w:p w14:paraId="7FE1B721" w14:textId="77777777" w:rsidR="00952395" w:rsidRDefault="00952395">
            <w:pPr>
              <w:pStyle w:val="TableParagraph"/>
              <w:spacing w:before="108"/>
              <w:rPr>
                <w:rFonts w:ascii="Times New Roman" w:hAnsi="Times New Roman" w:cs="Times New Roman"/>
                <w:color w:val="000000" w:themeColor="text1"/>
                <w:sz w:val="20"/>
                <w:szCs w:val="20"/>
              </w:rPr>
            </w:pPr>
          </w:p>
        </w:tc>
      </w:tr>
      <w:tr w:rsidR="00952395"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952395" w:rsidRDefault="0083775C">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952395" w:rsidRDefault="0083775C">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Pašu kapitāla prasība </w:t>
            </w:r>
            <w:r>
              <w:rPr>
                <w:rStyle w:val="InstructionsTabelleberschrift"/>
                <w:rFonts w:ascii="Times New Roman" w:hAnsi="Times New Roman"/>
                <w:color w:val="000000" w:themeColor="text1"/>
                <w:szCs w:val="20"/>
              </w:rPr>
              <w:t>(IFREP I 02.01 r0010)</w:t>
            </w:r>
          </w:p>
          <w:p w14:paraId="74086713" w14:textId="7F827C2E" w:rsidR="00952395" w:rsidRDefault="0083775C">
            <w:pPr>
              <w:pStyle w:val="P68B1DB1-TableParagraph17"/>
              <w:spacing w:before="108"/>
            </w:pPr>
            <w:r>
              <w:t>Regula (ES) 2019/2033, 11. panta 1. punkts.</w:t>
            </w:r>
          </w:p>
          <w:p w14:paraId="016729EC" w14:textId="77777777" w:rsidR="00952395" w:rsidRDefault="0083775C">
            <w:pPr>
              <w:pStyle w:val="P68B1DB1-TableParagraph17"/>
              <w:spacing w:before="108"/>
            </w:pPr>
            <w:r>
              <w:t>Summa ir summa, nepiemērojot Regulas (ES) 2019/2033 57. panta 3., 4. vai 6. punktu.</w:t>
            </w:r>
          </w:p>
          <w:p w14:paraId="7FE1B727" w14:textId="77777777" w:rsidR="00952395" w:rsidRDefault="00952395">
            <w:pPr>
              <w:pStyle w:val="TableParagraph"/>
              <w:spacing w:before="108"/>
              <w:jc w:val="both"/>
              <w:rPr>
                <w:rFonts w:ascii="Times New Roman" w:eastAsia="Cambria" w:hAnsi="Times New Roman" w:cs="Times New Roman"/>
                <w:color w:val="000000" w:themeColor="text1"/>
                <w:sz w:val="20"/>
                <w:szCs w:val="20"/>
              </w:rPr>
            </w:pPr>
          </w:p>
        </w:tc>
      </w:tr>
      <w:tr w:rsidR="00952395"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952395" w:rsidRDefault="0083775C">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952395" w:rsidRDefault="0083775C">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Papildu pašu kapitāla prasība </w:t>
            </w:r>
            <w:r>
              <w:rPr>
                <w:rStyle w:val="InstructionsTabelleberschrift"/>
                <w:rFonts w:ascii="Times New Roman" w:hAnsi="Times New Roman"/>
                <w:color w:val="000000" w:themeColor="text1"/>
                <w:szCs w:val="20"/>
              </w:rPr>
              <w:t>(IFREP I 02.01 r0110)</w:t>
            </w:r>
          </w:p>
          <w:p w14:paraId="05BFD23E" w14:textId="06165C78" w:rsidR="00952395" w:rsidRDefault="0083775C">
            <w:pPr>
              <w:pStyle w:val="P68B1DB1-TableParagraph17"/>
              <w:spacing w:before="108"/>
              <w:jc w:val="both"/>
            </w:pPr>
            <w:r>
              <w:t>Elektroenerģijas direktīvas (Direktīvas (ES) 2019/2034) 40. pants.</w:t>
            </w:r>
          </w:p>
          <w:p w14:paraId="2AF15530" w14:textId="77777777" w:rsidR="00952395" w:rsidRDefault="0083775C">
            <w:pPr>
              <w:pStyle w:val="P68B1DB1-TableParagraph13"/>
              <w:spacing w:before="108"/>
              <w:jc w:val="both"/>
            </w:pPr>
            <w:r>
              <w:t xml:space="preserve">Papildu pašu kapitāls, kas pieprasīts pēc uzraudzības pārbaudes un novērtējuma procesa. </w:t>
            </w:r>
          </w:p>
          <w:p w14:paraId="7FE1B72E" w14:textId="77777777" w:rsidR="00952395" w:rsidRDefault="00952395">
            <w:pPr>
              <w:pStyle w:val="TableParagraph"/>
              <w:spacing w:before="108"/>
              <w:rPr>
                <w:rFonts w:ascii="Times New Roman" w:eastAsia="Cambria" w:hAnsi="Times New Roman" w:cs="Times New Roman"/>
                <w:color w:val="000000" w:themeColor="text1"/>
                <w:sz w:val="20"/>
                <w:szCs w:val="20"/>
              </w:rPr>
            </w:pPr>
          </w:p>
        </w:tc>
      </w:tr>
      <w:tr w:rsidR="00952395"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952395" w:rsidRDefault="0083775C">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952395" w:rsidRDefault="0083775C">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Papildu pašu kapitāla norādes </w:t>
            </w:r>
            <w:r>
              <w:rPr>
                <w:rStyle w:val="InstructionsTabelleberschrift"/>
                <w:rFonts w:ascii="Times New Roman" w:hAnsi="Times New Roman"/>
                <w:color w:val="000000" w:themeColor="text1"/>
                <w:szCs w:val="20"/>
              </w:rPr>
              <w:t>(IFREP I 02.01 r0120)</w:t>
            </w:r>
          </w:p>
          <w:p w14:paraId="4094919F" w14:textId="67C4E4FA" w:rsidR="00952395" w:rsidRDefault="0083775C">
            <w:pPr>
              <w:pStyle w:val="P68B1DB1-TableParagraph17"/>
              <w:spacing w:before="108"/>
            </w:pPr>
            <w:r>
              <w:t>Direktīvas (ES) 2019/2034 41. pants.</w:t>
            </w:r>
          </w:p>
          <w:p w14:paraId="1EA34579" w14:textId="77777777" w:rsidR="00952395" w:rsidRDefault="0083775C">
            <w:pPr>
              <w:pStyle w:val="P68B1DB1-TableParagraph17"/>
              <w:spacing w:before="108"/>
            </w:pPr>
            <w:r>
              <w:t>Papildu pašu kapitāls, kas pieprasīts norādē par papildu pašu kapitālu.</w:t>
            </w:r>
          </w:p>
          <w:p w14:paraId="7FE1B736" w14:textId="77777777" w:rsidR="00952395" w:rsidRDefault="00952395">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952395" w:rsidRDefault="00952395">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952395" w:rsidRDefault="00952395">
      <w:pPr>
        <w:pStyle w:val="Instructionsberschrift3"/>
        <w:numPr>
          <w:ilvl w:val="0"/>
          <w:numId w:val="0"/>
        </w:numPr>
        <w:ind w:left="720" w:hanging="432"/>
      </w:pPr>
    </w:p>
    <w:p w14:paraId="7FE1B742" w14:textId="77777777" w:rsidR="00952395" w:rsidRDefault="00952395">
      <w:pPr>
        <w:pStyle w:val="Instructionsberschrift3"/>
        <w:numPr>
          <w:ilvl w:val="0"/>
          <w:numId w:val="0"/>
        </w:numPr>
        <w:ind w:left="720" w:hanging="432"/>
      </w:pPr>
    </w:p>
    <w:p w14:paraId="7FE1B743" w14:textId="77777777" w:rsidR="00952395" w:rsidRDefault="00952395">
      <w:pPr>
        <w:pStyle w:val="Instructionsberschrift3"/>
        <w:numPr>
          <w:ilvl w:val="0"/>
          <w:numId w:val="0"/>
        </w:numPr>
        <w:ind w:left="720" w:hanging="432"/>
      </w:pPr>
    </w:p>
    <w:p w14:paraId="7FE1B744" w14:textId="49BA0C03" w:rsidR="00952395" w:rsidRDefault="00952395">
      <w:pPr>
        <w:rPr>
          <w:rFonts w:ascii="Times New Roman" w:hAnsi="Times New Roman" w:cs="Times New Roman"/>
          <w:color w:val="000000" w:themeColor="text1"/>
          <w:sz w:val="20"/>
          <w:szCs w:val="20"/>
        </w:rPr>
      </w:pPr>
    </w:p>
    <w:p w14:paraId="7FE1B745" w14:textId="016BA1E4" w:rsidR="00952395" w:rsidRDefault="0083775C">
      <w:pPr>
        <w:pStyle w:val="P68B1DB1-Instructionsberschrift25"/>
        <w:numPr>
          <w:ilvl w:val="1"/>
          <w:numId w:val="49"/>
        </w:numPr>
        <w:ind w:left="357" w:hanging="357"/>
      </w:pPr>
      <w:bookmarkStart w:id="62" w:name="_Toc492542324"/>
      <w:bookmarkStart w:id="63" w:name="_Toc81454182"/>
      <w:bookmarkStart w:id="64" w:name="_Toc208244948"/>
      <w:r>
        <w:t>Z 04.00 — finansiālās saiknes grupā (LIAB 4)</w:t>
      </w:r>
      <w:bookmarkEnd w:id="62"/>
      <w:bookmarkEnd w:id="63"/>
      <w:bookmarkEnd w:id="64"/>
    </w:p>
    <w:p w14:paraId="7FE1B746" w14:textId="77777777" w:rsidR="00952395" w:rsidRDefault="0083775C">
      <w:pPr>
        <w:pStyle w:val="Instructionsberschrift3"/>
      </w:pPr>
      <w:r>
        <w:t>Vispārīgas piezīmes</w:t>
      </w:r>
    </w:p>
    <w:p w14:paraId="7FE1B747" w14:textId="3BB98E0B" w:rsidR="00952395" w:rsidRDefault="0083775C">
      <w:pPr>
        <w:pStyle w:val="P68B1DB1-InstructionsText26"/>
        <w:numPr>
          <w:ilvl w:val="0"/>
          <w:numId w:val="232"/>
        </w:numPr>
        <w:spacing w:before="0"/>
      </w:pPr>
      <w:r>
        <w:t xml:space="preserve">Šajā veidnē ir prasīta informācija par grupas iekšējām saistībām, kapitāla instrumentiem un garantijām. </w:t>
      </w:r>
    </w:p>
    <w:p w14:paraId="7FE1B748" w14:textId="588B1EC0" w:rsidR="00952395" w:rsidRDefault="0083775C">
      <w:pPr>
        <w:pStyle w:val="P68B1DB1-InstructionsText26"/>
        <w:numPr>
          <w:ilvl w:val="0"/>
          <w:numId w:val="232"/>
        </w:numPr>
        <w:spacing w:before="0"/>
      </w:pPr>
      <w:r>
        <w:t>Pārskats jāsniedz par visām finansiālajām saiknēm starp juridiskajām personām, kas ir iekļautas konsolidētajos finanšu pārskatos. Norādītās summas apkopo, ja tās ir saistītas ar tiem pašiem darījumu partneriem (gan emitents vai garantētā vienība, gan kreditors, turētājs vai garantijas sniedzējs) un tā paša veida saistībām, kapitāla instrumentiem vai garantijām.</w:t>
      </w:r>
    </w:p>
    <w:p w14:paraId="7FE1B749" w14:textId="77777777" w:rsidR="00952395" w:rsidRDefault="0083775C">
      <w:pPr>
        <w:pStyle w:val="P68B1DB1-InstructionsText26"/>
        <w:numPr>
          <w:ilvl w:val="0"/>
          <w:numId w:val="232"/>
        </w:numPr>
        <w:spacing w:before="0"/>
      </w:pPr>
      <w:r>
        <w:t>Šīs veidnes 0020., 0040. un 0050. slejās norādīto vērtību kombinācija veido primāru atslēgu, kurai jābūt unikālai katrā veidnes rindā.</w:t>
      </w:r>
    </w:p>
    <w:p w14:paraId="7FE1B74A" w14:textId="77777777" w:rsidR="00952395" w:rsidRDefault="0083775C">
      <w:pPr>
        <w:pStyle w:val="P68B1DB1-Instructionsberschrift312"/>
      </w:pPr>
      <w:r>
        <w:t>Norādījumi attiecībā uz konkrētām pozīcijām</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952395"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952395" w:rsidRDefault="0083775C">
            <w:pPr>
              <w:pStyle w:val="P68B1DB1-TableParagraph13"/>
              <w:spacing w:before="66"/>
              <w:rPr>
                <w:rFonts w:eastAsia="Cambria"/>
              </w:rPr>
            </w:pPr>
            <w:r>
              <w:t>Slejas</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952395" w:rsidRDefault="0083775C">
            <w:pPr>
              <w:pStyle w:val="P68B1DB1-TableParagraph13"/>
              <w:spacing w:before="66"/>
              <w:ind w:right="1"/>
              <w:jc w:val="center"/>
              <w:rPr>
                <w:rFonts w:eastAsia="Cambria"/>
              </w:rPr>
            </w:pPr>
            <w:r>
              <w:t>Norādījumi</w:t>
            </w:r>
          </w:p>
        </w:tc>
      </w:tr>
      <w:tr w:rsidR="00952395"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952395" w:rsidRDefault="0083775C">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952395" w:rsidRDefault="0083775C">
            <w:pPr>
              <w:pStyle w:val="P68B1DB1-TableParagraph14"/>
              <w:spacing w:before="108"/>
              <w:ind w:left="85"/>
              <w:jc w:val="both"/>
              <w:rPr>
                <w:bCs/>
              </w:rPr>
            </w:pPr>
            <w:r>
              <w:t>Emitents vai garantētā vienība</w:t>
            </w:r>
          </w:p>
          <w:p w14:paraId="7FE1B750" w14:textId="77777777" w:rsidR="00952395" w:rsidRDefault="0083775C">
            <w:pPr>
              <w:pStyle w:val="P68B1DB1-TableParagraph17"/>
              <w:spacing w:before="108"/>
              <w:ind w:left="85"/>
              <w:jc w:val="both"/>
            </w:pPr>
            <w:r>
              <w:t>Juridiskā persona, kas emitē saistības vai kapitāla instrumentu vai kas ir garantētā vienība.</w:t>
            </w:r>
          </w:p>
        </w:tc>
      </w:tr>
      <w:tr w:rsidR="00952395"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952395" w:rsidRDefault="0083775C">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952395" w:rsidRDefault="0083775C">
            <w:pPr>
              <w:pStyle w:val="P68B1DB1-TableParagraph14"/>
              <w:spacing w:before="108"/>
              <w:ind w:left="85"/>
              <w:jc w:val="both"/>
              <w:rPr>
                <w:bCs/>
              </w:rPr>
            </w:pPr>
            <w:r>
              <w:t xml:space="preserve">Vienības nosaukums </w:t>
            </w:r>
          </w:p>
          <w:p w14:paraId="7FE1B754" w14:textId="77777777" w:rsidR="00952395" w:rsidRDefault="0083775C">
            <w:pPr>
              <w:pStyle w:val="P68B1DB1-TableParagraph17"/>
              <w:spacing w:before="108"/>
              <w:ind w:left="85"/>
              <w:jc w:val="both"/>
            </w:pPr>
            <w:r>
              <w:t xml:space="preserve">Jābūt atšķirīgam no 0030. slejā minētā vienības nosaukuma. </w:t>
            </w:r>
          </w:p>
        </w:tc>
      </w:tr>
      <w:tr w:rsidR="00952395"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952395" w:rsidRDefault="0083775C">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952395" w:rsidRDefault="0083775C">
            <w:pPr>
              <w:pStyle w:val="P68B1DB1-TableParagraph14"/>
              <w:spacing w:before="108"/>
              <w:ind w:left="85"/>
              <w:jc w:val="both"/>
              <w:rPr>
                <w:bCs/>
              </w:rPr>
            </w:pPr>
            <w:r>
              <w:t>Kods</w:t>
            </w:r>
          </w:p>
          <w:p w14:paraId="22E99FB3" w14:textId="77777777" w:rsidR="00952395" w:rsidRDefault="0083775C">
            <w:pPr>
              <w:pStyle w:val="P68B1DB1-TableParagraph17"/>
              <w:spacing w:before="108"/>
              <w:ind w:left="85"/>
              <w:jc w:val="both"/>
            </w:pPr>
            <w:r>
              <w:t xml:space="preserve">Emitenta vai garantijas saņēmēja kods. </w:t>
            </w:r>
          </w:p>
          <w:p w14:paraId="4BE5BA2E" w14:textId="5E7AE5A4" w:rsidR="00952395" w:rsidRDefault="0083775C">
            <w:pPr>
              <w:pStyle w:val="P68B1DB1-TableParagraph17"/>
              <w:spacing w:before="108"/>
              <w:ind w:left="85"/>
              <w:jc w:val="both"/>
            </w:pPr>
            <w:r>
              <w:t>Iestādēm ar juridiskās personas identifikatoru (LEI) — 20 zīmju burtciparu LEI kods;</w:t>
            </w:r>
          </w:p>
          <w:p w14:paraId="7FE1B758" w14:textId="458CE8E3" w:rsidR="00952395" w:rsidRDefault="0083775C">
            <w:pPr>
              <w:pStyle w:val="P68B1DB1-TableParagraph17"/>
              <w:spacing w:before="108"/>
              <w:ind w:left="85"/>
              <w:jc w:val="both"/>
            </w:pPr>
            <w:r>
              <w:t>Ja tas nav pieejams, izmanto MFI kodu vai kodu saskaņā ar vienotu kodifikāciju, ko piemēro Savienībā.</w:t>
            </w:r>
          </w:p>
          <w:p w14:paraId="7FE1B759" w14:textId="77777777" w:rsidR="00952395" w:rsidRDefault="0083775C">
            <w:pPr>
              <w:pStyle w:val="P68B1DB1-TableParagraph17"/>
              <w:spacing w:before="108"/>
              <w:ind w:left="85"/>
              <w:jc w:val="both"/>
            </w:pPr>
            <w:r>
              <w:t>Kodam jābūt unikālam, un tas veidnēs jāizmanto konsekventi.</w:t>
            </w:r>
          </w:p>
          <w:p w14:paraId="7FE1B75A" w14:textId="77777777" w:rsidR="00952395" w:rsidRDefault="0083775C">
            <w:pPr>
              <w:pStyle w:val="P68B1DB1-TableParagraph17"/>
              <w:spacing w:before="108"/>
              <w:ind w:left="85"/>
              <w:jc w:val="both"/>
            </w:pPr>
            <w:r>
              <w:t>Kodam jābūt atšķirīgam no 0040. slejā minētā koda.</w:t>
            </w:r>
          </w:p>
          <w:p w14:paraId="7FE1B75B" w14:textId="77777777" w:rsidR="00952395" w:rsidRDefault="00952395">
            <w:pPr>
              <w:pStyle w:val="TableParagraph"/>
              <w:spacing w:before="108"/>
              <w:ind w:left="85"/>
              <w:jc w:val="both"/>
              <w:rPr>
                <w:rFonts w:ascii="Times New Roman" w:eastAsia="Cambria" w:hAnsi="Times New Roman" w:cs="Times New Roman"/>
                <w:color w:val="000000" w:themeColor="text1"/>
                <w:sz w:val="20"/>
                <w:szCs w:val="20"/>
              </w:rPr>
            </w:pPr>
          </w:p>
        </w:tc>
      </w:tr>
      <w:tr w:rsidR="00952395"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952395" w:rsidRDefault="0083775C">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952395" w:rsidRDefault="0083775C">
            <w:pPr>
              <w:pStyle w:val="P68B1DB1-TableParagraph14"/>
              <w:spacing w:before="108"/>
              <w:ind w:left="85"/>
              <w:jc w:val="both"/>
              <w:rPr>
                <w:bCs/>
              </w:rPr>
            </w:pPr>
            <w:r>
              <w:t>Koda veids</w:t>
            </w:r>
          </w:p>
          <w:p w14:paraId="7FE1B75F" w14:textId="2A2E5952" w:rsidR="00952395" w:rsidRDefault="0083775C">
            <w:pPr>
              <w:pStyle w:val="P68B1DB1-TableParagraph13"/>
              <w:spacing w:before="108"/>
              <w:ind w:left="85"/>
              <w:jc w:val="both"/>
              <w:rPr>
                <w:bCs/>
              </w:rPr>
            </w:pPr>
            <w:r>
              <w:t xml:space="preserve">Kods ir tas pats, kas uzrādīts veidnē Z 01.01 (1.ORG). </w:t>
            </w:r>
          </w:p>
          <w:p w14:paraId="7FE1B761" w14:textId="635A8A91" w:rsidR="00952395" w:rsidRDefault="0083775C">
            <w:pPr>
              <w:pStyle w:val="P68B1DB1-TableParagraph13"/>
              <w:spacing w:before="108"/>
              <w:ind w:left="85"/>
              <w:jc w:val="both"/>
              <w:rPr>
                <w:bCs/>
              </w:rPr>
            </w:pPr>
            <w:r>
              <w:t>Jāizvēlas no šādām iespējām: “LEI kods”, “MFI kods” vai “Identifikatora veids, kas nav LEI vai MFI kods”.</w:t>
            </w:r>
          </w:p>
          <w:p w14:paraId="7FE1B762" w14:textId="77777777" w:rsidR="00952395" w:rsidRDefault="0083775C">
            <w:pPr>
              <w:pStyle w:val="P68B1DB1-TableParagraph13"/>
              <w:spacing w:before="108"/>
              <w:ind w:left="85"/>
              <w:jc w:val="both"/>
              <w:rPr>
                <w:b/>
                <w:bCs/>
              </w:rPr>
            </w:pPr>
            <w:r>
              <w:lastRenderedPageBreak/>
              <w:t>Lai identificētu sabiedrības vai ieguldījumu saņēmējus, visās veidnēs konsekventi izmanto kodu un veidu pāri.</w:t>
            </w:r>
          </w:p>
        </w:tc>
      </w:tr>
      <w:tr w:rsidR="00952395"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952395" w:rsidRDefault="0083775C">
            <w:pPr>
              <w:pStyle w:val="P68B1DB1-TableParagraph13"/>
              <w:spacing w:before="106"/>
              <w:ind w:left="-1"/>
            </w:pPr>
            <w:r>
              <w:lastRenderedPageBreak/>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952395" w:rsidRDefault="0083775C">
            <w:pPr>
              <w:pStyle w:val="P68B1DB1-TableParagraph14"/>
              <w:spacing w:before="108"/>
              <w:ind w:left="85"/>
              <w:jc w:val="both"/>
              <w:rPr>
                <w:bCs/>
              </w:rPr>
            </w:pPr>
            <w:r>
              <w:t>Kreditors, turētājs vai garantijas sniedzējs</w:t>
            </w:r>
          </w:p>
          <w:p w14:paraId="7FE1B766" w14:textId="77777777" w:rsidR="00952395" w:rsidRDefault="0083775C">
            <w:pPr>
              <w:pStyle w:val="P68B1DB1-TableParagraph17"/>
              <w:spacing w:before="108"/>
              <w:ind w:left="85"/>
              <w:jc w:val="both"/>
            </w:pPr>
            <w:r>
              <w:t>Juridiskā persona, kas ir saistību kreditors, kapitāla instrumenta turētājs vai garantijas sniedzējs.</w:t>
            </w:r>
          </w:p>
        </w:tc>
      </w:tr>
      <w:tr w:rsidR="00952395"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952395" w:rsidRDefault="0083775C">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952395" w:rsidRDefault="0083775C">
            <w:pPr>
              <w:pStyle w:val="P68B1DB1-TableParagraph14"/>
              <w:spacing w:before="108"/>
              <w:ind w:left="85"/>
              <w:jc w:val="both"/>
              <w:rPr>
                <w:bCs/>
              </w:rPr>
            </w:pPr>
            <w:r>
              <w:t xml:space="preserve">Vienības nosaukums </w:t>
            </w:r>
          </w:p>
          <w:p w14:paraId="7FE1B76A" w14:textId="77777777" w:rsidR="00952395" w:rsidRDefault="0083775C">
            <w:pPr>
              <w:pStyle w:val="P68B1DB1-TableParagraph17"/>
              <w:spacing w:before="108"/>
              <w:ind w:left="85"/>
              <w:jc w:val="both"/>
            </w:pPr>
            <w:r>
              <w:t xml:space="preserve">Jābūt atšķirīgam no 0010. slejā minētā vienības nosaukuma. </w:t>
            </w:r>
          </w:p>
        </w:tc>
      </w:tr>
      <w:tr w:rsidR="00952395"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952395" w:rsidRDefault="0083775C">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952395" w:rsidRDefault="0083775C">
            <w:pPr>
              <w:pStyle w:val="P68B1DB1-TableParagraph14"/>
              <w:spacing w:before="108"/>
              <w:ind w:left="85"/>
              <w:jc w:val="both"/>
              <w:rPr>
                <w:bCs/>
              </w:rPr>
            </w:pPr>
            <w:r>
              <w:t>Kods</w:t>
            </w:r>
          </w:p>
          <w:p w14:paraId="07AEB6DE" w14:textId="77777777" w:rsidR="00952395" w:rsidRDefault="0083775C">
            <w:pPr>
              <w:pStyle w:val="P68B1DB1-TableParagraph17"/>
              <w:spacing w:before="108"/>
              <w:ind w:left="85"/>
              <w:jc w:val="both"/>
            </w:pPr>
            <w:r>
              <w:t xml:space="preserve">Kreditora, turētāja vai garantijas sniedzēja kods. </w:t>
            </w:r>
          </w:p>
          <w:p w14:paraId="706B20DB" w14:textId="77777777" w:rsidR="00952395" w:rsidRDefault="0083775C">
            <w:pPr>
              <w:pStyle w:val="P68B1DB1-TableParagraph17"/>
              <w:spacing w:before="108"/>
              <w:ind w:left="85"/>
              <w:jc w:val="both"/>
            </w:pPr>
            <w:r>
              <w:t>Iestādēm ar juridiskās personas identifikatoru (LEI) — 20 zīmju burtciparu LEI kods;</w:t>
            </w:r>
          </w:p>
          <w:p w14:paraId="69DCA339" w14:textId="67781040" w:rsidR="00952395" w:rsidRDefault="0083775C">
            <w:pPr>
              <w:pStyle w:val="P68B1DB1-TableParagraph17"/>
              <w:spacing w:before="108"/>
              <w:ind w:left="85"/>
              <w:jc w:val="both"/>
            </w:pPr>
            <w:r>
              <w:t>Ja tas nav pieejams, izmanto MFI kodu vai kodu saskaņā ar vienotu kodifikāciju, ko piemēro Savienībā.</w:t>
            </w:r>
          </w:p>
          <w:p w14:paraId="7FE1B76F" w14:textId="02D6147D" w:rsidR="00952395" w:rsidRDefault="0083775C">
            <w:pPr>
              <w:pStyle w:val="P68B1DB1-TableParagraph17"/>
              <w:spacing w:before="108"/>
              <w:ind w:left="85"/>
              <w:jc w:val="both"/>
            </w:pPr>
            <w:r>
              <w:t>Kodam jābūt unikālam, un tas veidnēs jāizmanto konsekventi.</w:t>
            </w:r>
          </w:p>
          <w:p w14:paraId="1E86BFA0" w14:textId="77777777" w:rsidR="00952395" w:rsidRDefault="0083775C">
            <w:pPr>
              <w:pStyle w:val="P68B1DB1-TableParagraph17"/>
              <w:spacing w:before="108"/>
              <w:ind w:left="85"/>
              <w:jc w:val="both"/>
            </w:pPr>
            <w:r>
              <w:t>Jābūt atšķirīgam no 0020. slejā minētā koda.</w:t>
            </w:r>
          </w:p>
          <w:p w14:paraId="7FE1B770" w14:textId="276B100A" w:rsidR="00952395" w:rsidRDefault="0083775C">
            <w:pPr>
              <w:pStyle w:val="P68B1DB1-TableParagraph13"/>
              <w:spacing w:before="108"/>
              <w:ind w:left="85"/>
              <w:jc w:val="both"/>
              <w:rPr>
                <w:rFonts w:eastAsia="Cambria"/>
              </w:rPr>
            </w:pPr>
            <w:r>
              <w:t>Ja kreditoram, īpašniekam vai garantētājam ir grupas vienība, kods ir vienāds ar veidnē Z 01.01 (ORG 1) norādīto. Lai identificētu sabiedrības vai ieguldījumu saņēmējus, visās veidnēs konsekventi izmanto kodu un veidu pāri.</w:t>
            </w:r>
          </w:p>
        </w:tc>
      </w:tr>
      <w:tr w:rsidR="00952395"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952395" w:rsidRDefault="0083775C">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952395" w:rsidRDefault="0083775C">
            <w:pPr>
              <w:pStyle w:val="P68B1DB1-TableParagraph14"/>
              <w:spacing w:before="108"/>
              <w:ind w:left="85"/>
              <w:jc w:val="both"/>
              <w:rPr>
                <w:bCs/>
              </w:rPr>
            </w:pPr>
            <w:r>
              <w:t>Koda veids</w:t>
            </w:r>
          </w:p>
          <w:p w14:paraId="00DFF190" w14:textId="04144C55" w:rsidR="00952395" w:rsidRDefault="00952395">
            <w:pPr>
              <w:pStyle w:val="TableParagraph"/>
              <w:spacing w:before="108"/>
              <w:ind w:left="85"/>
              <w:jc w:val="both"/>
              <w:rPr>
                <w:rFonts w:ascii="Times New Roman" w:hAnsi="Times New Roman" w:cs="Times New Roman"/>
                <w:bCs/>
                <w:color w:val="000000" w:themeColor="text1"/>
                <w:sz w:val="20"/>
                <w:szCs w:val="20"/>
              </w:rPr>
            </w:pPr>
          </w:p>
          <w:p w14:paraId="1CBCA0DC" w14:textId="04764F45" w:rsidR="00952395" w:rsidRDefault="0083775C">
            <w:pPr>
              <w:pStyle w:val="P68B1DB1-TableParagraph13"/>
              <w:spacing w:before="108" w:line="276" w:lineRule="auto"/>
              <w:ind w:left="85"/>
              <w:jc w:val="both"/>
              <w:rPr>
                <w:color w:val="000000"/>
              </w:rPr>
            </w:pPr>
            <w:bookmarkStart w:id="65" w:name="_Hlk191377037"/>
            <w:r>
              <w:t>Jāizvēlas no šādām iespējām: “LEI kods”, “MFI kods” vai “Identifikatora veids, kas nav LEI vai MFI kods”.</w:t>
            </w:r>
            <w:bookmarkEnd w:id="65"/>
          </w:p>
          <w:p w14:paraId="072CFC22" w14:textId="7B94F65F" w:rsidR="00952395" w:rsidRDefault="0083775C">
            <w:pPr>
              <w:pStyle w:val="P68B1DB1-TableParagraph13"/>
              <w:spacing w:before="108" w:line="276" w:lineRule="auto"/>
              <w:ind w:left="85"/>
              <w:jc w:val="both"/>
              <w:rPr>
                <w:color w:val="000000"/>
              </w:rPr>
            </w:pPr>
            <w:r>
              <w:t>Koda veidu uzrāda vienmēr.</w:t>
            </w:r>
          </w:p>
          <w:p w14:paraId="63D16443" w14:textId="77777777" w:rsidR="00952395" w:rsidRDefault="0083775C">
            <w:pPr>
              <w:pStyle w:val="P68B1DB1-TableParagraph13"/>
              <w:spacing w:before="108" w:line="276" w:lineRule="auto"/>
              <w:ind w:left="85"/>
              <w:jc w:val="both"/>
              <w:rPr>
                <w:color w:val="000000"/>
              </w:rPr>
            </w:pPr>
            <w:r>
              <w:t>Ja kreditors, turētājs vai garantijas sniedzējs nav grupas vienība, vēlams, lai koda veids būtu LEI kods.</w:t>
            </w:r>
          </w:p>
          <w:p w14:paraId="7FE1B777" w14:textId="69660BC3" w:rsidR="00952395" w:rsidRDefault="00952395">
            <w:pPr>
              <w:pStyle w:val="TableParagraph"/>
              <w:spacing w:before="108"/>
              <w:ind w:left="85"/>
              <w:jc w:val="both"/>
              <w:rPr>
                <w:rFonts w:ascii="Times New Roman" w:hAnsi="Times New Roman" w:cs="Times New Roman"/>
                <w:b/>
                <w:bCs/>
                <w:color w:val="000000" w:themeColor="text1"/>
                <w:sz w:val="20"/>
                <w:szCs w:val="20"/>
              </w:rPr>
            </w:pPr>
          </w:p>
        </w:tc>
      </w:tr>
      <w:tr w:rsidR="00952395"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952395" w:rsidRDefault="0083775C">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952395" w:rsidRDefault="0083775C">
            <w:pPr>
              <w:pStyle w:val="P68B1DB1-TableParagraph14"/>
              <w:spacing w:before="108"/>
              <w:ind w:left="85"/>
              <w:jc w:val="both"/>
              <w:rPr>
                <w:bCs/>
              </w:rPr>
            </w:pPr>
            <w:r>
              <w:t>Finansiālās saiknes</w:t>
            </w:r>
          </w:p>
          <w:p w14:paraId="7FE1B77B" w14:textId="079D8C41" w:rsidR="00952395" w:rsidRDefault="0083775C">
            <w:pPr>
              <w:pStyle w:val="P68B1DB1-TableParagraph17"/>
              <w:spacing w:before="108"/>
              <w:ind w:left="85"/>
              <w:jc w:val="both"/>
            </w:pPr>
            <w:r>
              <w:t>Šis lauks raksturo finansiālās saiknes starp visām juridiskajām personām.</w:t>
            </w:r>
          </w:p>
        </w:tc>
      </w:tr>
      <w:tr w:rsidR="00952395"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952395" w:rsidRDefault="0083775C">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952395" w:rsidRDefault="0083775C">
            <w:pPr>
              <w:pStyle w:val="P68B1DB1-TableParagraph14"/>
              <w:spacing w:before="108"/>
              <w:ind w:left="85"/>
              <w:jc w:val="both"/>
              <w:rPr>
                <w:bCs/>
              </w:rPr>
            </w:pPr>
            <w:r>
              <w:t>Veids</w:t>
            </w:r>
          </w:p>
          <w:p w14:paraId="7FE1B77F" w14:textId="77777777" w:rsidR="00952395" w:rsidRDefault="0083775C">
            <w:pPr>
              <w:pStyle w:val="P68B1DB1-TableParagraph17"/>
              <w:spacing w:before="108"/>
              <w:ind w:left="85"/>
              <w:jc w:val="both"/>
            </w:pPr>
            <w:r>
              <w:t>Izvēlēties no šā saraksta.</w:t>
            </w:r>
          </w:p>
          <w:p w14:paraId="7FE1B780" w14:textId="77777777" w:rsidR="00952395" w:rsidRDefault="0083775C">
            <w:pPr>
              <w:pStyle w:val="P68B1DB1-TableParagraph24"/>
              <w:spacing w:before="108"/>
              <w:ind w:left="85"/>
              <w:jc w:val="both"/>
            </w:pPr>
            <w:r>
              <w:t>Grupas iekšējās saistības</w:t>
            </w:r>
          </w:p>
          <w:p w14:paraId="7FE1B781" w14:textId="77777777" w:rsidR="00952395" w:rsidRDefault="00952395">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952395" w:rsidRDefault="0083775C">
            <w:pPr>
              <w:pStyle w:val="P68B1DB1-ListParagraph25"/>
              <w:numPr>
                <w:ilvl w:val="0"/>
                <w:numId w:val="54"/>
              </w:numPr>
              <w:autoSpaceDE w:val="0"/>
              <w:autoSpaceDN w:val="0"/>
              <w:adjustRightInd w:val="0"/>
              <w:ind w:left="539" w:hanging="454"/>
              <w:contextualSpacing/>
              <w:jc w:val="both"/>
            </w:pPr>
            <w:r>
              <w:t xml:space="preserve">Iekšējā rekapitalizācijā neiekļautās saistības </w:t>
            </w:r>
          </w:p>
          <w:p w14:paraId="7FE1B783" w14:textId="047CAF02" w:rsidR="00952395" w:rsidRDefault="0083775C">
            <w:pPr>
              <w:pStyle w:val="P68B1DB1-ListParagraph25"/>
              <w:autoSpaceDE w:val="0"/>
              <w:autoSpaceDN w:val="0"/>
              <w:adjustRightInd w:val="0"/>
              <w:ind w:left="539"/>
              <w:contextualSpacing/>
              <w:jc w:val="both"/>
            </w:pPr>
            <w:r>
              <w:t>Tāda pati definīcija kā Z 02.00 (LIAB 1) 0100. rindā</w:t>
            </w:r>
          </w:p>
          <w:p w14:paraId="7FE1B784" w14:textId="77777777" w:rsidR="00952395" w:rsidRDefault="0083775C">
            <w:pPr>
              <w:pStyle w:val="P68B1DB1-ListParagraph25"/>
              <w:numPr>
                <w:ilvl w:val="0"/>
                <w:numId w:val="54"/>
              </w:numPr>
              <w:autoSpaceDE w:val="0"/>
              <w:autoSpaceDN w:val="0"/>
              <w:adjustRightInd w:val="0"/>
              <w:ind w:left="539" w:hanging="454"/>
              <w:contextualSpacing/>
              <w:jc w:val="both"/>
            </w:pPr>
            <w:r>
              <w:t>Noguldījumi, nesegtie, bet preferenciālie</w:t>
            </w:r>
          </w:p>
          <w:p w14:paraId="7FE1B785" w14:textId="69E9007C" w:rsidR="00952395" w:rsidRDefault="0083775C">
            <w:pPr>
              <w:pStyle w:val="P68B1DB1-ListParagraph25"/>
              <w:autoSpaceDE w:val="0"/>
              <w:autoSpaceDN w:val="0"/>
              <w:adjustRightInd w:val="0"/>
              <w:ind w:left="539"/>
              <w:jc w:val="both"/>
            </w:pPr>
            <w:r>
              <w:t>Tāda pati definīcija kā Z 02.00 (LIAB 1) 0310. rindā</w:t>
            </w:r>
          </w:p>
          <w:p w14:paraId="7FE1B786" w14:textId="77777777" w:rsidR="00952395" w:rsidRDefault="0083775C">
            <w:pPr>
              <w:pStyle w:val="P68B1DB1-ListParagraph25"/>
              <w:numPr>
                <w:ilvl w:val="0"/>
                <w:numId w:val="54"/>
              </w:numPr>
              <w:autoSpaceDE w:val="0"/>
              <w:autoSpaceDN w:val="0"/>
              <w:adjustRightInd w:val="0"/>
              <w:ind w:left="539" w:hanging="454"/>
              <w:contextualSpacing/>
              <w:jc w:val="both"/>
            </w:pPr>
            <w:r>
              <w:t>Noguldījumi, nesegtie un nepreferenciālie</w:t>
            </w:r>
          </w:p>
          <w:p w14:paraId="7FE1B787" w14:textId="4FA7AC10" w:rsidR="00952395" w:rsidRDefault="0083775C">
            <w:pPr>
              <w:pStyle w:val="P68B1DB1-ListParagraph25"/>
              <w:autoSpaceDE w:val="0"/>
              <w:autoSpaceDN w:val="0"/>
              <w:adjustRightInd w:val="0"/>
              <w:ind w:left="539"/>
              <w:jc w:val="both"/>
            </w:pPr>
            <w:r>
              <w:t>Tāda pati definīcija kā Z 02.00 (LIAB 1) 0320. rindā</w:t>
            </w:r>
          </w:p>
          <w:p w14:paraId="7FE1B788" w14:textId="77777777" w:rsidR="00952395" w:rsidRDefault="0083775C">
            <w:pPr>
              <w:pStyle w:val="P68B1DB1-ListParagraph25"/>
              <w:numPr>
                <w:ilvl w:val="0"/>
                <w:numId w:val="54"/>
              </w:numPr>
              <w:autoSpaceDE w:val="0"/>
              <w:autoSpaceDN w:val="0"/>
              <w:adjustRightInd w:val="0"/>
              <w:ind w:left="539" w:hanging="454"/>
              <w:contextualSpacing/>
              <w:jc w:val="both"/>
            </w:pPr>
            <w:r>
              <w:t>No atvasinātajiem instrumentiem izrietošās saistības (slēgšanas summas)</w:t>
            </w:r>
          </w:p>
          <w:p w14:paraId="7FE1B789" w14:textId="5DAB7051" w:rsidR="00952395" w:rsidRDefault="0083775C">
            <w:pPr>
              <w:pStyle w:val="P68B1DB1-ListParagraph25"/>
              <w:autoSpaceDE w:val="0"/>
              <w:autoSpaceDN w:val="0"/>
              <w:adjustRightInd w:val="0"/>
              <w:ind w:left="539"/>
              <w:jc w:val="both"/>
            </w:pPr>
            <w:r>
              <w:t>Tāda pati definīcija kā Z 02.00 (LIAB 1) 0330. rindā</w:t>
            </w:r>
          </w:p>
          <w:p w14:paraId="7FE1B78A" w14:textId="77777777" w:rsidR="00952395" w:rsidRDefault="0083775C">
            <w:pPr>
              <w:pStyle w:val="P68B1DB1-ListParagraph25"/>
              <w:numPr>
                <w:ilvl w:val="0"/>
                <w:numId w:val="54"/>
              </w:numPr>
              <w:autoSpaceDE w:val="0"/>
              <w:autoSpaceDN w:val="0"/>
              <w:adjustRightInd w:val="0"/>
              <w:ind w:left="539" w:hanging="454"/>
              <w:contextualSpacing/>
              <w:jc w:val="both"/>
            </w:pPr>
            <w:r>
              <w:t>Nodrošinātās saistības, kas netiek izmantotas kā nodrošinājums</w:t>
            </w:r>
          </w:p>
          <w:p w14:paraId="7FE1B78B" w14:textId="5B0021F4" w:rsidR="00952395" w:rsidRDefault="0083775C">
            <w:pPr>
              <w:pStyle w:val="P68B1DB1-ListParagraph25"/>
              <w:autoSpaceDE w:val="0"/>
              <w:autoSpaceDN w:val="0"/>
              <w:adjustRightInd w:val="0"/>
              <w:ind w:left="539"/>
              <w:jc w:val="both"/>
            </w:pPr>
            <w:r>
              <w:t>Tāda pati definīcija kā Z 02.00 (LIAB 1) 0340. rindā</w:t>
            </w:r>
          </w:p>
          <w:p w14:paraId="7FE1B78C" w14:textId="77777777" w:rsidR="00952395" w:rsidRDefault="0083775C">
            <w:pPr>
              <w:pStyle w:val="P68B1DB1-ListParagraph25"/>
              <w:numPr>
                <w:ilvl w:val="0"/>
                <w:numId w:val="54"/>
              </w:numPr>
              <w:autoSpaceDE w:val="0"/>
              <w:autoSpaceDN w:val="0"/>
              <w:adjustRightInd w:val="0"/>
              <w:ind w:left="539" w:hanging="454"/>
              <w:contextualSpacing/>
              <w:jc w:val="both"/>
            </w:pPr>
            <w:r>
              <w:t>Strukturētās parādzīmes</w:t>
            </w:r>
          </w:p>
          <w:p w14:paraId="7FE1B78D" w14:textId="7DF4D7F4" w:rsidR="00952395" w:rsidRDefault="0083775C">
            <w:pPr>
              <w:pStyle w:val="P68B1DB1-ListParagraph25"/>
              <w:autoSpaceDE w:val="0"/>
              <w:autoSpaceDN w:val="0"/>
              <w:adjustRightInd w:val="0"/>
              <w:ind w:left="539"/>
              <w:jc w:val="both"/>
            </w:pPr>
            <w:r>
              <w:lastRenderedPageBreak/>
              <w:t>Tāda pati definīcija kā Z 02.00 (LIAB 1) 0350. rindā</w:t>
            </w:r>
          </w:p>
          <w:p w14:paraId="7FE1B78E" w14:textId="77777777" w:rsidR="00952395" w:rsidRDefault="0083775C">
            <w:pPr>
              <w:pStyle w:val="P68B1DB1-ListParagraph25"/>
              <w:numPr>
                <w:ilvl w:val="0"/>
                <w:numId w:val="54"/>
              </w:numPr>
              <w:autoSpaceDE w:val="0"/>
              <w:autoSpaceDN w:val="0"/>
              <w:adjustRightInd w:val="0"/>
              <w:ind w:left="539" w:hanging="454"/>
              <w:contextualSpacing/>
              <w:jc w:val="both"/>
            </w:pPr>
            <w:r>
              <w:t>Augstākās prioritātes nenodrošinātās saistības</w:t>
            </w:r>
          </w:p>
          <w:p w14:paraId="7FE1B78F" w14:textId="67CE577E" w:rsidR="00952395" w:rsidRDefault="0083775C">
            <w:pPr>
              <w:pStyle w:val="P68B1DB1-ListParagraph25"/>
              <w:autoSpaceDE w:val="0"/>
              <w:autoSpaceDN w:val="0"/>
              <w:adjustRightInd w:val="0"/>
              <w:ind w:left="539"/>
              <w:jc w:val="both"/>
            </w:pPr>
            <w:r>
              <w:t>Tāda pati definīcija kā Z 02.00 (LIAB 1) 0360. rindā</w:t>
            </w:r>
          </w:p>
          <w:p w14:paraId="7FE1B790" w14:textId="77777777" w:rsidR="00952395" w:rsidRDefault="0083775C">
            <w:pPr>
              <w:pStyle w:val="P68B1DB1-ListParagraph25"/>
              <w:numPr>
                <w:ilvl w:val="0"/>
                <w:numId w:val="54"/>
              </w:numPr>
              <w:autoSpaceDE w:val="0"/>
              <w:autoSpaceDN w:val="0"/>
              <w:adjustRightInd w:val="0"/>
              <w:ind w:left="539" w:hanging="454"/>
              <w:contextualSpacing/>
              <w:jc w:val="both"/>
            </w:pPr>
            <w:r>
              <w:t>Augstākās prioritātes nepreferenciālas saistības</w:t>
            </w:r>
          </w:p>
          <w:p w14:paraId="7FE1B791" w14:textId="6BECB3BB" w:rsidR="00952395" w:rsidRDefault="0083775C">
            <w:pPr>
              <w:pStyle w:val="P68B1DB1-ListParagraph25"/>
              <w:autoSpaceDE w:val="0"/>
              <w:autoSpaceDN w:val="0"/>
              <w:adjustRightInd w:val="0"/>
              <w:ind w:left="539"/>
              <w:contextualSpacing/>
              <w:jc w:val="both"/>
            </w:pPr>
            <w:r>
              <w:t>Tāda pati definīcija kā Z 02.00 (LIAB 1) 0365. rindā</w:t>
            </w:r>
          </w:p>
          <w:p w14:paraId="7FE1B792" w14:textId="77777777" w:rsidR="00952395" w:rsidRDefault="0083775C">
            <w:pPr>
              <w:pStyle w:val="P68B1DB1-ListParagraph25"/>
              <w:numPr>
                <w:ilvl w:val="0"/>
                <w:numId w:val="54"/>
              </w:numPr>
              <w:autoSpaceDE w:val="0"/>
              <w:autoSpaceDN w:val="0"/>
              <w:adjustRightInd w:val="0"/>
              <w:ind w:left="539" w:hanging="454"/>
              <w:contextualSpacing/>
              <w:jc w:val="both"/>
            </w:pPr>
            <w:r>
              <w:t>Subordinētās saistības</w:t>
            </w:r>
          </w:p>
          <w:p w14:paraId="7FE1B793" w14:textId="1719A947" w:rsidR="00952395" w:rsidRDefault="0083775C">
            <w:pPr>
              <w:pStyle w:val="P68B1DB1-ListParagraph25"/>
              <w:autoSpaceDE w:val="0"/>
              <w:autoSpaceDN w:val="0"/>
              <w:adjustRightInd w:val="0"/>
              <w:ind w:left="539"/>
              <w:jc w:val="both"/>
            </w:pPr>
            <w:r>
              <w:t>Tāda pati definīcija kā Z 02.00 (LIAB 1) 0370. rindā</w:t>
            </w:r>
          </w:p>
          <w:p w14:paraId="7FE1B794" w14:textId="77777777" w:rsidR="00952395" w:rsidRDefault="0083775C">
            <w:pPr>
              <w:pStyle w:val="P68B1DB1-ListParagraph25"/>
              <w:numPr>
                <w:ilvl w:val="0"/>
                <w:numId w:val="54"/>
              </w:numPr>
              <w:autoSpaceDE w:val="0"/>
              <w:autoSpaceDN w:val="0"/>
              <w:adjustRightInd w:val="0"/>
              <w:ind w:left="539" w:hanging="454"/>
              <w:contextualSpacing/>
              <w:jc w:val="both"/>
            </w:pPr>
            <w:r>
              <w:t>Citas MREL atbilstīgas saistības</w:t>
            </w:r>
          </w:p>
          <w:p w14:paraId="7FE1B795" w14:textId="18D60D2B" w:rsidR="00952395" w:rsidRDefault="0083775C">
            <w:pPr>
              <w:pStyle w:val="P68B1DB1-ListParagraph25"/>
              <w:autoSpaceDE w:val="0"/>
              <w:autoSpaceDN w:val="0"/>
              <w:adjustRightInd w:val="0"/>
              <w:ind w:left="539"/>
              <w:jc w:val="both"/>
            </w:pPr>
            <w:r>
              <w:t>Tāda pati definīcija kā Z 02.00 (LIAB 1) 0380. rindā</w:t>
            </w:r>
          </w:p>
          <w:p w14:paraId="7FE1B796" w14:textId="77777777" w:rsidR="00952395" w:rsidRDefault="0083775C">
            <w:pPr>
              <w:pStyle w:val="P68B1DB1-ListParagraph25"/>
              <w:numPr>
                <w:ilvl w:val="0"/>
                <w:numId w:val="54"/>
              </w:numPr>
              <w:autoSpaceDE w:val="0"/>
              <w:autoSpaceDN w:val="0"/>
              <w:adjustRightInd w:val="0"/>
              <w:ind w:left="539" w:hanging="454"/>
              <w:contextualSpacing/>
              <w:jc w:val="both"/>
            </w:pPr>
            <w:r>
              <w:t>Nefinanšu saistības</w:t>
            </w:r>
          </w:p>
          <w:p w14:paraId="7FE1B797" w14:textId="03D8AF00" w:rsidR="00952395" w:rsidRDefault="0083775C">
            <w:pPr>
              <w:pStyle w:val="P68B1DB1-ListParagraph25"/>
              <w:autoSpaceDE w:val="0"/>
              <w:autoSpaceDN w:val="0"/>
              <w:adjustRightInd w:val="0"/>
              <w:ind w:left="539"/>
              <w:jc w:val="both"/>
            </w:pPr>
            <w:r>
              <w:t>Tāda pati definīcija kā Z 02.00 (LIAB 1) 0390. rindā</w:t>
            </w:r>
          </w:p>
          <w:p w14:paraId="7FE1B798" w14:textId="77777777" w:rsidR="00952395" w:rsidRDefault="0083775C">
            <w:pPr>
              <w:pStyle w:val="P68B1DB1-ListParagraph25"/>
              <w:numPr>
                <w:ilvl w:val="0"/>
                <w:numId w:val="54"/>
              </w:numPr>
              <w:autoSpaceDE w:val="0"/>
              <w:autoSpaceDN w:val="0"/>
              <w:adjustRightInd w:val="0"/>
              <w:ind w:left="539" w:hanging="454"/>
              <w:contextualSpacing/>
              <w:jc w:val="both"/>
            </w:pPr>
            <w:r>
              <w:t>Atlikušās saistības</w:t>
            </w:r>
          </w:p>
          <w:p w14:paraId="7FE1B799" w14:textId="5E01E641" w:rsidR="00952395" w:rsidRDefault="0083775C">
            <w:pPr>
              <w:pStyle w:val="P68B1DB1-ListParagraph25"/>
              <w:autoSpaceDE w:val="0"/>
              <w:autoSpaceDN w:val="0"/>
              <w:adjustRightInd w:val="0"/>
              <w:ind w:left="539"/>
              <w:jc w:val="both"/>
            </w:pPr>
            <w:r>
              <w:t>Tāda pati definīcija kā Z 02.00 (LIAB 1) 0400. rindā Jebkādas saistības, kas nav ietvertas kādā no iepriekšējiem posteņiem.</w:t>
            </w:r>
          </w:p>
          <w:p w14:paraId="7FE1B79A" w14:textId="77777777" w:rsidR="00952395" w:rsidRDefault="0083775C">
            <w:pPr>
              <w:pStyle w:val="P68B1DB1-ListParagraph25"/>
              <w:numPr>
                <w:ilvl w:val="0"/>
                <w:numId w:val="54"/>
              </w:numPr>
              <w:autoSpaceDE w:val="0"/>
              <w:autoSpaceDN w:val="0"/>
              <w:adjustRightInd w:val="0"/>
              <w:ind w:left="539" w:hanging="454"/>
              <w:contextualSpacing/>
              <w:jc w:val="both"/>
            </w:pPr>
            <w:r>
              <w:t>Otrā līmeņa kapitāls</w:t>
            </w:r>
          </w:p>
          <w:p w14:paraId="7FE1B79B" w14:textId="1DC09C8A" w:rsidR="00952395" w:rsidRDefault="0083775C">
            <w:pPr>
              <w:pStyle w:val="P68B1DB1-ListParagraph25"/>
              <w:autoSpaceDE w:val="0"/>
              <w:autoSpaceDN w:val="0"/>
              <w:adjustRightInd w:val="0"/>
              <w:ind w:left="539"/>
              <w:jc w:val="both"/>
            </w:pPr>
            <w:r>
              <w:t>Tāda pati definīcija kā Z 02.00 (LIAB 1) 0530. rindā</w:t>
            </w:r>
          </w:p>
          <w:p w14:paraId="7FE1B79C" w14:textId="77777777" w:rsidR="00952395" w:rsidRDefault="0083775C">
            <w:pPr>
              <w:pStyle w:val="P68B1DB1-ListParagraph25"/>
              <w:numPr>
                <w:ilvl w:val="0"/>
                <w:numId w:val="54"/>
              </w:numPr>
              <w:autoSpaceDE w:val="0"/>
              <w:autoSpaceDN w:val="0"/>
              <w:adjustRightInd w:val="0"/>
              <w:ind w:left="539" w:hanging="454"/>
              <w:contextualSpacing/>
              <w:jc w:val="both"/>
            </w:pPr>
            <w:r>
              <w:t>Pirmā līmeņa papildu kapitāls</w:t>
            </w:r>
          </w:p>
          <w:p w14:paraId="7FE1B79D" w14:textId="5EB7A3D7" w:rsidR="00952395" w:rsidRDefault="0083775C">
            <w:pPr>
              <w:pStyle w:val="P68B1DB1-ListParagraph25"/>
              <w:autoSpaceDE w:val="0"/>
              <w:autoSpaceDN w:val="0"/>
              <w:adjustRightInd w:val="0"/>
              <w:ind w:left="539"/>
              <w:jc w:val="both"/>
            </w:pPr>
            <w:r>
              <w:t>Tāda pati definīcija kā Z 02.00 (LIAB 1) 0520. rindā</w:t>
            </w:r>
          </w:p>
          <w:p w14:paraId="7FE1B79E" w14:textId="77777777" w:rsidR="00952395" w:rsidRDefault="0083775C">
            <w:pPr>
              <w:pStyle w:val="P68B1DB1-ListParagraph25"/>
              <w:numPr>
                <w:ilvl w:val="0"/>
                <w:numId w:val="54"/>
              </w:numPr>
              <w:autoSpaceDE w:val="0"/>
              <w:autoSpaceDN w:val="0"/>
              <w:adjustRightInd w:val="0"/>
              <w:ind w:left="539" w:hanging="454"/>
              <w:contextualSpacing/>
              <w:jc w:val="both"/>
            </w:pPr>
            <w:r>
              <w:t>Pirmā līmeņa pamata kapitāls</w:t>
            </w:r>
          </w:p>
          <w:p w14:paraId="7FE1B79F" w14:textId="3DF796DF" w:rsidR="00952395" w:rsidRDefault="0083775C">
            <w:pPr>
              <w:pStyle w:val="P68B1DB1-ListParagraph25"/>
              <w:autoSpaceDE w:val="0"/>
              <w:autoSpaceDN w:val="0"/>
              <w:adjustRightInd w:val="0"/>
              <w:ind w:left="539"/>
              <w:jc w:val="both"/>
            </w:pPr>
            <w:r>
              <w:t>Tāda pati definīcija kā Z 02.00 (LIAB 1) 0510. rindā</w:t>
            </w:r>
          </w:p>
          <w:p w14:paraId="7FE1B7A0" w14:textId="77777777" w:rsidR="00952395" w:rsidRDefault="0083775C">
            <w:pPr>
              <w:pStyle w:val="P68B1DB1-TableParagraph24"/>
              <w:spacing w:before="108"/>
              <w:ind w:left="85"/>
              <w:jc w:val="both"/>
            </w:pPr>
            <w:r>
              <w:t>Grupas iekšējās garantijas</w:t>
            </w:r>
          </w:p>
          <w:p w14:paraId="7FE1B7A1" w14:textId="426DD2CE" w:rsidR="00952395" w:rsidRDefault="0083775C">
            <w:pPr>
              <w:pStyle w:val="P68B1DB1-ListParagraph25"/>
              <w:numPr>
                <w:ilvl w:val="0"/>
                <w:numId w:val="55"/>
              </w:numPr>
              <w:autoSpaceDE w:val="0"/>
              <w:autoSpaceDN w:val="0"/>
              <w:adjustRightInd w:val="0"/>
              <w:ind w:left="539" w:hanging="454"/>
              <w:contextualSpacing/>
              <w:jc w:val="both"/>
            </w:pPr>
            <w:r>
              <w:t>Emisijas garantijas</w:t>
            </w:r>
          </w:p>
          <w:p w14:paraId="7FE1B7A2" w14:textId="77777777" w:rsidR="00952395" w:rsidRDefault="0083775C">
            <w:pPr>
              <w:pStyle w:val="P68B1DB1-ListParagraph25"/>
              <w:autoSpaceDE w:val="0"/>
              <w:autoSpaceDN w:val="0"/>
              <w:adjustRightInd w:val="0"/>
              <w:ind w:left="539"/>
              <w:jc w:val="both"/>
            </w:pPr>
            <w:r>
              <w:t>Garantijas par konkrētiem emitētiem instrumentiem/saistībām</w:t>
            </w:r>
          </w:p>
          <w:p w14:paraId="7FE1B7A3" w14:textId="71CD6004" w:rsidR="00952395" w:rsidRDefault="0083775C">
            <w:pPr>
              <w:pStyle w:val="P68B1DB1-ListParagraph25"/>
              <w:numPr>
                <w:ilvl w:val="0"/>
                <w:numId w:val="55"/>
              </w:numPr>
              <w:autoSpaceDE w:val="0"/>
              <w:autoSpaceDN w:val="0"/>
              <w:adjustRightInd w:val="0"/>
              <w:ind w:left="539" w:hanging="454"/>
              <w:contextualSpacing/>
              <w:jc w:val="both"/>
            </w:pPr>
            <w:r>
              <w:t>Darījuma partnera garantijas</w:t>
            </w:r>
          </w:p>
          <w:p w14:paraId="7FE1B7A4" w14:textId="77777777" w:rsidR="00952395" w:rsidRDefault="0083775C">
            <w:pPr>
              <w:pStyle w:val="P68B1DB1-ListParagraph25"/>
              <w:autoSpaceDE w:val="0"/>
              <w:autoSpaceDN w:val="0"/>
              <w:adjustRightInd w:val="0"/>
              <w:ind w:left="539"/>
              <w:jc w:val="both"/>
            </w:pPr>
            <w:r>
              <w:t>Garantijas, kas sniegtas konkrētam darījumu partnerim iestādē</w:t>
            </w:r>
          </w:p>
          <w:p w14:paraId="7FE1B7A5" w14:textId="50A984E1" w:rsidR="00952395" w:rsidRDefault="0083775C">
            <w:pPr>
              <w:pStyle w:val="P68B1DB1-ListParagraph25"/>
              <w:numPr>
                <w:ilvl w:val="0"/>
                <w:numId w:val="55"/>
              </w:numPr>
              <w:autoSpaceDE w:val="0"/>
              <w:autoSpaceDN w:val="0"/>
              <w:adjustRightInd w:val="0"/>
              <w:ind w:left="539" w:hanging="454"/>
              <w:contextualSpacing/>
              <w:jc w:val="both"/>
            </w:pPr>
            <w:r>
              <w:t>Neierobežotas garantijas</w:t>
            </w:r>
          </w:p>
          <w:p w14:paraId="7FE1B7A6" w14:textId="77777777" w:rsidR="00952395" w:rsidRDefault="0083775C">
            <w:pPr>
              <w:pStyle w:val="P68B1DB1-ListParagraph25"/>
              <w:autoSpaceDE w:val="0"/>
              <w:autoSpaceDN w:val="0"/>
              <w:adjustRightInd w:val="0"/>
              <w:ind w:left="539"/>
              <w:jc w:val="both"/>
            </w:pPr>
            <w:r>
              <w:t xml:space="preserve">Vispārīgas garantijas bez fiksētas summas ierobežojuma </w:t>
            </w:r>
          </w:p>
          <w:p w14:paraId="7FE1B7A7" w14:textId="391BAF8D" w:rsidR="00952395" w:rsidRDefault="0083775C">
            <w:pPr>
              <w:pStyle w:val="P68B1DB1-ListParagraph25"/>
              <w:numPr>
                <w:ilvl w:val="0"/>
                <w:numId w:val="55"/>
              </w:numPr>
              <w:autoSpaceDE w:val="0"/>
              <w:autoSpaceDN w:val="0"/>
              <w:adjustRightInd w:val="0"/>
              <w:ind w:left="539" w:hanging="454"/>
              <w:contextualSpacing/>
              <w:jc w:val="both"/>
            </w:pPr>
            <w:r>
              <w:t>Citas garantijas</w:t>
            </w:r>
          </w:p>
          <w:p w14:paraId="7FE1B7A8" w14:textId="77777777" w:rsidR="00952395" w:rsidRDefault="0083775C">
            <w:pPr>
              <w:pStyle w:val="P68B1DB1-ListParagraph25"/>
              <w:autoSpaceDE w:val="0"/>
              <w:autoSpaceDN w:val="0"/>
              <w:adjustRightInd w:val="0"/>
              <w:ind w:left="539"/>
              <w:jc w:val="both"/>
            </w:pPr>
            <w:r>
              <w:t xml:space="preserve">Jebkādas garantijas, kas nav ietvertas iepriekšējos veidos. </w:t>
            </w:r>
          </w:p>
        </w:tc>
      </w:tr>
      <w:tr w:rsidR="00952395"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952395" w:rsidRDefault="0083775C">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952395" w:rsidRDefault="0083775C">
            <w:pPr>
              <w:pStyle w:val="P68B1DB1-TableParagraph14"/>
              <w:spacing w:before="108"/>
              <w:ind w:left="85"/>
              <w:jc w:val="both"/>
              <w:rPr>
                <w:bCs/>
              </w:rPr>
            </w:pPr>
            <w:r>
              <w:t>Atlikums</w:t>
            </w:r>
          </w:p>
          <w:p w14:paraId="7FE1B7AC" w14:textId="0BB5F57D" w:rsidR="00952395" w:rsidRDefault="0083775C">
            <w:pPr>
              <w:pStyle w:val="P68B1DB1-TableParagraph17"/>
              <w:spacing w:before="108"/>
              <w:ind w:left="85"/>
              <w:jc w:val="both"/>
            </w:pPr>
            <w:r>
              <w:t>Attiecībā uz 0050. slejā minētajām saistībām — grupas iekšējo saistību neatmaksātā summa; no atvasinātajiem instrumentiem izrietošajām saistībām — slēgšanas summas, kā noteikts Z 02.00 veidnes 0333. rindas nolūkos.</w:t>
            </w:r>
          </w:p>
          <w:p w14:paraId="7FE1B7AD" w14:textId="75442B42" w:rsidR="00952395" w:rsidRDefault="0083775C">
            <w:pPr>
              <w:pStyle w:val="P68B1DB1-TableParagraph17"/>
              <w:spacing w:before="108"/>
              <w:ind w:left="85"/>
              <w:jc w:val="both"/>
            </w:pPr>
            <w:r>
              <w:t xml:space="preserve">Attiecībā uz garantijām 0050. slejā — garantijas nākotnes maksājumu maksimālā iespējamā summa </w:t>
            </w:r>
          </w:p>
        </w:tc>
      </w:tr>
      <w:tr w:rsidR="00952395"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952395" w:rsidRDefault="0083775C">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952395" w:rsidRDefault="0083775C">
            <w:pPr>
              <w:pStyle w:val="P68B1DB1-TableParagraph14"/>
              <w:spacing w:before="108"/>
              <w:ind w:left="85"/>
              <w:jc w:val="both"/>
              <w:rPr>
                <w:bCs/>
              </w:rPr>
            </w:pPr>
            <w:r>
              <w:t>no tiem:emitēta saskaņā ar trešās valsts tiesību aktiem</w:t>
            </w:r>
          </w:p>
          <w:p w14:paraId="7FE1B7B1" w14:textId="77777777" w:rsidR="00952395" w:rsidRDefault="0083775C">
            <w:pPr>
              <w:pStyle w:val="P68B1DB1-TableParagraph13"/>
              <w:spacing w:before="108"/>
              <w:ind w:left="85"/>
              <w:jc w:val="both"/>
              <w:rPr>
                <w:bCs/>
              </w:rPr>
            </w:pPr>
            <w:r>
              <w:t>Tās nenomaksātās summas daļa monetārā izteiksmē, uz ko attiecas trešās valsts tiesību akti.</w:t>
            </w:r>
          </w:p>
        </w:tc>
      </w:tr>
      <w:tr w:rsidR="00952395"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952395" w:rsidRDefault="0083775C">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952395" w:rsidRDefault="0083775C">
            <w:pPr>
              <w:pStyle w:val="P68B1DB1-TableParagraph14"/>
              <w:spacing w:before="108"/>
              <w:ind w:left="85"/>
              <w:jc w:val="both"/>
              <w:rPr>
                <w:rFonts w:eastAsia="Cambria"/>
              </w:rPr>
            </w:pPr>
            <w:r>
              <w:t>No tiem: Atbilstīga MREL</w:t>
            </w:r>
          </w:p>
          <w:p w14:paraId="7FE1B7B5" w14:textId="77777777" w:rsidR="00952395" w:rsidRDefault="0083775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Pašu kapitāla un saistību summa, kas ir atbilstīga, lai izpildītu Direktīvas 2014/59/ES 45. panta prasību attiecīgi saskaņā ar minētās direktīvas 45.e vai 45.f pantu.</w:t>
            </w:r>
            <w:r>
              <w:rPr>
                <w:rFonts w:ascii="Times New Roman" w:hAnsi="Times New Roman" w:cs="Times New Roman"/>
              </w:rPr>
              <w:t xml:space="preserve"> </w:t>
            </w:r>
            <w:r>
              <w:rPr>
                <w:rFonts w:ascii="Times New Roman" w:eastAsia="Cambria" w:hAnsi="Times New Roman" w:cs="Times New Roman"/>
                <w:color w:val="000000" w:themeColor="text1"/>
                <w:sz w:val="20"/>
                <w:szCs w:val="20"/>
              </w:rPr>
              <w:t>Uzrāda tikai to pašu kapitālu un saistības, kas atbilst attiecīgi Direktīvas 2014/59/ES 45.b panta vai 45.f panta 2. punkta kritērijiem, attiecīgā gadījumā ņemot vērā BAND 89. panta 2. punktu un BAND 55. pantu.</w:t>
            </w:r>
          </w:p>
        </w:tc>
      </w:tr>
    </w:tbl>
    <w:p w14:paraId="7FE1B7B7" w14:textId="77777777" w:rsidR="00952395" w:rsidRDefault="00952395">
      <w:pPr>
        <w:jc w:val="both"/>
        <w:rPr>
          <w:rFonts w:ascii="Times New Roman" w:hAnsi="Times New Roman" w:cs="Times New Roman"/>
          <w:color w:val="000000" w:themeColor="text1"/>
          <w:sz w:val="20"/>
          <w:szCs w:val="20"/>
        </w:rPr>
      </w:pPr>
    </w:p>
    <w:p w14:paraId="7FE1B7B8" w14:textId="548121DF" w:rsidR="00952395" w:rsidRDefault="0083775C">
      <w:pPr>
        <w:pStyle w:val="P68B1DB1-Instructionsberschrift25"/>
        <w:numPr>
          <w:ilvl w:val="1"/>
          <w:numId w:val="49"/>
        </w:numPr>
        <w:ind w:left="357" w:hanging="357"/>
      </w:pPr>
      <w:bookmarkStart w:id="66" w:name="_Toc492542325"/>
      <w:bookmarkStart w:id="67" w:name="_Toc81454183"/>
      <w:bookmarkStart w:id="68" w:name="_Toc208244949"/>
      <w:r>
        <w:t>Lielākie darījumu partneri (LIAB 5 &amp; 6)</w:t>
      </w:r>
      <w:bookmarkEnd w:id="66"/>
      <w:bookmarkEnd w:id="67"/>
      <w:bookmarkEnd w:id="68"/>
    </w:p>
    <w:p w14:paraId="7FE1B7B9" w14:textId="77777777" w:rsidR="00952395" w:rsidRDefault="0083775C">
      <w:pPr>
        <w:pStyle w:val="Instructionsberschrift3"/>
      </w:pPr>
      <w:r>
        <w:t>Vispārīgas piezīmes</w:t>
      </w:r>
    </w:p>
    <w:p w14:paraId="7FE1B7BA" w14:textId="77777777" w:rsidR="00952395" w:rsidRDefault="0083775C">
      <w:pPr>
        <w:pStyle w:val="P68B1DB1-InstructionsText26"/>
        <w:numPr>
          <w:ilvl w:val="0"/>
          <w:numId w:val="232"/>
        </w:numPr>
        <w:spacing w:before="0"/>
      </w:pPr>
      <w:r>
        <w:t>Šajās veidnēs vākta informācija par saistībām pret nozīmīgākajiem darījumu partneriem (Z 05.01) un no nozīmīgākajiem darījumu partneriem saņemtajiem ārpusbilances posteņiem (Z 05.02). Pārskatā norādītās summas apkopo, ja tās attiecas uz to pašu darījumu partneri un tā paša veida saistībām vai ārpusbilances posteņiem.</w:t>
      </w:r>
    </w:p>
    <w:p w14:paraId="7FE1B7BB" w14:textId="77777777" w:rsidR="00952395" w:rsidRDefault="0083775C">
      <w:pPr>
        <w:pStyle w:val="P68B1DB1-InstructionsText26"/>
        <w:numPr>
          <w:ilvl w:val="0"/>
          <w:numId w:val="232"/>
        </w:numPr>
        <w:spacing w:before="0"/>
      </w:pPr>
      <w:r>
        <w:lastRenderedPageBreak/>
        <w:t>Šajās veidnēs nenorāda saistības un ārpusbilances posteņus, kam nevar identificēt darījumu partneri. Pārskatā nenorāda saistības un ārpusbilances posteņus, attiecībā uz kuriem darījumu partneris ir konsolidētajos finanšu pārskatos iekļauta vienība.</w:t>
      </w:r>
    </w:p>
    <w:p w14:paraId="7FE1B7BC" w14:textId="04BE316A" w:rsidR="00952395" w:rsidRDefault="00952395">
      <w:pPr>
        <w:pStyle w:val="InstructionsText2"/>
        <w:numPr>
          <w:ilvl w:val="0"/>
          <w:numId w:val="0"/>
        </w:numPr>
        <w:spacing w:before="0"/>
        <w:ind w:left="753" w:hanging="720"/>
        <w:rPr>
          <w:rFonts w:ascii="Times New Roman" w:hAnsi="Times New Roman" w:cs="Times New Roman"/>
          <w:sz w:val="20"/>
          <w:szCs w:val="20"/>
        </w:rPr>
      </w:pPr>
    </w:p>
    <w:p w14:paraId="7FE1B7BD" w14:textId="77777777" w:rsidR="00952395" w:rsidRDefault="0083775C">
      <w:pPr>
        <w:pStyle w:val="P68B1DB1-Instructionsberschrift25"/>
        <w:numPr>
          <w:ilvl w:val="1"/>
          <w:numId w:val="49"/>
        </w:numPr>
        <w:ind w:left="357" w:hanging="357"/>
      </w:pPr>
      <w:bookmarkStart w:id="69" w:name="_Toc81454184"/>
      <w:bookmarkStart w:id="70" w:name="_Toc208244950"/>
      <w:r>
        <w:t>Z 05.01 — nozīmīgākie saistību partneri (LIAB 5)</w:t>
      </w:r>
      <w:bookmarkEnd w:id="70"/>
    </w:p>
    <w:p w14:paraId="7FE1B7BE" w14:textId="0F7A6C34" w:rsidR="00952395" w:rsidRDefault="0083775C">
      <w:pPr>
        <w:pStyle w:val="P68B1DB1-body26"/>
      </w:pPr>
      <w:r>
        <w:t>Norādījumi attiecībā uz konkrētām pozīcijām</w:t>
      </w:r>
      <w:bookmarkEnd w:id="69"/>
    </w:p>
    <w:p w14:paraId="7FE1B7BF" w14:textId="77777777" w:rsidR="00952395" w:rsidRDefault="0083775C">
      <w:pPr>
        <w:pStyle w:val="P68B1DB1-InstructionsText26"/>
        <w:numPr>
          <w:ilvl w:val="0"/>
          <w:numId w:val="232"/>
        </w:numPr>
        <w:spacing w:before="0"/>
      </w:pPr>
      <w:r>
        <w:t>Šīs veidnes 0020. un 0060. slejā norādīto vērtību kombinācija veido primāru atslēgu, kurai jābūt unikālai katrā veidnes rindā.</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952395"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952395" w:rsidRDefault="0083775C">
            <w:pPr>
              <w:pStyle w:val="P68B1DB1-TableParagraph13"/>
              <w:spacing w:before="66"/>
              <w:rPr>
                <w:rFonts w:eastAsia="Cambria"/>
              </w:rPr>
            </w:pPr>
            <w:r>
              <w:t>Slejas</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952395" w:rsidRDefault="0083775C">
            <w:pPr>
              <w:pStyle w:val="P68B1DB1-TableParagraph13"/>
              <w:spacing w:before="66"/>
              <w:ind w:right="1"/>
              <w:jc w:val="center"/>
              <w:rPr>
                <w:rFonts w:eastAsia="Cambria"/>
              </w:rPr>
            </w:pPr>
            <w:r>
              <w:t>Norādījumi</w:t>
            </w:r>
          </w:p>
        </w:tc>
      </w:tr>
      <w:tr w:rsidR="00952395"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952395" w:rsidRDefault="0083775C">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952395" w:rsidRDefault="0083775C">
            <w:pPr>
              <w:pStyle w:val="P68B1DB1-TableParagraph14"/>
              <w:spacing w:before="108"/>
              <w:ind w:left="85"/>
              <w:jc w:val="both"/>
              <w:rPr>
                <w:bCs/>
              </w:rPr>
            </w:pPr>
            <w:r>
              <w:t>Darījuma partneris</w:t>
            </w:r>
          </w:p>
          <w:p w14:paraId="7FE1B7C5" w14:textId="77777777" w:rsidR="00952395" w:rsidRDefault="0083775C">
            <w:pPr>
              <w:pStyle w:val="P68B1DB1-TableParagraph17"/>
              <w:spacing w:before="108"/>
              <w:ind w:left="85"/>
              <w:jc w:val="both"/>
            </w:pPr>
            <w:r>
              <w:t xml:space="preserve">Informācija par nozīmīgo darījumu partneri, attiecībā uz kuru rodas saistības </w:t>
            </w:r>
          </w:p>
          <w:p w14:paraId="7FE1B7C6" w14:textId="77777777" w:rsidR="00952395" w:rsidRDefault="0083775C">
            <w:pPr>
              <w:pStyle w:val="P68B1DB1-TableParagraph17"/>
              <w:spacing w:before="108"/>
              <w:ind w:left="85"/>
              <w:jc w:val="both"/>
            </w:pPr>
            <w:r>
              <w:t>Nozīmīgākos darījumu partnerus identificē, summējot visu vienības vai grupas saistību nenomaksātās summas, par kurām ir iesniegta veidne, katram darījumu partnerim vai savstarpēji saistītu klientu grupai, izņemot saistības pret vienībām, kas iekļautas konsolidētajos finanšu pārskatos.</w:t>
            </w:r>
          </w:p>
          <w:p w14:paraId="7FE1B7C7" w14:textId="77777777" w:rsidR="00952395" w:rsidRDefault="0083775C">
            <w:pPr>
              <w:pStyle w:val="P68B1DB1-TableParagraph17"/>
              <w:spacing w:before="108"/>
              <w:ind w:left="85"/>
              <w:jc w:val="both"/>
            </w:pPr>
            <w:r>
              <w:t>Pēc tam darījumu partneri un savstarpēji saistītu darījumu partneru grupas tiek sakārtotas pēc kopējās nenomaksātās summas, lai identificētu 10 nozīmīgākos darījumu partnerus, par kuriem sniedz informāciju šajā veidnē.</w:t>
            </w:r>
          </w:p>
          <w:p w14:paraId="7FE1B7CB" w14:textId="1879B990" w:rsidR="00952395" w:rsidRDefault="0083775C">
            <w:pPr>
              <w:pStyle w:val="P68B1DB1-TableParagraph17"/>
              <w:spacing w:before="108"/>
              <w:ind w:left="85"/>
              <w:jc w:val="both"/>
              <w:rPr>
                <w:b/>
                <w:bCs/>
              </w:rPr>
            </w:pPr>
            <w:r>
              <w:t xml:space="preserve">“Savstarpēji saistītu darījumu partneru grupas” definīcija atbilst Regulas (ES) Nr. 575/2013 4. panta 1. punkta 39. apakšpunktā minētajai “savstarpēji saistītu klientu grupas” definīcijai. </w:t>
            </w:r>
          </w:p>
        </w:tc>
      </w:tr>
      <w:tr w:rsidR="00952395"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952395" w:rsidRDefault="0083775C">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952395" w:rsidRDefault="0083775C">
            <w:pPr>
              <w:pStyle w:val="P68B1DB1-TableParagraph14"/>
              <w:spacing w:before="108"/>
              <w:ind w:left="85"/>
              <w:jc w:val="both"/>
              <w:rPr>
                <w:bCs/>
              </w:rPr>
            </w:pPr>
            <w:r>
              <w:t>Vienības nosaukums</w:t>
            </w:r>
          </w:p>
          <w:p w14:paraId="7FE1B7CF" w14:textId="77777777" w:rsidR="00952395" w:rsidRDefault="0083775C">
            <w:pPr>
              <w:pStyle w:val="P68B1DB1-Normal18"/>
              <w:spacing w:before="108"/>
              <w:ind w:left="85"/>
              <w:jc w:val="both"/>
            </w:pPr>
            <w:r>
              <w:t>Nozīmīgā darījumu partnera nosaukums vai — attiecīgā gadījumā — savstarpēji saistītu klientu grupas nosaukums.</w:t>
            </w:r>
          </w:p>
          <w:p w14:paraId="7FE1B7D0" w14:textId="77777777" w:rsidR="00952395" w:rsidRDefault="0083775C">
            <w:pPr>
              <w:pStyle w:val="P68B1DB1-TableParagraph17"/>
              <w:spacing w:before="108"/>
              <w:ind w:left="85"/>
              <w:jc w:val="both"/>
            </w:pPr>
            <w:r>
              <w:t>Savstarpēji saistītu klientu grupas nosaukums ir mātesuzņēmuma nosaukums vai, ja savstarpēji saistītu klientu grupai nav mātesuzņēmuma, grupas komercnosaukums.</w:t>
            </w:r>
          </w:p>
        </w:tc>
      </w:tr>
      <w:tr w:rsidR="00952395"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952395" w:rsidRDefault="0083775C">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952395" w:rsidRDefault="0083775C">
            <w:pPr>
              <w:pStyle w:val="P68B1DB1-TableParagraph14"/>
              <w:spacing w:before="108"/>
              <w:ind w:left="85"/>
              <w:jc w:val="both"/>
              <w:rPr>
                <w:bCs/>
              </w:rPr>
            </w:pPr>
            <w:r>
              <w:t>Kods</w:t>
            </w:r>
          </w:p>
          <w:p w14:paraId="188AB748" w14:textId="77777777" w:rsidR="00952395" w:rsidRDefault="0083775C">
            <w:pPr>
              <w:pStyle w:val="P68B1DB1-TableParagraph17"/>
              <w:spacing w:before="108"/>
            </w:pPr>
            <w:r>
              <w:t xml:space="preserve">Nozīmīgā darījumu partnera vai savstarpēji saistītu klientu grupas kods. </w:t>
            </w:r>
          </w:p>
          <w:p w14:paraId="0DD02B7A" w14:textId="4FE17D24" w:rsidR="00952395" w:rsidRDefault="0083775C">
            <w:pPr>
              <w:pStyle w:val="P68B1DB1-TableParagraph13"/>
              <w:spacing w:before="108"/>
              <w:rPr>
                <w:bCs/>
              </w:rPr>
            </w:pPr>
            <w:r>
              <w:t>Iestādēm ar juridiskās personas identifikatoru (LEI) — 20 zīmju burtciparu LEI kods;</w:t>
            </w:r>
          </w:p>
          <w:p w14:paraId="7FE1B7D4" w14:textId="10D08A5A" w:rsidR="00952395" w:rsidRDefault="0083775C">
            <w:pPr>
              <w:pStyle w:val="P68B1DB1-TableParagraph13"/>
              <w:spacing w:before="108"/>
              <w:jc w:val="both"/>
              <w:rPr>
                <w:rFonts w:eastAsia="Cambria"/>
              </w:rPr>
            </w:pPr>
            <w:r>
              <w:t>Ja nav pieejams, izmanto MFI kodu vai kodu saskaņā ar vienotu kodifikāciju, ko piemēro Savienībā.</w:t>
            </w:r>
          </w:p>
          <w:p w14:paraId="7FE1B7D5" w14:textId="77777777" w:rsidR="00952395" w:rsidRDefault="0083775C">
            <w:pPr>
              <w:pStyle w:val="P68B1DB1-TableParagraph17"/>
              <w:spacing w:before="108"/>
              <w:ind w:left="85"/>
              <w:jc w:val="both"/>
            </w:pPr>
            <w:r>
              <w:t>Kodam jābūt unikālam, un tas veidnēs jāizmanto konsekventi.</w:t>
            </w:r>
          </w:p>
        </w:tc>
      </w:tr>
      <w:tr w:rsidR="00952395"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952395" w:rsidRDefault="0083775C">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952395" w:rsidRDefault="0083775C">
            <w:pPr>
              <w:pStyle w:val="P68B1DB1-TableParagraph14"/>
              <w:spacing w:before="108"/>
              <w:ind w:left="85"/>
              <w:jc w:val="both"/>
              <w:rPr>
                <w:bCs/>
              </w:rPr>
            </w:pPr>
            <w:r>
              <w:t>Koda veids</w:t>
            </w:r>
          </w:p>
          <w:p w14:paraId="2BEBBD8E" w14:textId="55A001F3" w:rsidR="00952395" w:rsidRDefault="0083775C">
            <w:pPr>
              <w:pStyle w:val="P68B1DB1-TableParagraph13"/>
              <w:spacing w:before="108"/>
              <w:rPr>
                <w:bCs/>
              </w:rPr>
            </w:pPr>
            <w:r>
              <w:t>Jāizvēlas no šādām iespējām: “LEI kods”, “MFI kods” vai “Identifikatora veids, kas nav LEI vai MFI kods”.</w:t>
            </w:r>
          </w:p>
          <w:p w14:paraId="5CA49443" w14:textId="30D8A3AF" w:rsidR="00952395" w:rsidRDefault="0083775C">
            <w:pPr>
              <w:pStyle w:val="P68B1DB1-TableParagraph13"/>
              <w:spacing w:before="108" w:line="276" w:lineRule="auto"/>
              <w:ind w:left="85"/>
              <w:jc w:val="both"/>
              <w:rPr>
                <w:color w:val="000000"/>
              </w:rPr>
            </w:pPr>
            <w:r>
              <w:t>Vienību identifikāciju veic konsekventi visās veidnēs.</w:t>
            </w:r>
          </w:p>
          <w:p w14:paraId="7FE1B7DA" w14:textId="4204707F" w:rsidR="00952395" w:rsidRDefault="00952395">
            <w:pPr>
              <w:pStyle w:val="TableParagraph"/>
              <w:spacing w:before="108"/>
              <w:rPr>
                <w:rFonts w:ascii="Times New Roman" w:hAnsi="Times New Roman" w:cs="Times New Roman"/>
                <w:color w:val="000000" w:themeColor="text1"/>
                <w:sz w:val="20"/>
                <w:szCs w:val="20"/>
              </w:rPr>
            </w:pPr>
          </w:p>
        </w:tc>
      </w:tr>
      <w:tr w:rsidR="00952395"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952395" w:rsidRDefault="0083775C">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952395" w:rsidRDefault="0083775C">
            <w:pPr>
              <w:pStyle w:val="P68B1DB1-TableParagraph14"/>
              <w:spacing w:before="108"/>
              <w:ind w:left="85"/>
              <w:jc w:val="both"/>
              <w:rPr>
                <w:bCs/>
              </w:rPr>
            </w:pPr>
            <w:r>
              <w:t>Grupa vai atsevišķs klients</w:t>
            </w:r>
          </w:p>
          <w:p w14:paraId="4E4D0057" w14:textId="77777777" w:rsidR="00952395" w:rsidRDefault="0083775C">
            <w:pPr>
              <w:pStyle w:val="P68B1DB1-Normal18"/>
              <w:ind w:left="85"/>
            </w:pPr>
            <w:r>
              <w:t>Iestāde uzrāda:</w:t>
            </w:r>
          </w:p>
          <w:p w14:paraId="0242F822" w14:textId="5242FFA2" w:rsidR="00952395" w:rsidRDefault="0083775C">
            <w:pPr>
              <w:pStyle w:val="P68B1DB1-ListParagraph25"/>
              <w:numPr>
                <w:ilvl w:val="0"/>
                <w:numId w:val="297"/>
              </w:numPr>
            </w:pPr>
            <w:r>
              <w:t>Atsevišķi darījumu partneri</w:t>
            </w:r>
          </w:p>
          <w:p w14:paraId="7FE1B7DE" w14:textId="6F55D54C" w:rsidR="00952395" w:rsidRDefault="0083775C">
            <w:pPr>
              <w:pStyle w:val="P68B1DB1-ListParagraph25"/>
              <w:numPr>
                <w:ilvl w:val="0"/>
                <w:numId w:val="297"/>
              </w:numPr>
            </w:pPr>
            <w:r>
              <w:t>Savstarpēji saistītu klientu grupas.</w:t>
            </w:r>
          </w:p>
        </w:tc>
      </w:tr>
      <w:tr w:rsidR="00952395"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952395" w:rsidRDefault="0083775C">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952395" w:rsidRDefault="0083775C">
            <w:pPr>
              <w:pStyle w:val="P68B1DB1-TableParagraph14"/>
              <w:spacing w:before="108"/>
              <w:ind w:left="85"/>
              <w:jc w:val="both"/>
              <w:rPr>
                <w:bCs/>
              </w:rPr>
            </w:pPr>
            <w:r>
              <w:t>Valsts</w:t>
            </w:r>
          </w:p>
          <w:p w14:paraId="7FE1B7E2" w14:textId="77777777" w:rsidR="00952395" w:rsidRDefault="0083775C">
            <w:pPr>
              <w:pStyle w:val="P68B1DB1-Normal18"/>
              <w:spacing w:before="108"/>
              <w:ind w:left="85"/>
              <w:contextualSpacing/>
              <w:jc w:val="both"/>
            </w:pPr>
            <w:r>
              <w:lastRenderedPageBreak/>
              <w:t xml:space="preserve">Darījumu partnera reģistrācijas valsts ISO 3166–1 alfa 2 kods. Tas ietver starptautisko organizāciju ISO pseidokodus, kas pieejami Eurostat jaunākajā maksājumu bilances rokasgrāmatā (“Balance of Payments Vademecum”). </w:t>
            </w:r>
          </w:p>
          <w:p w14:paraId="7FE1B7E3" w14:textId="77777777" w:rsidR="00952395" w:rsidRDefault="0083775C">
            <w:pPr>
              <w:pStyle w:val="P68B1DB1-TableParagraph17"/>
              <w:spacing w:before="108"/>
              <w:ind w:left="85"/>
              <w:jc w:val="both"/>
            </w:pPr>
            <w:r>
              <w:t xml:space="preserve">Valsti nosaka, atsaucoties uz darījumu partnera juridisko adresi. Savstarpēji saistītu klientu grupām valsts ir mātesuzņēmuma reģistrācijas valsts. </w:t>
            </w:r>
          </w:p>
        </w:tc>
      </w:tr>
      <w:tr w:rsidR="00952395"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952395" w:rsidRDefault="0083775C">
            <w:pPr>
              <w:pStyle w:val="P68B1DB1-TableParagraph17"/>
              <w:spacing w:before="108"/>
              <w:ind w:left="85"/>
              <w:jc w:val="both"/>
            </w:pPr>
            <w:r>
              <w:lastRenderedPageBreak/>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952395" w:rsidRDefault="0083775C">
            <w:pPr>
              <w:pStyle w:val="P68B1DB1-TableParagraph14"/>
              <w:spacing w:before="108"/>
              <w:ind w:left="85"/>
              <w:jc w:val="both"/>
              <w:rPr>
                <w:bCs/>
              </w:rPr>
            </w:pPr>
            <w:r>
              <w:t>Sektors</w:t>
            </w:r>
          </w:p>
          <w:p w14:paraId="7FE1B7E7" w14:textId="77777777" w:rsidR="00952395" w:rsidRDefault="0083775C">
            <w:pPr>
              <w:pStyle w:val="P68B1DB1-TableParagraph17"/>
              <w:spacing w:before="108"/>
              <w:ind w:left="85"/>
              <w:jc w:val="both"/>
            </w:pPr>
            <w:r>
              <w:t>Katram darījumu partnerim piešķir vienu sektoru, pamatojoties uz FINREP ekonomisko sektoru kategorijām (FINREP, V pielikums, 1. daļa, 6. nodaļa):</w:t>
            </w:r>
          </w:p>
          <w:p w14:paraId="7FE1B7E8" w14:textId="77777777" w:rsidR="00952395" w:rsidRDefault="0083775C">
            <w:pPr>
              <w:pStyle w:val="P68B1DB1-List127"/>
              <w:numPr>
                <w:ilvl w:val="0"/>
                <w:numId w:val="64"/>
              </w:numPr>
            </w:pPr>
            <w:r>
              <w:t>Centrālās bankas</w:t>
            </w:r>
          </w:p>
          <w:p w14:paraId="7FE1B7E9" w14:textId="77777777" w:rsidR="00952395" w:rsidRDefault="0083775C">
            <w:pPr>
              <w:pStyle w:val="P68B1DB1-List127"/>
              <w:numPr>
                <w:ilvl w:val="0"/>
                <w:numId w:val="64"/>
              </w:numPr>
            </w:pPr>
            <w:r>
              <w:t>Vispārējās valdības</w:t>
            </w:r>
          </w:p>
          <w:p w14:paraId="7FE1B7EA" w14:textId="77777777" w:rsidR="00952395" w:rsidRDefault="0083775C">
            <w:pPr>
              <w:pStyle w:val="P68B1DB1-List127"/>
              <w:numPr>
                <w:ilvl w:val="0"/>
                <w:numId w:val="64"/>
              </w:numPr>
            </w:pPr>
            <w:r>
              <w:t xml:space="preserve">Kredītiestādes </w:t>
            </w:r>
          </w:p>
          <w:p w14:paraId="7FE1B7EB" w14:textId="77777777" w:rsidR="00952395" w:rsidRDefault="0083775C">
            <w:pPr>
              <w:pStyle w:val="P68B1DB1-List127"/>
              <w:numPr>
                <w:ilvl w:val="0"/>
                <w:numId w:val="64"/>
              </w:numPr>
            </w:pPr>
            <w:r>
              <w:t>Citas finanšu sabiedrības</w:t>
            </w:r>
          </w:p>
          <w:p w14:paraId="7FE1B7EC" w14:textId="77777777" w:rsidR="00952395" w:rsidRDefault="0083775C">
            <w:pPr>
              <w:pStyle w:val="P68B1DB1-List127"/>
              <w:numPr>
                <w:ilvl w:val="0"/>
                <w:numId w:val="64"/>
              </w:numPr>
            </w:pPr>
            <w:r>
              <w:t>Nefinanšu sabiedrības</w:t>
            </w:r>
          </w:p>
          <w:p w14:paraId="7FE1B7ED" w14:textId="77777777" w:rsidR="00952395" w:rsidRDefault="0083775C">
            <w:pPr>
              <w:pStyle w:val="P68B1DB1-List127"/>
              <w:numPr>
                <w:ilvl w:val="0"/>
                <w:numId w:val="64"/>
              </w:numPr>
            </w:pPr>
            <w:r>
              <w:t>Mājsaimniecības</w:t>
            </w:r>
          </w:p>
          <w:p w14:paraId="7FE1B7EE" w14:textId="77777777" w:rsidR="00952395" w:rsidRDefault="0083775C">
            <w:pPr>
              <w:pStyle w:val="P68B1DB1-TableParagraph17"/>
              <w:spacing w:before="108"/>
              <w:ind w:left="85"/>
              <w:jc w:val="both"/>
            </w:pPr>
            <w:r>
              <w:t>Savstarpēji saistītu klientu grupām sektoru nenorāda.</w:t>
            </w:r>
          </w:p>
        </w:tc>
      </w:tr>
      <w:tr w:rsidR="00952395"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952395" w:rsidRDefault="0083775C">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952395" w:rsidRDefault="0083775C">
            <w:pPr>
              <w:pStyle w:val="P68B1DB1-TableParagraph14"/>
              <w:spacing w:before="108"/>
              <w:ind w:left="85"/>
              <w:jc w:val="both"/>
              <w:rPr>
                <w:bCs/>
              </w:rPr>
            </w:pPr>
            <w:r>
              <w:t>Veids</w:t>
            </w:r>
          </w:p>
          <w:p w14:paraId="7FE1B7F2" w14:textId="43CE2DD3" w:rsidR="00952395" w:rsidRDefault="0083775C">
            <w:pPr>
              <w:pStyle w:val="P68B1DB1-Normal18"/>
              <w:spacing w:before="108"/>
              <w:ind w:left="85"/>
              <w:jc w:val="both"/>
            </w:pPr>
            <w:r>
              <w:t>Saistību veids ir kāds no veidnē Z 02.00 — saistību struktūra (LIAB 1) norādītajiem saistību veidiem.</w:t>
            </w:r>
          </w:p>
          <w:p w14:paraId="7FE1B7F3" w14:textId="4AE4B095" w:rsidR="00952395" w:rsidRDefault="0083775C">
            <w:pPr>
              <w:pStyle w:val="P68B1DB1-ListParagraph25"/>
              <w:numPr>
                <w:ilvl w:val="0"/>
                <w:numId w:val="298"/>
              </w:numPr>
              <w:spacing w:before="108"/>
              <w:jc w:val="both"/>
            </w:pPr>
            <w:r>
              <w:t>Iekšējā rekapitalizācijā neiekļautās saistības</w:t>
            </w:r>
          </w:p>
          <w:p w14:paraId="7FE1B7F4" w14:textId="4257143A" w:rsidR="00952395" w:rsidRDefault="0083775C">
            <w:pPr>
              <w:pStyle w:val="P68B1DB1-ListParagraph25"/>
              <w:numPr>
                <w:ilvl w:val="0"/>
                <w:numId w:val="298"/>
              </w:numPr>
              <w:spacing w:before="108"/>
              <w:jc w:val="both"/>
            </w:pPr>
            <w:r>
              <w:t>Noguldījumi, nesegtie, bet preferenciālie</w:t>
            </w:r>
          </w:p>
          <w:p w14:paraId="7FE1B7F5" w14:textId="21AFD595" w:rsidR="00952395" w:rsidRDefault="0083775C">
            <w:pPr>
              <w:pStyle w:val="P68B1DB1-ListParagraph25"/>
              <w:numPr>
                <w:ilvl w:val="0"/>
                <w:numId w:val="298"/>
              </w:numPr>
              <w:spacing w:before="108"/>
              <w:jc w:val="both"/>
            </w:pPr>
            <w:r>
              <w:t>Noguldījumi, nesegtie un nepreferenciālie</w:t>
            </w:r>
          </w:p>
          <w:p w14:paraId="7FE1B7F6" w14:textId="71A166CE" w:rsidR="00952395" w:rsidRDefault="0083775C">
            <w:pPr>
              <w:pStyle w:val="P68B1DB1-ListParagraph25"/>
              <w:numPr>
                <w:ilvl w:val="0"/>
                <w:numId w:val="298"/>
              </w:numPr>
              <w:spacing w:before="108"/>
              <w:jc w:val="both"/>
            </w:pPr>
            <w:r>
              <w:t>No atvasinātajiem instrumentiem izrietošās saistības</w:t>
            </w:r>
          </w:p>
          <w:p w14:paraId="7FE1B7F7" w14:textId="57F1D715" w:rsidR="00952395" w:rsidRDefault="0083775C">
            <w:pPr>
              <w:pStyle w:val="P68B1DB1-ListParagraph25"/>
              <w:numPr>
                <w:ilvl w:val="0"/>
                <w:numId w:val="298"/>
              </w:numPr>
              <w:spacing w:before="108"/>
              <w:jc w:val="both"/>
            </w:pPr>
            <w:r>
              <w:t>Nodrošinātās saistības, kas netiek izmantotas kā nodrošinājums</w:t>
            </w:r>
          </w:p>
          <w:p w14:paraId="7FE1B7F8" w14:textId="73D53058" w:rsidR="00952395" w:rsidRDefault="0083775C">
            <w:pPr>
              <w:pStyle w:val="P68B1DB1-ListParagraph25"/>
              <w:numPr>
                <w:ilvl w:val="0"/>
                <w:numId w:val="298"/>
              </w:numPr>
              <w:spacing w:before="108"/>
              <w:jc w:val="both"/>
            </w:pPr>
            <w:r>
              <w:t>Strukturētās parādzīmes</w:t>
            </w:r>
          </w:p>
          <w:p w14:paraId="7FE1B7F9" w14:textId="54AC9980" w:rsidR="00952395" w:rsidRDefault="0083775C">
            <w:pPr>
              <w:pStyle w:val="P68B1DB1-ListParagraph25"/>
              <w:numPr>
                <w:ilvl w:val="0"/>
                <w:numId w:val="298"/>
              </w:numPr>
              <w:spacing w:before="108"/>
              <w:jc w:val="both"/>
            </w:pPr>
            <w:r>
              <w:t>Augstākās prioritātes nenodrošinātās saistības</w:t>
            </w:r>
          </w:p>
          <w:p w14:paraId="7FE1B7FA" w14:textId="7C89B550" w:rsidR="00952395" w:rsidRDefault="0083775C">
            <w:pPr>
              <w:pStyle w:val="P68B1DB1-ListParagraph25"/>
              <w:numPr>
                <w:ilvl w:val="0"/>
                <w:numId w:val="298"/>
              </w:numPr>
              <w:spacing w:before="108"/>
              <w:jc w:val="both"/>
            </w:pPr>
            <w:r>
              <w:t>Augstākās prioritātes nepreferenciālās saistības</w:t>
            </w:r>
          </w:p>
          <w:p w14:paraId="7FE1B7FB" w14:textId="49FDBAE5" w:rsidR="00952395" w:rsidRDefault="0083775C">
            <w:pPr>
              <w:pStyle w:val="P68B1DB1-ListParagraph25"/>
              <w:numPr>
                <w:ilvl w:val="0"/>
                <w:numId w:val="298"/>
              </w:numPr>
              <w:spacing w:before="108"/>
              <w:jc w:val="both"/>
            </w:pPr>
            <w:r>
              <w:t>Subordinētās saistības (nav atzītas kā pašu kapitāls)</w:t>
            </w:r>
          </w:p>
          <w:p w14:paraId="7FE1B7FC" w14:textId="25F7AE59" w:rsidR="00952395" w:rsidRDefault="0083775C">
            <w:pPr>
              <w:pStyle w:val="P68B1DB1-ListParagraph25"/>
              <w:numPr>
                <w:ilvl w:val="0"/>
                <w:numId w:val="298"/>
              </w:numPr>
              <w:spacing w:before="108"/>
              <w:jc w:val="both"/>
            </w:pPr>
            <w:r>
              <w:t>Citas MREL atbilstīgas saistības</w:t>
            </w:r>
          </w:p>
          <w:p w14:paraId="7FE1B7FD" w14:textId="29E846ED" w:rsidR="00952395" w:rsidRDefault="0083775C">
            <w:pPr>
              <w:pStyle w:val="P68B1DB1-ListParagraph25"/>
              <w:numPr>
                <w:ilvl w:val="0"/>
                <w:numId w:val="298"/>
              </w:numPr>
              <w:spacing w:before="108"/>
              <w:jc w:val="both"/>
            </w:pPr>
            <w:r>
              <w:t>Nefinanšu saistības</w:t>
            </w:r>
          </w:p>
          <w:p w14:paraId="7FE1B7FE" w14:textId="4EF5CD96" w:rsidR="00952395" w:rsidRDefault="0083775C">
            <w:pPr>
              <w:pStyle w:val="P68B1DB1-ListParagraph25"/>
              <w:numPr>
                <w:ilvl w:val="0"/>
                <w:numId w:val="298"/>
              </w:numPr>
              <w:spacing w:before="108"/>
              <w:jc w:val="both"/>
            </w:pPr>
            <w:r>
              <w:t>Atlikušās saistības</w:t>
            </w:r>
          </w:p>
          <w:p w14:paraId="7FE1B7FF" w14:textId="77777777" w:rsidR="00952395" w:rsidRDefault="0083775C">
            <w:pPr>
              <w:pStyle w:val="P68B1DB1-TableParagraph17"/>
              <w:spacing w:before="108"/>
              <w:ind w:left="85"/>
              <w:jc w:val="both"/>
            </w:pPr>
            <w:r>
              <w:t>Ja saistības pret nozīmīgu darījumu partneri ietver vairāk nekā vienu no minētajiem veidiem, katru saistību veidu norāda atsevišķā rindā.</w:t>
            </w:r>
          </w:p>
        </w:tc>
      </w:tr>
      <w:tr w:rsidR="00952395"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952395" w:rsidRDefault="0083775C">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952395" w:rsidRDefault="0083775C">
            <w:pPr>
              <w:pStyle w:val="P68B1DB1-TableParagraph14"/>
              <w:spacing w:before="108"/>
              <w:ind w:left="85"/>
              <w:jc w:val="both"/>
              <w:rPr>
                <w:bCs/>
              </w:rPr>
            </w:pPr>
            <w:r>
              <w:t>Summa</w:t>
            </w:r>
          </w:p>
          <w:p w14:paraId="7FE1B803" w14:textId="46DCC504" w:rsidR="00952395" w:rsidRDefault="0083775C">
            <w:pPr>
              <w:pStyle w:val="P68B1DB1-TableParagraph17"/>
              <w:spacing w:before="108"/>
              <w:ind w:left="85"/>
              <w:jc w:val="both"/>
            </w:pPr>
            <w:r>
              <w:t>Summa ir vienāda ar “nenomaksātās summas” definīciju, kā paredzēts veidnē Z 02.00 — saistību struktūra. No atvasinātajiem instrumentiem izrietošo saistību gadījumā (L.3 veids) pārskatā norāda slēgšanas summas, kā noteikts Z 02.00 veidnes 0333. rindas nolūkos.</w:t>
            </w:r>
          </w:p>
        </w:tc>
      </w:tr>
    </w:tbl>
    <w:p w14:paraId="7FE1B805" w14:textId="77777777" w:rsidR="00952395" w:rsidRDefault="00952395">
      <w:pPr>
        <w:pStyle w:val="body"/>
        <w:rPr>
          <w:rFonts w:ascii="Times New Roman" w:hAnsi="Times New Roman" w:cs="Times New Roman"/>
          <w:color w:val="000000" w:themeColor="text1"/>
          <w:sz w:val="20"/>
          <w:szCs w:val="20"/>
        </w:rPr>
      </w:pPr>
    </w:p>
    <w:p w14:paraId="7FE1B806" w14:textId="1E7EF5E9" w:rsidR="00952395" w:rsidRDefault="0083775C">
      <w:pPr>
        <w:pStyle w:val="P68B1DB1-Instructionsberschrift25"/>
        <w:numPr>
          <w:ilvl w:val="1"/>
          <w:numId w:val="49"/>
        </w:numPr>
        <w:ind w:left="357" w:hanging="357"/>
      </w:pPr>
      <w:bookmarkStart w:id="71" w:name="_Toc81454185"/>
      <w:bookmarkStart w:id="72" w:name="_Toc208244951"/>
      <w:r>
        <w:t>Z 05.02 — nozīmīgākie ārpusbilances darījumu partneri (LIAB 6)</w:t>
      </w:r>
      <w:bookmarkEnd w:id="72"/>
    </w:p>
    <w:p w14:paraId="7FE1B807" w14:textId="77777777" w:rsidR="00952395" w:rsidRDefault="0083775C">
      <w:pPr>
        <w:pStyle w:val="P68B1DB1-body26"/>
      </w:pPr>
      <w:r>
        <w:t>Norādījumi attiecībā uz konkrētām pozīcijām</w:t>
      </w:r>
      <w:bookmarkEnd w:id="71"/>
    </w:p>
    <w:p w14:paraId="7FE1B808" w14:textId="77777777" w:rsidR="00952395" w:rsidRDefault="0083775C">
      <w:pPr>
        <w:pStyle w:val="P68B1DB1-InstructionsText26"/>
        <w:numPr>
          <w:ilvl w:val="0"/>
          <w:numId w:val="232"/>
        </w:numPr>
        <w:spacing w:before="0"/>
      </w:pPr>
      <w:r>
        <w:t>Šīs veidnes 0020. un 0060. slejā norādīto vērtību kombinācija veido primāru atslēgu, kurai jābūt unikālai katrā veidnes rindā.</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952395"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952395" w:rsidRDefault="0083775C">
            <w:pPr>
              <w:pStyle w:val="P68B1DB1-TableParagraph17"/>
              <w:spacing w:before="108"/>
              <w:ind w:left="85"/>
              <w:jc w:val="both"/>
            </w:pPr>
            <w:r>
              <w:lastRenderedPageBreak/>
              <w:t>Slejas</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952395" w:rsidRDefault="0083775C">
            <w:pPr>
              <w:pStyle w:val="P68B1DB1-TableParagraph17"/>
              <w:spacing w:before="108"/>
              <w:ind w:left="85" w:right="1"/>
              <w:jc w:val="both"/>
            </w:pPr>
            <w:r>
              <w:t>Norādījumi</w:t>
            </w:r>
          </w:p>
        </w:tc>
      </w:tr>
      <w:tr w:rsidR="00952395"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952395" w:rsidRDefault="0083775C">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952395" w:rsidRDefault="0083775C">
            <w:pPr>
              <w:pStyle w:val="P68B1DB1-TableParagraph14"/>
              <w:spacing w:before="108"/>
              <w:ind w:left="85"/>
              <w:jc w:val="both"/>
              <w:rPr>
                <w:bCs/>
              </w:rPr>
            </w:pPr>
            <w:r>
              <w:t>Darījuma partneris</w:t>
            </w:r>
          </w:p>
          <w:p w14:paraId="7FE1B80E" w14:textId="77777777" w:rsidR="00952395" w:rsidRDefault="0083775C">
            <w:pPr>
              <w:pStyle w:val="P68B1DB1-TableParagraph17"/>
              <w:spacing w:before="108"/>
              <w:ind w:left="85"/>
              <w:jc w:val="both"/>
            </w:pPr>
            <w:r>
              <w:t>Informācija par nozīmīgākajiem ārpusbilances darījumu partneriem.</w:t>
            </w:r>
          </w:p>
          <w:p w14:paraId="7FE1B80F" w14:textId="77777777" w:rsidR="00952395" w:rsidRDefault="0083775C">
            <w:pPr>
              <w:pStyle w:val="P68B1DB1-TableParagraph17"/>
              <w:spacing w:before="108"/>
              <w:ind w:left="85"/>
              <w:jc w:val="both"/>
            </w:pPr>
            <w:r>
              <w:t>Nozīmīgākos ārpusbilances darījumu partnerus identificē, summējot saņemto saistību un finanšu garantiju kopējo nominālo summu (kā noteikts FINREP nolūkos F 09 veidnē) pēc vienības vai grupas vienībām, par kurām no darījumu partneriem vai savstarpēji saistītu klientu grupas ir iesniegta veidne. Nozīmīgākie ārpusbilances darījumu partneri neietver vienības, kas iekļautas grupas konsolidētajos finanšu pārskatos. Pēc tam darījumu partneri un savstarpēji saistītu klientu grupas tiek sakārtotas pēc kopējās summas</w:t>
            </w:r>
            <w:r>
              <w:t>, lai identificētu 10 nozīmīgākos ārpusbilances darījumu partnerus, par kuriem sniedz informāciju šajā veidnē.</w:t>
            </w:r>
          </w:p>
          <w:p w14:paraId="7FE1B810" w14:textId="0F5F36E1" w:rsidR="00952395" w:rsidRDefault="0083775C">
            <w:pPr>
              <w:pStyle w:val="P68B1DB1-Normal18"/>
              <w:spacing w:line="257" w:lineRule="auto"/>
              <w:ind w:left="25"/>
              <w:jc w:val="both"/>
            </w:pPr>
            <w:r>
              <w:t>Atvasinātie instrumenti nav jāiekļauj iepriekš aprakstītajā desmit augstākajā kategorijā: šeit uzrāda atsevišķu sarakstu ar pieciem lielākajiem ārpusbilances atvasināto instrumentu darījumu partneriem, lai izvairītos no tā, ka Z 05.02 ziņojumā ir ietverti tikai atvasināto instrumentu atlikumi.</w:t>
            </w:r>
          </w:p>
          <w:p w14:paraId="7FE1B812" w14:textId="5E923404" w:rsidR="00952395" w:rsidRDefault="00952395">
            <w:pPr>
              <w:pStyle w:val="TableParagraph"/>
              <w:spacing w:before="108"/>
              <w:jc w:val="both"/>
              <w:rPr>
                <w:rFonts w:ascii="Times New Roman" w:eastAsia="Cambria" w:hAnsi="Times New Roman" w:cs="Times New Roman"/>
                <w:color w:val="000000" w:themeColor="text1"/>
                <w:sz w:val="20"/>
                <w:szCs w:val="20"/>
              </w:rPr>
            </w:pPr>
          </w:p>
        </w:tc>
      </w:tr>
      <w:tr w:rsidR="00952395"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952395" w:rsidRDefault="0083775C">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952395" w:rsidRDefault="0083775C">
            <w:pPr>
              <w:pStyle w:val="P68B1DB1-TableParagraph14"/>
              <w:spacing w:before="108"/>
              <w:ind w:left="85"/>
              <w:jc w:val="both"/>
              <w:rPr>
                <w:bCs/>
              </w:rPr>
            </w:pPr>
            <w:r>
              <w:t>Vienības nosaukums</w:t>
            </w:r>
          </w:p>
          <w:p w14:paraId="7FE1B816" w14:textId="77777777" w:rsidR="00952395" w:rsidRDefault="0083775C">
            <w:pPr>
              <w:pStyle w:val="P68B1DB1-Normal18"/>
              <w:spacing w:before="108"/>
              <w:ind w:left="85"/>
              <w:jc w:val="both"/>
            </w:pPr>
            <w:r>
              <w:t>Nozīmīgā darījumu partnera nosaukums vai — attiecīgā gadījumā — savstarpēji saistītu klientu grupas nosaukums.</w:t>
            </w:r>
          </w:p>
          <w:p w14:paraId="7FE1B817" w14:textId="29E2618F" w:rsidR="00952395" w:rsidRDefault="0083775C">
            <w:pPr>
              <w:pStyle w:val="P68B1DB1-TableParagraph17"/>
              <w:spacing w:before="108"/>
              <w:ind w:left="85"/>
              <w:jc w:val="both"/>
            </w:pPr>
            <w:r>
              <w:t>Savstarpēji saistītu klientu grupas nosaukums ir mātesuzņēmuma nosaukums vai, ja savstarpēji saistītu klientu grupai nav mātesuzņēmuma, grupas komercnosaukums.</w:t>
            </w:r>
          </w:p>
        </w:tc>
      </w:tr>
      <w:tr w:rsidR="00952395"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952395" w:rsidRDefault="0083775C">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952395" w:rsidRDefault="0083775C">
            <w:pPr>
              <w:pStyle w:val="P68B1DB1-TableParagraph14"/>
              <w:spacing w:before="108"/>
              <w:ind w:left="85"/>
              <w:jc w:val="both"/>
              <w:rPr>
                <w:bCs/>
              </w:rPr>
            </w:pPr>
            <w:r>
              <w:t>Kods</w:t>
            </w:r>
          </w:p>
          <w:p w14:paraId="7FE1B81B" w14:textId="77777777" w:rsidR="00952395" w:rsidRDefault="0083775C">
            <w:pPr>
              <w:pStyle w:val="P68B1DB1-TableParagraph17"/>
              <w:spacing w:before="108"/>
              <w:ind w:left="85"/>
              <w:jc w:val="both"/>
            </w:pPr>
            <w:r>
              <w:t>Nozīmīgā darījumu partnera vai savstarpēji saistītu klientu grupas kods. Iestāžu gadījumā kods ir burtciparu LEI kods, kurā ir 20 zīmes. Citām vienībām kods ir burtciparu LEI kods, kurā ir 20 zīmes, vai, ja tas nav pieejams, Savienībā piemērojamai vienotai kodifikācijai atbilstošs kods, vai, ja tas nav pieejams, valsts kods.</w:t>
            </w:r>
          </w:p>
          <w:p w14:paraId="7FE1B81C" w14:textId="6CC57833" w:rsidR="00952395" w:rsidRDefault="0083775C">
            <w:pPr>
              <w:pStyle w:val="P68B1DB1-TableParagraph17"/>
              <w:spacing w:before="108"/>
              <w:ind w:left="85"/>
              <w:jc w:val="both"/>
            </w:pPr>
            <w:r>
              <w:t>Kodam jābūt unikālam, un tas veidnēs jāizmanto konsekventi.</w:t>
            </w:r>
          </w:p>
        </w:tc>
      </w:tr>
      <w:tr w:rsidR="00952395"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952395" w:rsidRDefault="0083775C">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952395" w:rsidRDefault="0083775C">
            <w:pPr>
              <w:pStyle w:val="P68B1DB1-TableParagraph14"/>
              <w:spacing w:before="108"/>
              <w:ind w:left="85"/>
              <w:jc w:val="both"/>
              <w:rPr>
                <w:bCs/>
              </w:rPr>
            </w:pPr>
            <w:r>
              <w:t>Koda veids</w:t>
            </w:r>
          </w:p>
          <w:p w14:paraId="7FE1B821" w14:textId="6020ACA4" w:rsidR="00952395" w:rsidRDefault="0083775C">
            <w:pPr>
              <w:pStyle w:val="P68B1DB1-TableParagraph13"/>
              <w:spacing w:before="108"/>
            </w:pPr>
            <w:r>
              <w:t>Jāizvēlas no šādām iespējām: “LEI kods”, “MFI kods” vai “Identifikatora veids, kas nav LEI vai MFI kods”.</w:t>
            </w:r>
          </w:p>
          <w:p w14:paraId="7FE1B822" w14:textId="77777777" w:rsidR="00952395" w:rsidRDefault="0083775C">
            <w:pPr>
              <w:pStyle w:val="P68B1DB1-TableParagraph13"/>
              <w:spacing w:before="108"/>
              <w:ind w:left="85"/>
              <w:jc w:val="both"/>
              <w:rPr>
                <w:b/>
                <w:bCs/>
              </w:rPr>
            </w:pPr>
            <w:r>
              <w:t>Vienību identifikāciju veic konsekventi visās veidnēs.</w:t>
            </w:r>
          </w:p>
        </w:tc>
      </w:tr>
      <w:tr w:rsidR="00952395"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952395" w:rsidRDefault="0083775C">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952395" w:rsidRDefault="0083775C">
            <w:pPr>
              <w:pStyle w:val="P68B1DB1-TableParagraph14"/>
              <w:spacing w:before="108"/>
              <w:ind w:left="85"/>
              <w:jc w:val="both"/>
              <w:rPr>
                <w:bCs/>
              </w:rPr>
            </w:pPr>
            <w:r>
              <w:t>Grupa vai atsevišķs klients</w:t>
            </w:r>
          </w:p>
          <w:p w14:paraId="2E0A09DE" w14:textId="77777777" w:rsidR="00952395" w:rsidRDefault="0083775C">
            <w:pPr>
              <w:pStyle w:val="P68B1DB1-Normal18"/>
              <w:ind w:left="85"/>
            </w:pPr>
            <w:r>
              <w:t>Iestāde uzrāda:</w:t>
            </w:r>
          </w:p>
          <w:p w14:paraId="52295733" w14:textId="77777777" w:rsidR="00952395" w:rsidRDefault="0083775C">
            <w:pPr>
              <w:pStyle w:val="P68B1DB1-ListParagraph25"/>
              <w:numPr>
                <w:ilvl w:val="0"/>
                <w:numId w:val="297"/>
              </w:numPr>
            </w:pPr>
            <w:r>
              <w:t>Atsevišķi darījumu partneri</w:t>
            </w:r>
          </w:p>
          <w:p w14:paraId="7FE1B826" w14:textId="76B98F2C" w:rsidR="00952395" w:rsidRDefault="0083775C">
            <w:pPr>
              <w:pStyle w:val="P68B1DB1-TableParagraph17"/>
              <w:numPr>
                <w:ilvl w:val="0"/>
                <w:numId w:val="297"/>
              </w:numPr>
              <w:spacing w:before="108"/>
              <w:jc w:val="both"/>
            </w:pPr>
            <w:r>
              <w:t>Savstarpēji saistītu klientu grupas.</w:t>
            </w:r>
          </w:p>
        </w:tc>
      </w:tr>
      <w:tr w:rsidR="00952395"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952395" w:rsidRDefault="0083775C">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952395" w:rsidRDefault="0083775C">
            <w:pPr>
              <w:pStyle w:val="P68B1DB1-TableParagraph14"/>
              <w:spacing w:before="108"/>
              <w:ind w:left="85"/>
              <w:jc w:val="both"/>
              <w:rPr>
                <w:bCs/>
              </w:rPr>
            </w:pPr>
            <w:r>
              <w:t>Valsts</w:t>
            </w:r>
          </w:p>
          <w:p w14:paraId="7FE1B82A" w14:textId="77777777" w:rsidR="00952395" w:rsidRDefault="0083775C">
            <w:pPr>
              <w:pStyle w:val="P68B1DB1-Normal18"/>
              <w:spacing w:before="108"/>
              <w:ind w:left="85"/>
              <w:contextualSpacing/>
              <w:jc w:val="both"/>
            </w:pPr>
            <w:r>
              <w:t xml:space="preserve">Darījumu partnera reģistrācijas valsts ISO 3166–1 alfa 2 kods. Tas ietver starptautisko organizāciju ISO pseidokodus, kas pieejami Eurostat jaunākajā maksājumu bilances rokasgrāmatā (“Balance of Payments Vademecum”). </w:t>
            </w:r>
          </w:p>
          <w:p w14:paraId="7FE1B82B" w14:textId="47B683FE" w:rsidR="00952395" w:rsidRDefault="0083775C">
            <w:pPr>
              <w:pStyle w:val="P68B1DB1-TableParagraph17"/>
              <w:spacing w:before="108"/>
              <w:ind w:left="85"/>
              <w:jc w:val="both"/>
            </w:pPr>
            <w:r>
              <w:t>Valsti nosaka, atsaucoties uz darījumu partnera juridisko adresi. Savstarpēji saistītu klientu grupām valsts ir mātesuzņēmuma reģistrācijas valsts.</w:t>
            </w:r>
          </w:p>
        </w:tc>
      </w:tr>
      <w:tr w:rsidR="00952395"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952395" w:rsidRDefault="0083775C">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952395" w:rsidRDefault="0083775C">
            <w:pPr>
              <w:pStyle w:val="P68B1DB1-TableParagraph14"/>
              <w:spacing w:before="108"/>
              <w:ind w:left="85"/>
              <w:jc w:val="both"/>
              <w:rPr>
                <w:bCs/>
              </w:rPr>
            </w:pPr>
            <w:r>
              <w:t>Sektors</w:t>
            </w:r>
          </w:p>
          <w:p w14:paraId="7FE1B82F" w14:textId="77777777" w:rsidR="00952395" w:rsidRDefault="0083775C">
            <w:pPr>
              <w:pStyle w:val="P68B1DB1-TableParagraph17"/>
              <w:spacing w:before="108"/>
              <w:ind w:left="85"/>
              <w:jc w:val="both"/>
            </w:pPr>
            <w:r>
              <w:t>Katram darījumu partnerim piešķir vienu sektoru, pamatojoties uz FINREP ekonomisko sektoru kategorijām (FINREP, V pielikums, 1. daļa, 6. nodaļa):</w:t>
            </w:r>
          </w:p>
          <w:p w14:paraId="7FE1B830" w14:textId="77777777" w:rsidR="00952395" w:rsidRDefault="0083775C">
            <w:pPr>
              <w:pStyle w:val="P68B1DB1-List127"/>
              <w:numPr>
                <w:ilvl w:val="0"/>
                <w:numId w:val="64"/>
              </w:numPr>
            </w:pPr>
            <w:r>
              <w:t>Centrālās bankas</w:t>
            </w:r>
          </w:p>
          <w:p w14:paraId="7FE1B831" w14:textId="77777777" w:rsidR="00952395" w:rsidRDefault="0083775C">
            <w:pPr>
              <w:pStyle w:val="P68B1DB1-List127"/>
              <w:numPr>
                <w:ilvl w:val="0"/>
                <w:numId w:val="64"/>
              </w:numPr>
            </w:pPr>
            <w:r>
              <w:t>Vispārējās valdības</w:t>
            </w:r>
          </w:p>
          <w:p w14:paraId="7FE1B832" w14:textId="77777777" w:rsidR="00952395" w:rsidRDefault="0083775C">
            <w:pPr>
              <w:pStyle w:val="P68B1DB1-List127"/>
              <w:numPr>
                <w:ilvl w:val="0"/>
                <w:numId w:val="64"/>
              </w:numPr>
            </w:pPr>
            <w:r>
              <w:t xml:space="preserve">Kredītiestādes </w:t>
            </w:r>
          </w:p>
          <w:p w14:paraId="7FE1B833" w14:textId="77777777" w:rsidR="00952395" w:rsidRDefault="0083775C">
            <w:pPr>
              <w:pStyle w:val="P68B1DB1-List127"/>
              <w:numPr>
                <w:ilvl w:val="0"/>
                <w:numId w:val="64"/>
              </w:numPr>
            </w:pPr>
            <w:r>
              <w:lastRenderedPageBreak/>
              <w:t>Citas finanšu sabiedrības</w:t>
            </w:r>
          </w:p>
          <w:p w14:paraId="7FE1B834" w14:textId="77777777" w:rsidR="00952395" w:rsidRDefault="0083775C">
            <w:pPr>
              <w:pStyle w:val="P68B1DB1-List127"/>
              <w:numPr>
                <w:ilvl w:val="0"/>
                <w:numId w:val="64"/>
              </w:numPr>
            </w:pPr>
            <w:r>
              <w:t>Nefinanšu sabiedrības</w:t>
            </w:r>
          </w:p>
          <w:p w14:paraId="7FE1B835" w14:textId="77777777" w:rsidR="00952395" w:rsidRDefault="0083775C">
            <w:pPr>
              <w:pStyle w:val="P68B1DB1-List127"/>
              <w:numPr>
                <w:ilvl w:val="0"/>
                <w:numId w:val="64"/>
              </w:numPr>
            </w:pPr>
            <w:r>
              <w:t>Mājsaimniecības</w:t>
            </w:r>
          </w:p>
          <w:p w14:paraId="7FE1B836" w14:textId="3FF28E9A" w:rsidR="00952395" w:rsidRDefault="0083775C">
            <w:pPr>
              <w:pStyle w:val="P68B1DB1-TableParagraph17"/>
              <w:spacing w:before="108"/>
              <w:ind w:left="85"/>
              <w:jc w:val="both"/>
            </w:pPr>
            <w:r>
              <w:t>Savstarpēji saistītu klientu grupām sektoru nenorāda.</w:t>
            </w:r>
          </w:p>
        </w:tc>
      </w:tr>
      <w:tr w:rsidR="00952395"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952395" w:rsidRDefault="0083775C">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952395" w:rsidRDefault="0083775C">
            <w:pPr>
              <w:pStyle w:val="P68B1DB1-TableParagraph14"/>
              <w:spacing w:before="108"/>
              <w:ind w:left="85"/>
              <w:jc w:val="both"/>
              <w:rPr>
                <w:bCs/>
              </w:rPr>
            </w:pPr>
            <w:r>
              <w:t>Veids</w:t>
            </w:r>
          </w:p>
          <w:p w14:paraId="7FE1B83A" w14:textId="77777777" w:rsidR="00952395" w:rsidRDefault="0083775C">
            <w:pPr>
              <w:pStyle w:val="P68B1DB1-TableParagraph17"/>
              <w:spacing w:before="108"/>
              <w:ind w:left="85"/>
              <w:jc w:val="both"/>
            </w:pPr>
            <w:r>
              <w:t>Ārpusbilances posteņu riska darījumu veids ir kāds no turpmāk minētajiem, kā noteikts FINREP F 09.02 veidnē:</w:t>
            </w:r>
          </w:p>
          <w:p w14:paraId="7FE1B83B" w14:textId="57556FED" w:rsidR="00952395" w:rsidRDefault="0083775C">
            <w:pPr>
              <w:pStyle w:val="P68B1DB1-TableParagraph17"/>
              <w:numPr>
                <w:ilvl w:val="0"/>
                <w:numId w:val="299"/>
              </w:numPr>
              <w:spacing w:before="108"/>
              <w:jc w:val="both"/>
            </w:pPr>
            <w:r>
              <w:t>Saņemtās aizdevumu apņemšanās</w:t>
            </w:r>
          </w:p>
          <w:p w14:paraId="7FE1B83C" w14:textId="03B3C9F7" w:rsidR="00952395" w:rsidRDefault="0083775C">
            <w:pPr>
              <w:pStyle w:val="P68B1DB1-TableParagraph17"/>
              <w:numPr>
                <w:ilvl w:val="0"/>
                <w:numId w:val="299"/>
              </w:numPr>
              <w:spacing w:before="108"/>
              <w:jc w:val="both"/>
            </w:pPr>
            <w:r>
              <w:t>Saņemtās finanšu garantijas</w:t>
            </w:r>
          </w:p>
          <w:p w14:paraId="7FE1B83D" w14:textId="2357CDAB" w:rsidR="00952395" w:rsidRDefault="0083775C">
            <w:pPr>
              <w:pStyle w:val="P68B1DB1-TableParagraph17"/>
              <w:numPr>
                <w:ilvl w:val="0"/>
                <w:numId w:val="299"/>
              </w:numPr>
              <w:spacing w:before="108"/>
              <w:jc w:val="both"/>
            </w:pPr>
            <w:r>
              <w:t>Citas saņemtās saistības</w:t>
            </w:r>
          </w:p>
          <w:p w14:paraId="7FE1B83E" w14:textId="7A79D0CA" w:rsidR="00952395" w:rsidRDefault="0083775C">
            <w:pPr>
              <w:pStyle w:val="P68B1DB1-TableParagraph17"/>
              <w:numPr>
                <w:ilvl w:val="0"/>
                <w:numId w:val="299"/>
              </w:numPr>
              <w:spacing w:before="108"/>
              <w:jc w:val="both"/>
            </w:pPr>
            <w:r>
              <w:t>Atvasināti instrumenti</w:t>
            </w:r>
          </w:p>
          <w:p w14:paraId="7FE1B83F" w14:textId="77777777" w:rsidR="00952395" w:rsidRDefault="0083775C">
            <w:pPr>
              <w:pStyle w:val="P68B1DB1-TableParagraph17"/>
              <w:spacing w:before="108"/>
              <w:ind w:left="85"/>
              <w:jc w:val="both"/>
            </w:pPr>
            <w:r>
              <w:t>Ja no nozīmīga darījumu partnera saņemtie ārpusbilances posteņi ietver vairāk nekā vienu no minētajiem veidiem, katru ārpusbilances posteņa veidu norāda atsevišķā rindā.</w:t>
            </w:r>
          </w:p>
        </w:tc>
      </w:tr>
      <w:tr w:rsidR="00952395"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952395" w:rsidRDefault="0083775C">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952395" w:rsidRDefault="0083775C">
            <w:pPr>
              <w:pStyle w:val="P68B1DB1-TableParagraph14"/>
              <w:spacing w:before="108"/>
              <w:ind w:left="85"/>
              <w:jc w:val="both"/>
              <w:rPr>
                <w:bCs/>
              </w:rPr>
            </w:pPr>
            <w:r>
              <w:t xml:space="preserve">Summa </w:t>
            </w:r>
          </w:p>
          <w:p w14:paraId="7FE1B843" w14:textId="7853FDD0" w:rsidR="00952395" w:rsidRDefault="0083775C">
            <w:pPr>
              <w:pStyle w:val="P68B1DB1-TableParagraph17"/>
              <w:spacing w:before="108"/>
              <w:ind w:left="85"/>
              <w:jc w:val="both"/>
              <w:rPr>
                <w:bCs/>
              </w:rPr>
            </w:pPr>
            <w:r>
              <w:t>Summa ir vienāda ar “nenomaksātās summas” definīciju, kā paredzēts veidnē F 09.02. No atvasinātajiem instrumentiem izrietošo saistību gadījumā pārskatā norāda slēgšanas summas, kā noteikts Z 02.00 veidnes 0333. rindas nolūkos.</w:t>
            </w:r>
          </w:p>
        </w:tc>
      </w:tr>
    </w:tbl>
    <w:p w14:paraId="7FE1B845" w14:textId="77777777" w:rsidR="00952395" w:rsidRDefault="00952395">
      <w:pPr>
        <w:rPr>
          <w:rFonts w:ascii="Times New Roman" w:hAnsi="Times New Roman" w:cs="Times New Roman"/>
          <w:color w:val="000000" w:themeColor="text1"/>
          <w:sz w:val="20"/>
          <w:szCs w:val="20"/>
        </w:rPr>
      </w:pPr>
    </w:p>
    <w:p w14:paraId="7FE1B846" w14:textId="77777777" w:rsidR="00952395" w:rsidRDefault="00952395">
      <w:pPr>
        <w:rPr>
          <w:rFonts w:ascii="Times New Roman" w:eastAsia="MS Mincho" w:hAnsi="Times New Roman" w:cs="Times New Roman"/>
          <w:color w:val="000000" w:themeColor="text1"/>
          <w:sz w:val="20"/>
          <w:szCs w:val="20"/>
        </w:rPr>
      </w:pPr>
    </w:p>
    <w:p w14:paraId="7FE1B849" w14:textId="5330C525" w:rsidR="00952395" w:rsidRDefault="0083775C">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495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noguldījumu apdrošināšana (LIAB 7)</w:t>
      </w:r>
      <w:bookmarkEnd w:id="95"/>
      <w:bookmarkEnd w:id="96"/>
      <w:bookmarkEnd w:id="97"/>
      <w:bookmarkEnd w:id="98"/>
      <w:bookmarkEnd w:id="99"/>
    </w:p>
    <w:p w14:paraId="7FE1B84A" w14:textId="77777777" w:rsidR="00952395" w:rsidRDefault="0083775C">
      <w:pPr>
        <w:pStyle w:val="Instructionsberschrift3"/>
      </w:pPr>
      <w:r>
        <w:t>Vispārīgas piezīmes</w:t>
      </w:r>
    </w:p>
    <w:p w14:paraId="7FE1B84B" w14:textId="77777777" w:rsidR="00952395" w:rsidRDefault="0083775C">
      <w:pPr>
        <w:pStyle w:val="P68B1DB1-InstructionsText26"/>
        <w:numPr>
          <w:ilvl w:val="0"/>
          <w:numId w:val="71"/>
        </w:numPr>
        <w:spacing w:before="0"/>
        <w:ind w:left="714" w:hanging="357"/>
      </w:pPr>
      <w:r>
        <w:t>Šajā veidnē sniegts pārskats par noguldījumu apdrošināšanu grupā un noguldījumu garantiju sistēmām, kurās piedalās kredītiestādes, kas ir attiecīgās juridiskās personas.</w:t>
      </w:r>
    </w:p>
    <w:p w14:paraId="7FE1B84C" w14:textId="77777777" w:rsidR="00952395" w:rsidRDefault="0083775C">
      <w:pPr>
        <w:pStyle w:val="P68B1DB1-InstructionsText26"/>
        <w:numPr>
          <w:ilvl w:val="0"/>
          <w:numId w:val="71"/>
        </w:numPr>
        <w:spacing w:before="0"/>
        <w:ind w:left="714" w:hanging="357"/>
      </w:pPr>
      <w:r>
        <w:t>Katru grupai piederošu kredītiestādi norāda atsevišķā rindā.</w:t>
      </w:r>
    </w:p>
    <w:p w14:paraId="7FE1B84D" w14:textId="77777777" w:rsidR="00952395" w:rsidRDefault="0083775C">
      <w:pPr>
        <w:pStyle w:val="Instructionsberschrift3"/>
        <w:numPr>
          <w:ilvl w:val="0"/>
          <w:numId w:val="0"/>
        </w:numPr>
        <w:ind w:left="720"/>
      </w:pPr>
      <w:r>
        <w:t>Norādījumi attiecībā uz konkrētām pozīcijām</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52395"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952395" w:rsidRDefault="0083775C">
            <w:pPr>
              <w:pStyle w:val="P68B1DB1-TableParagraph17"/>
              <w:spacing w:before="108"/>
              <w:ind w:left="85"/>
              <w:jc w:val="both"/>
            </w:pPr>
            <w:r>
              <w:t>Slejas</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952395" w:rsidRDefault="0083775C">
            <w:pPr>
              <w:pStyle w:val="P68B1DB1-TableParagraph17"/>
              <w:spacing w:before="108"/>
              <w:ind w:left="85" w:right="1"/>
              <w:jc w:val="both"/>
            </w:pPr>
            <w:r>
              <w:t>Norādījumi</w:t>
            </w:r>
          </w:p>
        </w:tc>
      </w:tr>
      <w:tr w:rsidR="00952395"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952395" w:rsidRDefault="0083775C">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952395" w:rsidRDefault="0083775C">
            <w:pPr>
              <w:pStyle w:val="P68B1DB1-TableParagraph14"/>
              <w:spacing w:before="108"/>
              <w:ind w:left="85"/>
              <w:jc w:val="both"/>
              <w:rPr>
                <w:rFonts w:eastAsia="Cambria"/>
              </w:rPr>
            </w:pPr>
            <w:r>
              <w:t>Dzimšanas datums</w:t>
            </w:r>
          </w:p>
        </w:tc>
      </w:tr>
      <w:tr w:rsidR="00952395"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952395" w:rsidRDefault="0083775C">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952395" w:rsidRDefault="0083775C">
            <w:pPr>
              <w:pStyle w:val="P68B1DB1-TableParagraph14"/>
              <w:spacing w:before="108"/>
              <w:ind w:left="85"/>
              <w:jc w:val="both"/>
              <w:rPr>
                <w:bCs/>
              </w:rPr>
            </w:pPr>
            <w:r>
              <w:t>Vienības nosaukums</w:t>
            </w:r>
          </w:p>
          <w:p w14:paraId="7FE1B856" w14:textId="16A1B5FB" w:rsidR="00952395" w:rsidRDefault="0083775C">
            <w:pPr>
              <w:pStyle w:val="P68B1DB1-TableParagraph17"/>
              <w:spacing w:before="108"/>
              <w:ind w:left="85"/>
              <w:jc w:val="both"/>
            </w:pPr>
            <w:r>
              <w:t xml:space="preserve">Vienības nosaukums, kā norādīts veidnē Z 01.01 — juridiskās personas (ORG 1). </w:t>
            </w:r>
          </w:p>
        </w:tc>
      </w:tr>
      <w:tr w:rsidR="00952395"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952395" w:rsidRDefault="0083775C">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952395" w:rsidRDefault="0083775C">
            <w:pPr>
              <w:pStyle w:val="P68B1DB1-TableParagraph14"/>
              <w:spacing w:before="108"/>
              <w:ind w:left="85"/>
              <w:jc w:val="both"/>
              <w:rPr>
                <w:bCs/>
              </w:rPr>
            </w:pPr>
            <w:r>
              <w:t xml:space="preserve">Kods </w:t>
            </w:r>
          </w:p>
          <w:p w14:paraId="7FE1B85A" w14:textId="532EB445" w:rsidR="00952395" w:rsidRDefault="0083775C">
            <w:pPr>
              <w:pStyle w:val="P68B1DB1-TableParagraph17"/>
              <w:spacing w:before="108"/>
              <w:ind w:left="85"/>
              <w:jc w:val="both"/>
            </w:pPr>
            <w:r>
              <w:t>Vienības kods, kā norādīts veidnē Z 01.01 — juridiskās personas (ORG 1).</w:t>
            </w:r>
          </w:p>
          <w:p w14:paraId="7FE1B85B" w14:textId="77777777" w:rsidR="00952395" w:rsidRDefault="0083775C">
            <w:pPr>
              <w:pStyle w:val="P68B1DB1-TableParagraph17"/>
              <w:spacing w:before="108"/>
              <w:ind w:left="85"/>
              <w:jc w:val="both"/>
            </w:pPr>
            <w:r>
              <w:t>Tas ir rindas identifikators, un tam jābūt unikālam katrai veidnes rindai.</w:t>
            </w:r>
          </w:p>
        </w:tc>
      </w:tr>
      <w:tr w:rsidR="00952395"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952395" w:rsidRDefault="0083775C">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952395" w:rsidRDefault="0083775C">
            <w:pPr>
              <w:pStyle w:val="P68B1DB1-TableParagraph14"/>
              <w:spacing w:before="108"/>
              <w:ind w:left="85"/>
              <w:jc w:val="both"/>
              <w:rPr>
                <w:bCs/>
              </w:rPr>
            </w:pPr>
            <w:r>
              <w:t>Līdzdalība NGS</w:t>
            </w:r>
          </w:p>
        </w:tc>
      </w:tr>
      <w:tr w:rsidR="00952395"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952395" w:rsidRDefault="0083775C">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952395" w:rsidRDefault="0083775C">
            <w:pPr>
              <w:pStyle w:val="P68B1DB1-TableParagraph14"/>
              <w:spacing w:before="108"/>
              <w:ind w:left="85"/>
              <w:jc w:val="both"/>
              <w:rPr>
                <w:bCs/>
              </w:rPr>
            </w:pPr>
            <w:r>
              <w:t>COD</w:t>
            </w:r>
          </w:p>
          <w:p w14:paraId="7FE1B862" w14:textId="41C69940" w:rsidR="00952395" w:rsidRDefault="0083775C">
            <w:pPr>
              <w:pStyle w:val="P68B1DB1-TableParagraph17"/>
              <w:spacing w:before="108"/>
              <w:ind w:left="85"/>
              <w:jc w:val="both"/>
            </w:pPr>
            <w:r>
              <w:t>Direktīvas 2014/49/ES 4. panta 3. punkts</w:t>
            </w:r>
          </w:p>
          <w:p w14:paraId="7FE1B863" w14:textId="77777777" w:rsidR="00952395" w:rsidRDefault="0083775C">
            <w:pPr>
              <w:pStyle w:val="P68B1DB1-TableParagraph17"/>
              <w:spacing w:before="108"/>
              <w:ind w:left="85"/>
              <w:jc w:val="both"/>
            </w:pPr>
            <w:r>
              <w:t xml:space="preserve">Oficiāli atzītas NGS nosaukums, kurā vienība piedalās, piemērojot Direktīvu 2014/49/ES. Tā ir </w:t>
            </w:r>
            <w:r>
              <w:lastRenderedPageBreak/>
              <w:t>vienības reģistrācijas dalībvalstī esoša NGS, izņemot citas NGS, kuras vienības klientiem varētu sniegt papildu aizsardzību (“papildinājums”) citās dalībvalstīs esošās filiālēs. Ja iestāde piedalās IAS, kas ir arī oficiāli atzīta kā NGS saskaņā ar Direktīvas 2014/49/ES 4. panta 2. punktu, NGS nosaukums ir identisks IAS nosaukumam 050. rindā.</w:t>
            </w:r>
          </w:p>
          <w:p w14:paraId="7FE1B864" w14:textId="77777777" w:rsidR="00952395" w:rsidRDefault="0083775C">
            <w:pPr>
              <w:pStyle w:val="P68B1DB1-TableParagraph17"/>
              <w:spacing w:before="108"/>
              <w:ind w:left="85"/>
              <w:jc w:val="both"/>
            </w:pPr>
            <w:r>
              <w:t>Katrai vienības reģistrācijas valstij NGS izvēlas no turpmāk minētajām:</w:t>
            </w:r>
          </w:p>
          <w:p w14:paraId="7FE1B865" w14:textId="77777777" w:rsidR="00952395" w:rsidRDefault="0083775C">
            <w:pPr>
              <w:pStyle w:val="P68B1DB1-TableParagraph28"/>
              <w:spacing w:before="108"/>
              <w:ind w:left="85"/>
              <w:jc w:val="both"/>
            </w:pPr>
            <w:r>
              <w:t>Austrijai</w:t>
            </w:r>
          </w:p>
          <w:p w14:paraId="7FE1B866" w14:textId="7AF21273" w:rsidR="00952395" w:rsidRDefault="0083775C">
            <w:pPr>
              <w:pStyle w:val="P68B1DB1-TableParagraph17"/>
              <w:numPr>
                <w:ilvl w:val="0"/>
                <w:numId w:val="70"/>
              </w:numPr>
              <w:spacing w:before="108"/>
              <w:jc w:val="both"/>
            </w:pPr>
            <w:r>
              <w:t xml:space="preserve">“Einlagensicherung AUSTRIA Ges.m.b.H.” </w:t>
            </w:r>
          </w:p>
          <w:p w14:paraId="7FE1B867" w14:textId="77777777" w:rsidR="00952395" w:rsidRDefault="0083775C">
            <w:pPr>
              <w:pStyle w:val="P68B1DB1-TableParagraph17"/>
              <w:numPr>
                <w:ilvl w:val="0"/>
                <w:numId w:val="70"/>
              </w:numPr>
              <w:spacing w:before="108"/>
              <w:jc w:val="both"/>
            </w:pPr>
            <w:r>
              <w:t>“Sparkassen-Haftungs GmbH”</w:t>
            </w:r>
          </w:p>
          <w:p w14:paraId="7FE1B868" w14:textId="77777777" w:rsidR="00952395" w:rsidRDefault="0083775C">
            <w:pPr>
              <w:pStyle w:val="P68B1DB1-TableParagraph17"/>
              <w:numPr>
                <w:ilvl w:val="0"/>
                <w:numId w:val="70"/>
              </w:numPr>
              <w:spacing w:before="108"/>
              <w:jc w:val="both"/>
            </w:pPr>
            <w:r>
              <w:t>“Österreichische Raiffeisen-Sicherungseinrichtung eGen”</w:t>
            </w:r>
          </w:p>
          <w:p w14:paraId="7FE1B869" w14:textId="77777777" w:rsidR="00952395" w:rsidRDefault="0083775C">
            <w:pPr>
              <w:pStyle w:val="P68B1DB1-TableParagraph28"/>
              <w:spacing w:before="108"/>
              <w:ind w:left="85"/>
              <w:jc w:val="both"/>
            </w:pPr>
            <w:r>
              <w:t>Beļģija</w:t>
            </w:r>
          </w:p>
          <w:p w14:paraId="7FE1B86A" w14:textId="77777777" w:rsidR="00952395" w:rsidRDefault="0083775C">
            <w:pPr>
              <w:pStyle w:val="P68B1DB1-TableParagraph17"/>
              <w:numPr>
                <w:ilvl w:val="0"/>
                <w:numId w:val="70"/>
              </w:numPr>
              <w:spacing w:before="108"/>
              <w:jc w:val="both"/>
            </w:pPr>
            <w:r>
              <w:t>“Garantiefonds voor financiële diensten/Fonds de garantie pour les services financiers”</w:t>
            </w:r>
          </w:p>
          <w:p w14:paraId="7FE1B86B" w14:textId="77777777" w:rsidR="00952395" w:rsidRDefault="0083775C">
            <w:pPr>
              <w:pStyle w:val="P68B1DB1-TableParagraph28"/>
              <w:spacing w:before="108"/>
              <w:ind w:left="85"/>
              <w:jc w:val="both"/>
            </w:pPr>
            <w:r>
              <w:t>Bulgārija</w:t>
            </w:r>
          </w:p>
          <w:p w14:paraId="7FE1B86C" w14:textId="33BABCB1" w:rsidR="00952395" w:rsidRDefault="0083775C">
            <w:pPr>
              <w:pStyle w:val="P68B1DB1-TableParagraph17"/>
              <w:numPr>
                <w:ilvl w:val="0"/>
                <w:numId w:val="70"/>
              </w:numPr>
              <w:spacing w:before="108"/>
              <w:jc w:val="both"/>
            </w:pPr>
            <w:r>
              <w:t>“Фондът за гарантиране на влоговете в банките”</w:t>
            </w:r>
          </w:p>
          <w:p w14:paraId="7FE1B86D" w14:textId="77777777" w:rsidR="00952395" w:rsidRDefault="0083775C">
            <w:pPr>
              <w:pStyle w:val="P68B1DB1-TableParagraph28"/>
              <w:spacing w:before="108"/>
              <w:ind w:left="85"/>
              <w:jc w:val="both"/>
            </w:pPr>
            <w:r>
              <w:t>Horvātija</w:t>
            </w:r>
          </w:p>
          <w:p w14:paraId="7FE1B86E" w14:textId="77777777" w:rsidR="00952395" w:rsidRDefault="0083775C">
            <w:pPr>
              <w:pStyle w:val="P68B1DB1-TableParagraph17"/>
              <w:numPr>
                <w:ilvl w:val="0"/>
                <w:numId w:val="70"/>
              </w:numPr>
              <w:spacing w:before="108"/>
              <w:jc w:val="both"/>
            </w:pPr>
            <w:r>
              <w:t>“Hrvatska agencija za osiguranje depozita”</w:t>
            </w:r>
          </w:p>
          <w:p w14:paraId="7FE1B86F" w14:textId="77777777" w:rsidR="00952395" w:rsidRDefault="0083775C">
            <w:pPr>
              <w:pStyle w:val="P68B1DB1-TableParagraph28"/>
              <w:spacing w:before="108"/>
              <w:ind w:left="85"/>
              <w:jc w:val="both"/>
            </w:pPr>
            <w:r>
              <w:t>Kipra</w:t>
            </w:r>
          </w:p>
          <w:p w14:paraId="7FE1B870" w14:textId="77777777" w:rsidR="00952395" w:rsidRDefault="0083775C">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952395" w:rsidRDefault="0083775C">
            <w:pPr>
              <w:pStyle w:val="P68B1DB1-TableParagraph28"/>
              <w:spacing w:before="108"/>
              <w:ind w:left="85"/>
              <w:jc w:val="both"/>
            </w:pPr>
            <w:r>
              <w:t>Čehu</w:t>
            </w:r>
          </w:p>
          <w:p w14:paraId="7FE1B872" w14:textId="77777777" w:rsidR="00952395" w:rsidRDefault="0083775C">
            <w:pPr>
              <w:pStyle w:val="P68B1DB1-TableParagraph17"/>
              <w:numPr>
                <w:ilvl w:val="0"/>
                <w:numId w:val="70"/>
              </w:numPr>
              <w:spacing w:before="108"/>
              <w:jc w:val="both"/>
            </w:pPr>
            <w:r>
              <w:t>“Garanční systém finančního trhu”</w:t>
            </w:r>
          </w:p>
          <w:p w14:paraId="7FE1B873" w14:textId="77777777" w:rsidR="00952395" w:rsidRDefault="0083775C">
            <w:pPr>
              <w:pStyle w:val="P68B1DB1-TableParagraph28"/>
              <w:spacing w:before="108"/>
              <w:ind w:left="85"/>
              <w:jc w:val="both"/>
            </w:pPr>
            <w:r>
              <w:t>Dānija</w:t>
            </w:r>
          </w:p>
          <w:p w14:paraId="7FE1B874" w14:textId="77777777" w:rsidR="00952395" w:rsidRDefault="0083775C">
            <w:pPr>
              <w:pStyle w:val="P68B1DB1-TableParagraph17"/>
              <w:numPr>
                <w:ilvl w:val="0"/>
                <w:numId w:val="70"/>
              </w:numPr>
              <w:spacing w:before="108"/>
              <w:jc w:val="both"/>
            </w:pPr>
            <w:r>
              <w:t>“Garantiformuen”</w:t>
            </w:r>
          </w:p>
          <w:p w14:paraId="7FE1B875" w14:textId="77777777" w:rsidR="00952395" w:rsidRDefault="0083775C">
            <w:pPr>
              <w:pStyle w:val="P68B1DB1-TableParagraph28"/>
              <w:spacing w:before="108"/>
              <w:ind w:left="85"/>
              <w:jc w:val="both"/>
            </w:pPr>
            <w:r>
              <w:t xml:space="preserve">Igaunija </w:t>
            </w:r>
          </w:p>
          <w:p w14:paraId="7FE1B876" w14:textId="77777777" w:rsidR="00952395" w:rsidRDefault="0083775C">
            <w:pPr>
              <w:pStyle w:val="P68B1DB1-TableParagraph17"/>
              <w:numPr>
                <w:ilvl w:val="0"/>
                <w:numId w:val="70"/>
              </w:numPr>
              <w:spacing w:before="108"/>
              <w:jc w:val="both"/>
            </w:pPr>
            <w:r>
              <w:t>“Tagastisfond”</w:t>
            </w:r>
          </w:p>
          <w:p w14:paraId="7FE1B877" w14:textId="77777777" w:rsidR="00952395" w:rsidRDefault="0083775C">
            <w:pPr>
              <w:pStyle w:val="P68B1DB1-TableParagraph28"/>
              <w:spacing w:before="108"/>
              <w:ind w:left="85"/>
              <w:jc w:val="both"/>
            </w:pPr>
            <w:r>
              <w:t xml:space="preserve">Somija </w:t>
            </w:r>
          </w:p>
          <w:p w14:paraId="7FE1B878" w14:textId="77777777" w:rsidR="00952395" w:rsidRDefault="0083775C">
            <w:pPr>
              <w:pStyle w:val="P68B1DB1-TableParagraph17"/>
              <w:numPr>
                <w:ilvl w:val="0"/>
                <w:numId w:val="70"/>
              </w:numPr>
              <w:spacing w:before="108"/>
              <w:jc w:val="both"/>
            </w:pPr>
            <w:r>
              <w:t>“Talletussuojarahasto”</w:t>
            </w:r>
          </w:p>
          <w:p w14:paraId="7FE1B879" w14:textId="77777777" w:rsidR="00952395" w:rsidRDefault="0083775C">
            <w:pPr>
              <w:pStyle w:val="P68B1DB1-TableParagraph28"/>
              <w:spacing w:before="108"/>
              <w:ind w:left="85"/>
              <w:jc w:val="both"/>
            </w:pPr>
            <w:r>
              <w:t>Francija</w:t>
            </w:r>
          </w:p>
          <w:p w14:paraId="7FE1B87A" w14:textId="77777777" w:rsidR="00952395" w:rsidRDefault="0083775C">
            <w:pPr>
              <w:pStyle w:val="P68B1DB1-TableParagraph17"/>
              <w:numPr>
                <w:ilvl w:val="0"/>
                <w:numId w:val="70"/>
              </w:numPr>
              <w:spacing w:before="108"/>
              <w:jc w:val="both"/>
            </w:pPr>
            <w:r>
              <w:t>“Fonds de Garantie des Dépôts et de Résolution”</w:t>
            </w:r>
          </w:p>
          <w:p w14:paraId="7FE1B87B" w14:textId="77777777" w:rsidR="00952395" w:rsidRDefault="0083775C">
            <w:pPr>
              <w:pStyle w:val="P68B1DB1-TableParagraph28"/>
              <w:spacing w:before="108"/>
              <w:ind w:left="85"/>
              <w:jc w:val="both"/>
            </w:pPr>
            <w:r>
              <w:t xml:space="preserve">Vācija </w:t>
            </w:r>
          </w:p>
          <w:p w14:paraId="7FE1B87C" w14:textId="77777777" w:rsidR="00952395" w:rsidRDefault="0083775C">
            <w:pPr>
              <w:pStyle w:val="P68B1DB1-TableParagraph17"/>
              <w:numPr>
                <w:ilvl w:val="0"/>
                <w:numId w:val="70"/>
              </w:numPr>
              <w:spacing w:before="108"/>
              <w:jc w:val="both"/>
            </w:pPr>
            <w:r>
              <w:t>“Entschädigungseinrichtung deutscher Banken GmbH”</w:t>
            </w:r>
          </w:p>
          <w:p w14:paraId="7FE1B87D" w14:textId="77777777" w:rsidR="00952395" w:rsidRDefault="0083775C">
            <w:pPr>
              <w:pStyle w:val="P68B1DB1-TableParagraph17"/>
              <w:numPr>
                <w:ilvl w:val="0"/>
                <w:numId w:val="70"/>
              </w:numPr>
              <w:spacing w:before="108"/>
              <w:jc w:val="both"/>
            </w:pPr>
            <w:r>
              <w:t>“Entschädigungseinrichtung des Bundesverbandes Öffentlicher Banken Deutschlands GmbH”</w:t>
            </w:r>
          </w:p>
          <w:p w14:paraId="7FE1B87E" w14:textId="77777777" w:rsidR="00952395" w:rsidRDefault="0083775C">
            <w:pPr>
              <w:pStyle w:val="P68B1DB1-TableParagraph17"/>
              <w:numPr>
                <w:ilvl w:val="0"/>
                <w:numId w:val="70"/>
              </w:numPr>
              <w:spacing w:before="108"/>
              <w:jc w:val="both"/>
            </w:pPr>
            <w:r>
              <w:t>“Sicherungseinrichtung des Deutschen Sparkassen- und Giroverbandes (DSGV-Haftungsverbund)”</w:t>
            </w:r>
          </w:p>
          <w:p w14:paraId="7FE1B87F" w14:textId="77777777" w:rsidR="00952395" w:rsidRDefault="0083775C">
            <w:pPr>
              <w:pStyle w:val="P68B1DB1-TableParagraph17"/>
              <w:numPr>
                <w:ilvl w:val="0"/>
                <w:numId w:val="70"/>
              </w:numPr>
              <w:spacing w:before="108"/>
              <w:jc w:val="both"/>
            </w:pPr>
            <w:r>
              <w:t>“BVR Institutssicherung GmbH”</w:t>
            </w:r>
          </w:p>
          <w:p w14:paraId="7FE1B882" w14:textId="77777777" w:rsidR="00952395" w:rsidRDefault="0083775C">
            <w:pPr>
              <w:pStyle w:val="P68B1DB1-TableParagraph28"/>
              <w:spacing w:before="108"/>
              <w:ind w:left="85"/>
              <w:jc w:val="both"/>
            </w:pPr>
            <w:r>
              <w:t xml:space="preserve">Grieķija </w:t>
            </w:r>
          </w:p>
          <w:p w14:paraId="7FE1B883" w14:textId="77777777" w:rsidR="00952395" w:rsidRDefault="0083775C">
            <w:pPr>
              <w:pStyle w:val="P68B1DB1-TableParagraph17"/>
              <w:numPr>
                <w:ilvl w:val="0"/>
                <w:numId w:val="70"/>
              </w:numPr>
              <w:spacing w:before="108"/>
              <w:jc w:val="both"/>
            </w:pPr>
            <w:r>
              <w:t>“Ταμείο Εγγύησης Καταθέσεων και Επενδύσεων”</w:t>
            </w:r>
          </w:p>
          <w:p w14:paraId="7FE1B884" w14:textId="77777777" w:rsidR="00952395" w:rsidRDefault="0083775C">
            <w:pPr>
              <w:pStyle w:val="P68B1DB1-TableParagraph28"/>
              <w:spacing w:before="108"/>
              <w:ind w:left="85"/>
              <w:jc w:val="both"/>
            </w:pPr>
            <w:r>
              <w:t xml:space="preserve">Ungārija </w:t>
            </w:r>
          </w:p>
          <w:p w14:paraId="7FE1B885" w14:textId="77777777" w:rsidR="00952395" w:rsidRDefault="0083775C">
            <w:pPr>
              <w:pStyle w:val="P68B1DB1-TableParagraph17"/>
              <w:numPr>
                <w:ilvl w:val="0"/>
                <w:numId w:val="70"/>
              </w:numPr>
              <w:spacing w:before="108"/>
              <w:jc w:val="both"/>
            </w:pPr>
            <w:r>
              <w:t>“Országos Betétbiztosítási Alap”</w:t>
            </w:r>
          </w:p>
          <w:p w14:paraId="7FE1B886" w14:textId="77777777" w:rsidR="00952395" w:rsidRDefault="0083775C">
            <w:pPr>
              <w:pStyle w:val="P68B1DB1-TableParagraph28"/>
              <w:spacing w:before="108"/>
              <w:ind w:left="85"/>
              <w:jc w:val="both"/>
            </w:pPr>
            <w:r>
              <w:t>Islandes</w:t>
            </w:r>
          </w:p>
          <w:p w14:paraId="7FE1B887" w14:textId="44E06D46" w:rsidR="00952395" w:rsidRDefault="0083775C">
            <w:pPr>
              <w:pStyle w:val="P68B1DB1-TableParagraph17"/>
              <w:numPr>
                <w:ilvl w:val="0"/>
                <w:numId w:val="70"/>
              </w:numPr>
              <w:spacing w:before="108"/>
              <w:jc w:val="both"/>
            </w:pPr>
            <w:r>
              <w:t>“Tryggingarsjóður vegna fjármálafyrirtækja”</w:t>
            </w:r>
          </w:p>
          <w:p w14:paraId="7FE1B888" w14:textId="77777777" w:rsidR="00952395" w:rsidRDefault="0083775C">
            <w:pPr>
              <w:pStyle w:val="P68B1DB1-TableParagraph28"/>
              <w:spacing w:before="108"/>
              <w:ind w:left="85"/>
              <w:jc w:val="both"/>
            </w:pPr>
            <w:r>
              <w:t>Īrija</w:t>
            </w:r>
          </w:p>
          <w:p w14:paraId="7FE1B889" w14:textId="77777777" w:rsidR="00952395" w:rsidRDefault="0083775C">
            <w:pPr>
              <w:pStyle w:val="P68B1DB1-TableParagraph17"/>
              <w:numPr>
                <w:ilvl w:val="0"/>
                <w:numId w:val="70"/>
              </w:numPr>
              <w:spacing w:before="108"/>
              <w:jc w:val="both"/>
            </w:pPr>
            <w:r>
              <w:t>“Irish Deposit Protection Scheme”</w:t>
            </w:r>
          </w:p>
          <w:p w14:paraId="7FE1B88A" w14:textId="77777777" w:rsidR="00952395" w:rsidRDefault="0083775C">
            <w:pPr>
              <w:pStyle w:val="P68B1DB1-TableParagraph28"/>
              <w:spacing w:before="108"/>
              <w:ind w:left="85"/>
              <w:jc w:val="both"/>
            </w:pPr>
            <w:r>
              <w:lastRenderedPageBreak/>
              <w:t xml:space="preserve">Itālija </w:t>
            </w:r>
          </w:p>
          <w:p w14:paraId="7FE1B88B" w14:textId="77777777" w:rsidR="00952395" w:rsidRDefault="0083775C">
            <w:pPr>
              <w:pStyle w:val="P68B1DB1-TableParagraph17"/>
              <w:numPr>
                <w:ilvl w:val="0"/>
                <w:numId w:val="70"/>
              </w:numPr>
              <w:spacing w:before="108"/>
              <w:jc w:val="both"/>
            </w:pPr>
            <w:r>
              <w:t>“Fondo Interbancario di Tutela dei Depositi”</w:t>
            </w:r>
          </w:p>
          <w:p w14:paraId="7FE1B88C" w14:textId="77777777" w:rsidR="00952395" w:rsidRDefault="0083775C">
            <w:pPr>
              <w:pStyle w:val="P68B1DB1-TableParagraph17"/>
              <w:numPr>
                <w:ilvl w:val="0"/>
                <w:numId w:val="70"/>
              </w:numPr>
              <w:spacing w:before="108"/>
              <w:jc w:val="both"/>
            </w:pPr>
            <w:r>
              <w:t>“Fondo di Garanzia dei Depositanti del Credito Cooperativo”</w:t>
            </w:r>
          </w:p>
          <w:p w14:paraId="7FE1B88D" w14:textId="77777777" w:rsidR="00952395" w:rsidRDefault="0083775C">
            <w:pPr>
              <w:pStyle w:val="P68B1DB1-TableParagraph28"/>
              <w:spacing w:before="108"/>
              <w:ind w:left="85"/>
              <w:jc w:val="both"/>
            </w:pPr>
            <w:r>
              <w:t>Latvija</w:t>
            </w:r>
          </w:p>
          <w:p w14:paraId="7FE1B88E" w14:textId="77777777" w:rsidR="00952395" w:rsidRDefault="0083775C">
            <w:pPr>
              <w:pStyle w:val="P68B1DB1-TableParagraph17"/>
              <w:numPr>
                <w:ilvl w:val="0"/>
                <w:numId w:val="70"/>
              </w:numPr>
              <w:spacing w:before="108"/>
              <w:jc w:val="both"/>
            </w:pPr>
            <w:r>
              <w:t>“Latvijas Noguldījumu garantiju fonds”</w:t>
            </w:r>
          </w:p>
          <w:p w14:paraId="7FE1B88F" w14:textId="77777777" w:rsidR="00952395" w:rsidRDefault="0083775C">
            <w:pPr>
              <w:pStyle w:val="P68B1DB1-TableParagraph28"/>
              <w:spacing w:before="108"/>
              <w:ind w:left="85"/>
              <w:jc w:val="both"/>
            </w:pPr>
            <w:r>
              <w:t xml:space="preserve">Lihtenšteinas </w:t>
            </w:r>
          </w:p>
          <w:p w14:paraId="7FE1B890" w14:textId="77777777" w:rsidR="00952395" w:rsidRDefault="0083775C">
            <w:pPr>
              <w:pStyle w:val="P68B1DB1-TableParagraph17"/>
              <w:numPr>
                <w:ilvl w:val="0"/>
                <w:numId w:val="70"/>
              </w:numPr>
              <w:spacing w:before="108"/>
              <w:jc w:val="both"/>
            </w:pPr>
            <w:r>
              <w:t>“Einlagensicherungs- und Anlegerentschädigungs-Stiftung SV”</w:t>
            </w:r>
          </w:p>
          <w:p w14:paraId="7FE1B891" w14:textId="77777777" w:rsidR="00952395" w:rsidRDefault="0083775C">
            <w:pPr>
              <w:pStyle w:val="P68B1DB1-TableParagraph28"/>
              <w:spacing w:before="108"/>
              <w:ind w:left="85"/>
              <w:jc w:val="both"/>
            </w:pPr>
            <w:r>
              <w:t>Lietuva</w:t>
            </w:r>
          </w:p>
          <w:p w14:paraId="7FE1B892" w14:textId="77777777" w:rsidR="00952395" w:rsidRDefault="0083775C">
            <w:pPr>
              <w:pStyle w:val="P68B1DB1-TableParagraph17"/>
              <w:numPr>
                <w:ilvl w:val="0"/>
                <w:numId w:val="70"/>
              </w:numPr>
              <w:spacing w:before="108"/>
              <w:jc w:val="both"/>
            </w:pPr>
            <w:r>
              <w:t>“Indėlių ir investicijų draudimas”</w:t>
            </w:r>
          </w:p>
          <w:p w14:paraId="7FE1B893" w14:textId="77777777" w:rsidR="00952395" w:rsidRDefault="0083775C">
            <w:pPr>
              <w:pStyle w:val="P68B1DB1-TableParagraph28"/>
              <w:spacing w:before="108"/>
              <w:ind w:left="85"/>
              <w:jc w:val="both"/>
            </w:pPr>
            <w:r>
              <w:t>Luksemburga</w:t>
            </w:r>
          </w:p>
          <w:p w14:paraId="7FE1B894" w14:textId="59F3019A" w:rsidR="00952395" w:rsidRDefault="0083775C">
            <w:pPr>
              <w:pStyle w:val="P68B1DB1-TableParagraph17"/>
              <w:numPr>
                <w:ilvl w:val="0"/>
                <w:numId w:val="70"/>
              </w:numPr>
              <w:spacing w:before="108"/>
              <w:jc w:val="both"/>
            </w:pPr>
            <w:r>
              <w:t>“Fonds de garantie des Dépôts Luxembourg”</w:t>
            </w:r>
          </w:p>
          <w:p w14:paraId="7FE1B895" w14:textId="77777777" w:rsidR="00952395" w:rsidRDefault="0083775C">
            <w:pPr>
              <w:pStyle w:val="P68B1DB1-TableParagraph28"/>
              <w:spacing w:before="108"/>
              <w:ind w:left="85"/>
              <w:jc w:val="both"/>
            </w:pPr>
            <w:r>
              <w:t>Malta</w:t>
            </w:r>
          </w:p>
          <w:p w14:paraId="7FE1B896" w14:textId="77777777" w:rsidR="00952395" w:rsidRDefault="0083775C">
            <w:pPr>
              <w:pStyle w:val="P68B1DB1-TableParagraph17"/>
              <w:numPr>
                <w:ilvl w:val="0"/>
                <w:numId w:val="70"/>
              </w:numPr>
              <w:spacing w:before="108"/>
              <w:jc w:val="both"/>
            </w:pPr>
            <w:r>
              <w:t>“Depositor Compensation Scheme”</w:t>
            </w:r>
          </w:p>
          <w:p w14:paraId="7FE1B897" w14:textId="77777777" w:rsidR="00952395" w:rsidRDefault="0083775C">
            <w:pPr>
              <w:pStyle w:val="P68B1DB1-TableParagraph28"/>
              <w:spacing w:before="108"/>
              <w:ind w:left="85"/>
              <w:jc w:val="both"/>
            </w:pPr>
            <w:r>
              <w:t xml:space="preserve">Nīderlande </w:t>
            </w:r>
          </w:p>
          <w:p w14:paraId="7FE1B898" w14:textId="77777777" w:rsidR="00952395" w:rsidRDefault="0083775C">
            <w:pPr>
              <w:pStyle w:val="P68B1DB1-TableParagraph17"/>
              <w:numPr>
                <w:ilvl w:val="0"/>
                <w:numId w:val="70"/>
              </w:numPr>
              <w:spacing w:before="108"/>
              <w:jc w:val="both"/>
            </w:pPr>
            <w:r>
              <w:t>“De Nederlandsche Bank, Depositogarantiestelsel”</w:t>
            </w:r>
          </w:p>
          <w:p w14:paraId="7FE1B899" w14:textId="77777777" w:rsidR="00952395" w:rsidRDefault="0083775C">
            <w:pPr>
              <w:pStyle w:val="P68B1DB1-TableParagraph28"/>
              <w:spacing w:before="108"/>
              <w:ind w:left="85"/>
              <w:jc w:val="both"/>
            </w:pPr>
            <w:r>
              <w:t>Norvēģijas</w:t>
            </w:r>
          </w:p>
          <w:p w14:paraId="7FE1B89A" w14:textId="77777777" w:rsidR="00952395" w:rsidRDefault="0083775C">
            <w:pPr>
              <w:pStyle w:val="P68B1DB1-TableParagraph17"/>
              <w:numPr>
                <w:ilvl w:val="0"/>
                <w:numId w:val="70"/>
              </w:numPr>
              <w:spacing w:before="108"/>
              <w:jc w:val="both"/>
            </w:pPr>
            <w:r>
              <w:t>“Bankenes sikringsfond”</w:t>
            </w:r>
          </w:p>
          <w:p w14:paraId="7FE1B89B" w14:textId="77777777" w:rsidR="00952395" w:rsidRDefault="0083775C">
            <w:pPr>
              <w:pStyle w:val="P68B1DB1-TableParagraph28"/>
              <w:spacing w:before="108"/>
              <w:ind w:left="85"/>
              <w:jc w:val="both"/>
            </w:pPr>
            <w:r>
              <w:t>Polija</w:t>
            </w:r>
          </w:p>
          <w:p w14:paraId="7FE1B89C" w14:textId="77777777" w:rsidR="00952395" w:rsidRDefault="0083775C">
            <w:pPr>
              <w:pStyle w:val="P68B1DB1-TableParagraph17"/>
              <w:numPr>
                <w:ilvl w:val="0"/>
                <w:numId w:val="70"/>
              </w:numPr>
              <w:spacing w:before="108"/>
              <w:jc w:val="both"/>
            </w:pPr>
            <w:r>
              <w:t>“Bankowy Fundusz Gwarancyjny”</w:t>
            </w:r>
          </w:p>
          <w:p w14:paraId="7FE1B89D" w14:textId="77777777" w:rsidR="00952395" w:rsidRDefault="0083775C">
            <w:pPr>
              <w:pStyle w:val="P68B1DB1-TableParagraph28"/>
              <w:spacing w:before="108"/>
              <w:ind w:left="85"/>
              <w:jc w:val="both"/>
            </w:pPr>
            <w:r>
              <w:t>Portugāle</w:t>
            </w:r>
          </w:p>
          <w:p w14:paraId="7FE1B89E" w14:textId="77777777" w:rsidR="00952395" w:rsidRDefault="0083775C">
            <w:pPr>
              <w:pStyle w:val="P68B1DB1-TableParagraph17"/>
              <w:numPr>
                <w:ilvl w:val="0"/>
                <w:numId w:val="70"/>
              </w:numPr>
              <w:spacing w:before="108"/>
              <w:jc w:val="both"/>
            </w:pPr>
            <w:r>
              <w:t>“Fundo de Garantia de Depósitos”</w:t>
            </w:r>
          </w:p>
          <w:p w14:paraId="7FE1B89F" w14:textId="77777777" w:rsidR="00952395" w:rsidRDefault="0083775C">
            <w:pPr>
              <w:pStyle w:val="P68B1DB1-TableParagraph17"/>
              <w:numPr>
                <w:ilvl w:val="0"/>
                <w:numId w:val="70"/>
              </w:numPr>
              <w:spacing w:before="108"/>
              <w:jc w:val="both"/>
            </w:pPr>
            <w:r>
              <w:t>“Fundo de Garantia do Crédito Agrícola Mútuo”</w:t>
            </w:r>
          </w:p>
          <w:p w14:paraId="7FE1B8A0" w14:textId="77777777" w:rsidR="00952395" w:rsidRDefault="0083775C">
            <w:pPr>
              <w:pStyle w:val="P68B1DB1-TableParagraph28"/>
              <w:spacing w:before="108"/>
              <w:ind w:left="85"/>
              <w:jc w:val="both"/>
            </w:pPr>
            <w:r>
              <w:t>Rumānija</w:t>
            </w:r>
          </w:p>
          <w:p w14:paraId="7FE1B8A1" w14:textId="77777777" w:rsidR="00952395" w:rsidRDefault="0083775C">
            <w:pPr>
              <w:pStyle w:val="P68B1DB1-TableParagraph17"/>
              <w:numPr>
                <w:ilvl w:val="0"/>
                <w:numId w:val="70"/>
              </w:numPr>
              <w:spacing w:before="108"/>
              <w:jc w:val="both"/>
            </w:pPr>
            <w:r>
              <w:t>“Fondul de Garantare a Depozitelor in Sistemul Bancar”</w:t>
            </w:r>
          </w:p>
          <w:p w14:paraId="7FE1B8A2" w14:textId="77777777" w:rsidR="00952395" w:rsidRDefault="0083775C">
            <w:pPr>
              <w:pStyle w:val="P68B1DB1-TableParagraph28"/>
              <w:spacing w:before="108"/>
              <w:ind w:left="85"/>
              <w:jc w:val="both"/>
            </w:pPr>
            <w:r>
              <w:t>Slovākija</w:t>
            </w:r>
          </w:p>
          <w:p w14:paraId="7FE1B8A3" w14:textId="77777777" w:rsidR="00952395" w:rsidRDefault="0083775C">
            <w:pPr>
              <w:pStyle w:val="P68B1DB1-TableParagraph17"/>
              <w:numPr>
                <w:ilvl w:val="0"/>
                <w:numId w:val="70"/>
              </w:numPr>
              <w:spacing w:before="108"/>
              <w:jc w:val="both"/>
            </w:pPr>
            <w:r>
              <w:t>“Fond ochrany vkladov”</w:t>
            </w:r>
          </w:p>
          <w:p w14:paraId="7FE1B8A4" w14:textId="77777777" w:rsidR="00952395" w:rsidRDefault="0083775C">
            <w:pPr>
              <w:pStyle w:val="P68B1DB1-TableParagraph28"/>
              <w:spacing w:before="108"/>
              <w:ind w:left="85"/>
              <w:jc w:val="both"/>
            </w:pPr>
            <w:r>
              <w:t xml:space="preserve">Slovēnija </w:t>
            </w:r>
          </w:p>
          <w:p w14:paraId="7FE1B8A5" w14:textId="77777777" w:rsidR="00952395" w:rsidRDefault="0083775C">
            <w:pPr>
              <w:pStyle w:val="P68B1DB1-TableParagraph17"/>
              <w:numPr>
                <w:ilvl w:val="0"/>
                <w:numId w:val="70"/>
              </w:numPr>
              <w:spacing w:before="108"/>
              <w:jc w:val="both"/>
            </w:pPr>
            <w:r>
              <w:t>“Banka Slovenije”</w:t>
            </w:r>
          </w:p>
          <w:p w14:paraId="7FE1B8A6" w14:textId="77777777" w:rsidR="00952395" w:rsidRDefault="0083775C">
            <w:pPr>
              <w:pStyle w:val="P68B1DB1-TableParagraph28"/>
              <w:spacing w:before="108"/>
              <w:ind w:left="85"/>
              <w:jc w:val="both"/>
            </w:pPr>
            <w:r>
              <w:t>Spānija</w:t>
            </w:r>
          </w:p>
          <w:p w14:paraId="7FE1B8A7" w14:textId="77777777" w:rsidR="00952395" w:rsidRDefault="0083775C">
            <w:pPr>
              <w:pStyle w:val="P68B1DB1-TableParagraph17"/>
              <w:numPr>
                <w:ilvl w:val="0"/>
                <w:numId w:val="70"/>
              </w:numPr>
              <w:spacing w:before="108"/>
              <w:jc w:val="both"/>
            </w:pPr>
            <w:r>
              <w:t>“Fondo de Garantía de Depósitos de Entidades de Crédito”</w:t>
            </w:r>
          </w:p>
          <w:p w14:paraId="7FE1B8A8" w14:textId="77777777" w:rsidR="00952395" w:rsidRDefault="0083775C">
            <w:pPr>
              <w:pStyle w:val="P68B1DB1-TableParagraph28"/>
              <w:spacing w:before="108"/>
              <w:ind w:left="85"/>
              <w:jc w:val="both"/>
            </w:pPr>
            <w:r>
              <w:t>Zviedrija</w:t>
            </w:r>
          </w:p>
          <w:p w14:paraId="7FE1B8A9" w14:textId="77777777" w:rsidR="00952395" w:rsidRDefault="0083775C">
            <w:pPr>
              <w:pStyle w:val="P68B1DB1-TableParagraph17"/>
              <w:numPr>
                <w:ilvl w:val="0"/>
                <w:numId w:val="70"/>
              </w:numPr>
              <w:spacing w:before="108"/>
              <w:jc w:val="both"/>
            </w:pPr>
            <w:r>
              <w:t>“Riksgälden”</w:t>
            </w:r>
          </w:p>
          <w:p w14:paraId="7FE1B8AC" w14:textId="77777777" w:rsidR="00952395" w:rsidRDefault="00952395">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952395" w:rsidRDefault="0083775C">
            <w:pPr>
              <w:pStyle w:val="P68B1DB1-TableParagraph17"/>
              <w:spacing w:before="108"/>
              <w:ind w:left="85"/>
              <w:jc w:val="both"/>
            </w:pPr>
            <w:r>
              <w:t>Ja oficiāli atzīta NGS, kurā vienība piedalās, šajā sarakstā nav minēta, pārskatā norāda “cita”.</w:t>
            </w:r>
          </w:p>
        </w:tc>
      </w:tr>
      <w:tr w:rsidR="00952395"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952395" w:rsidRDefault="0083775C">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952395" w:rsidRDefault="0083775C">
            <w:pPr>
              <w:pStyle w:val="P68B1DB1-TableParagraph14"/>
              <w:spacing w:before="108"/>
              <w:ind w:left="85"/>
              <w:jc w:val="both"/>
              <w:rPr>
                <w:bCs/>
              </w:rPr>
            </w:pPr>
            <w:r>
              <w:t>Segto noguldījumu summa</w:t>
            </w:r>
          </w:p>
          <w:p w14:paraId="7FE1B8B1" w14:textId="77777777" w:rsidR="00952395" w:rsidRDefault="0083775C">
            <w:pPr>
              <w:pStyle w:val="P68B1DB1-TableParagraph17"/>
              <w:spacing w:before="108"/>
              <w:ind w:left="85"/>
            </w:pPr>
            <w:r>
              <w:t>Direktīvas 2014/49/ES 2. panta 1. un 5. punkts un 6. panta 2. punkts</w:t>
            </w:r>
          </w:p>
          <w:p w14:paraId="7FE1B8B2" w14:textId="77777777" w:rsidR="00952395" w:rsidRDefault="0083775C">
            <w:pPr>
              <w:pStyle w:val="P68B1DB1-TableParagraph17"/>
              <w:spacing w:before="108"/>
              <w:ind w:left="85"/>
              <w:jc w:val="both"/>
            </w:pPr>
            <w:r>
              <w:t>Segto noguldījumu summa saskaņā ar Direktīvas 2014/49/ES 2. panta 1. punkta 5. apakšpunktu un 6. pantu, ko sedz 00030. rindā minētā NGS, izņemot augstas pagaidu bilances vērtības, kā noteikts Direktīvas 2014/49/ES 6. panta 2. punktā.</w:t>
            </w:r>
          </w:p>
        </w:tc>
      </w:tr>
      <w:tr w:rsidR="00952395"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952395" w:rsidRDefault="0083775C">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952395" w:rsidRDefault="0083775C">
            <w:pPr>
              <w:pStyle w:val="P68B1DB1-TableParagraph14"/>
              <w:spacing w:before="108"/>
              <w:ind w:left="85"/>
              <w:jc w:val="both"/>
              <w:rPr>
                <w:bCs/>
              </w:rPr>
            </w:pPr>
            <w:r>
              <w:t>Institucionālās aizsardzības shēma</w:t>
            </w:r>
          </w:p>
          <w:p w14:paraId="7FE1B8B6" w14:textId="77777777" w:rsidR="00952395" w:rsidRDefault="0083775C">
            <w:pPr>
              <w:pStyle w:val="P68B1DB1-TableParagraph17"/>
              <w:spacing w:before="108"/>
              <w:ind w:left="85"/>
            </w:pPr>
            <w:r>
              <w:lastRenderedPageBreak/>
              <w:t>Regulas (ES) Nr. 575/2013 113. panta 7. punktu</w:t>
            </w:r>
          </w:p>
          <w:p w14:paraId="7FE1B8B7" w14:textId="77777777" w:rsidR="00952395" w:rsidRDefault="0083775C">
            <w:pPr>
              <w:pStyle w:val="P68B1DB1-TableParagraph17"/>
              <w:spacing w:before="108"/>
              <w:ind w:left="85"/>
              <w:jc w:val="both"/>
            </w:pPr>
            <w:r>
              <w:t>Institucionālās aizsardzības shēmas, kurā vienība piedalās, nosaukums, kā minēts Regulas (ES) Nr. 575/2013 113. panta 7. punktā. Ja vienība nepiedalās IAS, neko nenorādīt. Ja vienība piedalās IAS, kas ir arī oficiāli atzīta kā NGS saskaņā ar Direktīvas 2014/49/ES 4. panta 2. punktu, IAS nosaukums ir identisks NGS nosaukumam 030. rindā.</w:t>
            </w:r>
          </w:p>
          <w:p w14:paraId="7FE1B8B8" w14:textId="77777777" w:rsidR="00952395" w:rsidRDefault="00952395">
            <w:pPr>
              <w:pStyle w:val="TableParagraph"/>
              <w:spacing w:before="108"/>
              <w:ind w:left="85"/>
              <w:jc w:val="both"/>
              <w:rPr>
                <w:rFonts w:ascii="Times New Roman" w:eastAsia="Cambria" w:hAnsi="Times New Roman" w:cs="Times New Roman"/>
                <w:color w:val="000000" w:themeColor="text1"/>
                <w:sz w:val="20"/>
                <w:szCs w:val="20"/>
              </w:rPr>
            </w:pPr>
          </w:p>
        </w:tc>
      </w:tr>
      <w:tr w:rsidR="00952395"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952395" w:rsidRDefault="0083775C">
            <w:pPr>
              <w:pStyle w:val="P68B1DB1-TableParagraph17"/>
              <w:spacing w:before="108"/>
              <w:ind w:left="85"/>
              <w:jc w:val="both"/>
            </w:pPr>
            <w:r>
              <w:lastRenderedPageBreak/>
              <w:t>0060</w:t>
            </w:r>
          </w:p>
        </w:tc>
        <w:tc>
          <w:tcPr>
            <w:tcW w:w="7892" w:type="dxa"/>
            <w:tcBorders>
              <w:top w:val="single" w:sz="4" w:space="0" w:color="1A171C"/>
              <w:left w:val="single" w:sz="4" w:space="0" w:color="1A171C"/>
              <w:bottom w:val="single" w:sz="4" w:space="0" w:color="1A171C"/>
              <w:right w:val="nil"/>
            </w:tcBorders>
          </w:tcPr>
          <w:p w14:paraId="7FE1B8BB" w14:textId="77777777" w:rsidR="00952395" w:rsidRDefault="0083775C">
            <w:pPr>
              <w:pStyle w:val="P68B1DB1-TableParagraph14"/>
              <w:spacing w:before="108"/>
              <w:ind w:left="85"/>
              <w:jc w:val="both"/>
              <w:rPr>
                <w:bCs/>
              </w:rPr>
            </w:pPr>
            <w:r>
              <w:t>Papildu aizsardzība saskaņā ar līgumisko shēmu</w:t>
            </w:r>
          </w:p>
          <w:p w14:paraId="7FE1B8BC" w14:textId="77777777" w:rsidR="00952395" w:rsidRDefault="0083775C">
            <w:pPr>
              <w:pStyle w:val="P68B1DB1-TableParagraph17"/>
              <w:spacing w:before="108"/>
              <w:ind w:left="85"/>
            </w:pPr>
            <w:r>
              <w:t>Direktīvas 2014/49/ES 1. panta 3. punkta a) apakšpunkts</w:t>
            </w:r>
          </w:p>
          <w:p w14:paraId="7FE1B8BD" w14:textId="77777777" w:rsidR="00952395" w:rsidRDefault="0083775C">
            <w:pPr>
              <w:pStyle w:val="P68B1DB1-TableParagraph17"/>
              <w:spacing w:before="108"/>
              <w:ind w:left="85"/>
              <w:jc w:val="both"/>
            </w:pPr>
            <w:r>
              <w:t>Depozītu summas, ko sedz līgumiskā shēma vienībā.</w:t>
            </w:r>
          </w:p>
        </w:tc>
      </w:tr>
    </w:tbl>
    <w:p w14:paraId="7FE1B8BF" w14:textId="77777777" w:rsidR="00952395" w:rsidRDefault="00952395">
      <w:pPr>
        <w:rPr>
          <w:rFonts w:ascii="Times New Roman" w:hAnsi="Times New Roman" w:cs="Times New Roman"/>
          <w:b/>
          <w:color w:val="000000" w:themeColor="text1"/>
          <w:sz w:val="20"/>
          <w:szCs w:val="20"/>
          <w:u w:val="single"/>
        </w:rPr>
      </w:pPr>
    </w:p>
    <w:p w14:paraId="7FE1B8C0" w14:textId="77777777" w:rsidR="00952395" w:rsidRDefault="0083775C">
      <w:pPr>
        <w:pStyle w:val="P68B1DB1-Instructionsberschrift25"/>
        <w:numPr>
          <w:ilvl w:val="1"/>
          <w:numId w:val="49"/>
        </w:numPr>
        <w:ind w:left="357" w:hanging="357"/>
      </w:pPr>
      <w:bookmarkStart w:id="100" w:name="_Toc492542327"/>
      <w:bookmarkStart w:id="101" w:name="_Toc81454186"/>
      <w:bookmarkStart w:id="102" w:name="_Toc208244953"/>
      <w:r>
        <w:t>Kritiski svarīgas funkcijas un pamatdarbības virzieni (galvenās darbības jomas)</w:t>
      </w:r>
      <w:bookmarkEnd w:id="100"/>
      <w:bookmarkEnd w:id="101"/>
      <w:bookmarkEnd w:id="102"/>
    </w:p>
    <w:p w14:paraId="7FE1B8C2" w14:textId="77777777" w:rsidR="00952395" w:rsidRDefault="0083775C">
      <w:pPr>
        <w:pStyle w:val="Instructionsberschrift3"/>
      </w:pPr>
      <w:bookmarkStart w:id="103" w:name="_Toc189492773"/>
      <w:bookmarkStart w:id="104" w:name="_Toc192249050"/>
      <w:bookmarkEnd w:id="103"/>
      <w:bookmarkEnd w:id="104"/>
      <w:r>
        <w:t>Vispārīgas piezīmes</w:t>
      </w:r>
    </w:p>
    <w:p w14:paraId="7FE1B8C3" w14:textId="249305A0" w:rsidR="00952395" w:rsidRDefault="0083775C">
      <w:pPr>
        <w:pStyle w:val="P68B1DB1-InstructionsText26"/>
        <w:numPr>
          <w:ilvl w:val="0"/>
          <w:numId w:val="232"/>
        </w:numPr>
        <w:spacing w:before="0"/>
      </w:pPr>
      <w:r>
        <w:t>Šīs sadaļas četras veidnes sniedz galvenos datus un kvalitatīvos novērtējumus par grupas veikto ekonomisko funkciju ietekmi, aizstājamību un kritisko svarīgumu, tos papildinot ar attiecīgo kritiski svarīgo funkciju sasaistīšanu ar pamatdarbības virzieniem un juridiskajām personām un ar pamatdarbības virzienu sasaistīšanu ar juridiskajām personām.</w:t>
      </w:r>
    </w:p>
    <w:p w14:paraId="7FE1B8C4" w14:textId="77777777" w:rsidR="00952395" w:rsidRDefault="0083775C">
      <w:pPr>
        <w:pStyle w:val="P68B1DB1-InstructionsText26"/>
        <w:numPr>
          <w:ilvl w:val="0"/>
          <w:numId w:val="232"/>
        </w:numPr>
        <w:spacing w:before="0"/>
      </w:pPr>
      <w:r>
        <w:t>Konkrētāk, veidnes ir paredzētas tālāk norādītajām tēmām.</w:t>
      </w:r>
    </w:p>
    <w:p w14:paraId="7FE1B8C5" w14:textId="0233F295" w:rsidR="00952395" w:rsidRDefault="0083775C">
      <w:pPr>
        <w:pStyle w:val="P68B1DB1-InstructionsText26"/>
        <w:numPr>
          <w:ilvl w:val="0"/>
          <w:numId w:val="153"/>
        </w:numPr>
        <w:spacing w:before="0"/>
      </w:pPr>
      <w:r>
        <w:t>Veidnē Z 07.01 — Ekonomisko funkciju kritiskuma novērtējums (FUNC 1) ir sniegti grupas veikto saimniecisko funkciju kritiskuma novērtējuma rezultāti, pamatojoties uz kvantitatīviem un kvalitatīviem rādītājiem, veiktajām kritiski svarīgajām un kritiski svarīgajām funkcijām. No grupas tiek gaidīta atsevišķa veidne katrai dalībvalstij, kurā grupa darbojas. Ziņošanai ir noteiktas šādas saimniecisko funkciju kategorijas:</w:t>
      </w:r>
    </w:p>
    <w:p w14:paraId="7FE1B8C6" w14:textId="43527C6F" w:rsidR="00952395" w:rsidRDefault="0083775C">
      <w:pPr>
        <w:pStyle w:val="P68B1DB1-InstructionsText26"/>
        <w:numPr>
          <w:ilvl w:val="1"/>
          <w:numId w:val="153"/>
        </w:numPr>
        <w:spacing w:before="0"/>
      </w:pPr>
      <w:r>
        <w:t>Z 07.01.1 Noguldījumi</w:t>
      </w:r>
    </w:p>
    <w:p w14:paraId="7FE1B8C7" w14:textId="46AB6183" w:rsidR="00952395" w:rsidRDefault="0083775C">
      <w:pPr>
        <w:pStyle w:val="P68B1DB1-InstructionsText26"/>
        <w:numPr>
          <w:ilvl w:val="1"/>
          <w:numId w:val="153"/>
        </w:numPr>
        <w:spacing w:before="0"/>
      </w:pPr>
      <w:r>
        <w:t>Z 07.01.2 Aizdevumi</w:t>
      </w:r>
    </w:p>
    <w:p w14:paraId="7FE1B8C8" w14:textId="284FDD0B" w:rsidR="00952395" w:rsidRDefault="0083775C">
      <w:pPr>
        <w:pStyle w:val="P68B1DB1-InstructionsText26"/>
        <w:numPr>
          <w:ilvl w:val="1"/>
          <w:numId w:val="153"/>
        </w:numPr>
        <w:spacing w:before="0"/>
      </w:pPr>
      <w:r>
        <w:t>Z 07.01.3 Maksājumi, nauda, norēķini, mijieskaits, dzēšanas pakalpojumi</w:t>
      </w:r>
    </w:p>
    <w:p w14:paraId="7FE1B8C9" w14:textId="12E4110D" w:rsidR="00952395" w:rsidRDefault="0083775C">
      <w:pPr>
        <w:pStyle w:val="P68B1DB1-InstructionsText26"/>
        <w:numPr>
          <w:ilvl w:val="1"/>
          <w:numId w:val="153"/>
        </w:numPr>
        <w:spacing w:before="0"/>
      </w:pPr>
      <w:r>
        <w:t>Z 07.01.4 Kapitāla tirgi</w:t>
      </w:r>
    </w:p>
    <w:p w14:paraId="7FE1B8CA" w14:textId="02162CC7" w:rsidR="00952395" w:rsidRDefault="0083775C">
      <w:pPr>
        <w:pStyle w:val="P68B1DB1-InstructionsText26"/>
        <w:numPr>
          <w:ilvl w:val="1"/>
          <w:numId w:val="153"/>
        </w:numPr>
        <w:spacing w:before="0"/>
      </w:pPr>
      <w:r>
        <w:t>Z 07.01.5 Vairumtirdzniecības finansējums</w:t>
      </w:r>
    </w:p>
    <w:p w14:paraId="7FE1B8CB" w14:textId="006771C1" w:rsidR="00952395" w:rsidRDefault="0083775C">
      <w:pPr>
        <w:pStyle w:val="P68B1DB1-InstructionsText26"/>
        <w:numPr>
          <w:ilvl w:val="0"/>
          <w:numId w:val="153"/>
        </w:numPr>
        <w:spacing w:before="0"/>
      </w:pPr>
      <w:r>
        <w:t>Veidnē Z 07.02 — Saimniecisko funkciju sasaistīšana ar juridiskām personām (FUNC 2) kartētas saimnieciskās funkcijas, kas novērtētas Z 07.01, ar juridiskām personām vai starptautiskām filiālēm, kā norādīts Z 01.01.</w:t>
      </w:r>
    </w:p>
    <w:p w14:paraId="7FE1B8CC" w14:textId="0C5FD434" w:rsidR="00952395" w:rsidRDefault="0083775C">
      <w:pPr>
        <w:pStyle w:val="P68B1DB1-InstructionsText26"/>
        <w:numPr>
          <w:ilvl w:val="0"/>
          <w:numId w:val="153"/>
        </w:numPr>
        <w:spacing w:before="0"/>
      </w:pPr>
      <w:r>
        <w:t>Veidnē “Z 07.03 — pamatdarbības virzienu sasaistīšana ar juridiskajām personām (FUNC 3)” sniegts pilnīgs pamatdarbības virzienu saraksts, un tie sasaistīti ar juridiskajām personām.</w:t>
      </w:r>
    </w:p>
    <w:p w14:paraId="7FE1B8CD" w14:textId="780FA7AD" w:rsidR="00952395" w:rsidRDefault="0083775C">
      <w:pPr>
        <w:pStyle w:val="P68B1DB1-InstructionsText26"/>
        <w:numPr>
          <w:ilvl w:val="0"/>
          <w:numId w:val="153"/>
        </w:numPr>
        <w:spacing w:before="0"/>
      </w:pPr>
      <w:r>
        <w:t xml:space="preserve">Veidnē “Z 07.04 — ekonomiski svarīgo funkciju sasaistīšana ar pamatdarbības virzieniem (FUNC 4)” identificētās ekonomiski svarīgās funkcijas ir sasaistītas ar pamatdarbības virzieniem. </w:t>
      </w:r>
    </w:p>
    <w:p w14:paraId="7FE1B8CE" w14:textId="0BA07F41" w:rsidR="00952395" w:rsidRDefault="0083775C">
      <w:pPr>
        <w:pStyle w:val="P68B1DB1-InstructionsText26"/>
        <w:numPr>
          <w:ilvl w:val="0"/>
          <w:numId w:val="232"/>
        </w:numPr>
        <w:spacing w:before="0"/>
      </w:pPr>
      <w:r>
        <w:t xml:space="preserve">Saskaņā ar Direktīvas 2014/59/ES 2. panta 1. punkta 35. apakšpunktu “kritiski svarīgas funkcijas” ir darbības, pakalpojumi vai operācijas, kuru pārtraukšana, iespējams, vienā vai vairākās dalībvalstīs izraisīs reālajai ekonomikai būtisku pakalpojumu sniegšanas traucējumus vai izjauks finanšu stabilitāti kādas iestādes vai grupas lieluma, tirgus daļas, ārējās un iekšējās savstarpējās saiknes, sarežģītības vai pārrobežu darbību dēļ, īpaši ņemot vērā šo darbību, pakalpojumu un operāciju aizstājamību. </w:t>
      </w:r>
    </w:p>
    <w:p w14:paraId="7FE1B8D0" w14:textId="77777777" w:rsidR="00952395" w:rsidRDefault="0083775C">
      <w:pPr>
        <w:pStyle w:val="P68B1DB1-InstructionsText26"/>
        <w:numPr>
          <w:ilvl w:val="0"/>
          <w:numId w:val="232"/>
        </w:numPr>
        <w:spacing w:before="0"/>
      </w:pPr>
      <w:r>
        <w:lastRenderedPageBreak/>
        <w:t>Saskaņā ar Komisijas Regulas (ES) 2016/778 6. panta 1. punktu</w:t>
      </w:r>
      <w:r>
        <w:footnoteReference w:id="18"/>
      </w:r>
      <w:r>
        <w:t>funkciju uzskata par kritiski svarīgu, ja tā atbilst abiem turpmāk minētajiem kritērijiem:</w:t>
      </w:r>
    </w:p>
    <w:p w14:paraId="7FE1B8D1" w14:textId="77777777" w:rsidR="00952395" w:rsidRDefault="0083775C">
      <w:pPr>
        <w:pStyle w:val="P68B1DB1-Normal3"/>
        <w:numPr>
          <w:ilvl w:val="0"/>
          <w:numId w:val="56"/>
        </w:numPr>
        <w:spacing w:line="276" w:lineRule="auto"/>
        <w:contextualSpacing/>
        <w:jc w:val="both"/>
      </w:pPr>
      <w:r>
        <w:t>iestāde funkciju nodrošina trešām personām, kas nav saistītas ar iestādi vai grupu; kā arī</w:t>
      </w:r>
    </w:p>
    <w:p w14:paraId="7FE1B8D2" w14:textId="77777777" w:rsidR="00952395" w:rsidRDefault="0083775C">
      <w:pPr>
        <w:pStyle w:val="P68B1DB1-Normal3"/>
        <w:numPr>
          <w:ilvl w:val="0"/>
          <w:numId w:val="56"/>
        </w:numPr>
        <w:spacing w:line="276" w:lineRule="auto"/>
        <w:contextualSpacing/>
        <w:jc w:val="both"/>
        <w:rPr>
          <w:i/>
        </w:rPr>
      </w:pPr>
      <w:r>
        <w:t>pēkšņa pārtraukšana, visticamāk, radītu būtisku negatīvu ietekmi uz trešajām personām, radītu kaitīgu ietekmi vai apdraudētu tirgus dalībnieku vispārējo uzticēšanos saistībā ar attiecīgās funkcijas sistēmisku nozīmību trešajām personām un sistēmisku nozīmību iestādei vai grupai, kas nodrošina šo funkciju.</w:t>
      </w:r>
    </w:p>
    <w:p w14:paraId="7FE1B8D3" w14:textId="6B4413EC" w:rsidR="00952395" w:rsidRDefault="0083775C">
      <w:pPr>
        <w:pStyle w:val="P68B1DB1-InstructionsText26"/>
        <w:numPr>
          <w:ilvl w:val="0"/>
          <w:numId w:val="232"/>
        </w:numPr>
        <w:spacing w:before="0"/>
      </w:pPr>
      <w:r>
        <w:t>Saskaņā ar Direktīvas 2014/59/ES 2. panta 1. punkta 36. apakšpunktu “pamatdarbības virzieni (galvenās darbības jomas)” ir “darbības jomas un saistītie pakalpojumi, kas ir svarīgs iestādes vai grupas, kuras sastāvā ietilpst iestāde, ienākumu, peļņas vai franšīzes vērtības avots”.</w:t>
      </w:r>
    </w:p>
    <w:p w14:paraId="7FE1B8D4" w14:textId="77777777" w:rsidR="00952395" w:rsidRDefault="0083775C">
      <w:pPr>
        <w:pStyle w:val="P68B1DB1-InstructionsText26"/>
        <w:numPr>
          <w:ilvl w:val="0"/>
          <w:numId w:val="232"/>
        </w:numPr>
        <w:spacing w:before="0"/>
      </w:pPr>
      <w:r>
        <w:t>Šīs veidnes nolūkā ekonomiskās funkcijas nozīmē turpmāk sniegtajā tabulā norādītās funkcijas.</w:t>
      </w:r>
    </w:p>
    <w:p w14:paraId="7FE1B8D5" w14:textId="77777777" w:rsidR="00952395" w:rsidRDefault="0083775C">
      <w:pPr>
        <w:pStyle w:val="P68B1DB1-InstructionsText26"/>
        <w:numPr>
          <w:ilvl w:val="0"/>
          <w:numId w:val="232"/>
        </w:numPr>
        <w:spacing w:before="0"/>
      </w:pPr>
      <w:r>
        <w:t>Katrai ekonomisko funkciju kategorijai var izvēlēties ekonomisko funkciju “cita”, ja funkcija nav ietverta pārējās iepriekš noteiktajās funkcijās.</w:t>
      </w:r>
    </w:p>
    <w:p w14:paraId="7FE1B8D6" w14:textId="77777777" w:rsidR="00952395" w:rsidRDefault="0083775C">
      <w:pPr>
        <w:pStyle w:val="P68B1DB1-InstructionsText26"/>
        <w:numPr>
          <w:ilvl w:val="0"/>
          <w:numId w:val="232"/>
        </w:numPr>
        <w:spacing w:before="0"/>
      </w:pPr>
      <w:r>
        <w:t>0010.–0070. un 0080.–0150. rindās minētos darījumu partnerus nosaka identiski darījumu partneru sektoriem, kas noteikti FINREP V pielikuma 1. daļas 6. nodaļā. “MVU” ir MVU, kā noteikts FINREP V pielikuma 1. daļas 5. punkta i) apakšpunktā.</w:t>
      </w:r>
    </w:p>
    <w:p w14:paraId="7FE1B8D7" w14:textId="4FEDF533" w:rsidR="00952395" w:rsidRDefault="0083775C">
      <w:pPr>
        <w:pStyle w:val="P68B1DB1-InstructionsText229"/>
        <w:numPr>
          <w:ilvl w:val="0"/>
          <w:numId w:val="0"/>
        </w:numPr>
        <w:rPr>
          <w:sz w:val="20"/>
          <w:szCs w:val="20"/>
        </w:rPr>
      </w:pPr>
      <w:r>
        <w:rPr>
          <w:sz w:val="20"/>
          <w:szCs w:val="20"/>
        </w:rPr>
        <w:t>Katrai ekonomisko funkciju kategorijai ir paredzēta atsevišķa cilne.</w:t>
      </w:r>
      <w:r>
        <w:t xml:space="preserve"> </w:t>
      </w:r>
    </w:p>
    <w:p w14:paraId="072982A7" w14:textId="0688FD4A" w:rsidR="00952395" w:rsidRDefault="0083775C">
      <w:pPr>
        <w:spacing w:after="200" w:line="276" w:lineRule="auto"/>
      </w:pPr>
      <w:r>
        <w:br w:type="page"/>
      </w:r>
    </w:p>
    <w:p w14:paraId="7FE1B95D" w14:textId="634EB818" w:rsidR="00952395" w:rsidRDefault="00952395">
      <w:pPr>
        <w:pStyle w:val="InstructionsText2"/>
        <w:numPr>
          <w:ilvl w:val="0"/>
          <w:numId w:val="0"/>
        </w:numPr>
        <w:rPr>
          <w:rFonts w:ascii="Times New Roman" w:hAnsi="Times New Roman" w:cs="Times New Roman"/>
          <w:color w:val="000000" w:themeColor="text1"/>
        </w:rPr>
      </w:pPr>
    </w:p>
    <w:p w14:paraId="7FE1B95E" w14:textId="77777777" w:rsidR="00952395" w:rsidRDefault="0083775C">
      <w:pPr>
        <w:pStyle w:val="P68B1DB1-Instructionsberschrift25"/>
        <w:numPr>
          <w:ilvl w:val="1"/>
          <w:numId w:val="49"/>
        </w:numPr>
        <w:ind w:left="357" w:hanging="357"/>
      </w:pPr>
      <w:bookmarkStart w:id="105" w:name="_Toc208244954"/>
      <w:r>
        <w:t>Z 07.01 — ekonomisko funkciju kritiskā svarīguma novērtējums (FUNC 1)</w:t>
      </w:r>
      <w:bookmarkEnd w:id="105"/>
    </w:p>
    <w:p w14:paraId="7FE1B960" w14:textId="7174EDC4" w:rsidR="00952395" w:rsidRDefault="0083775C">
      <w:pPr>
        <w:pStyle w:val="P68B1DB1-Instructionsberschrift25"/>
      </w:pPr>
      <w:r>
        <w:t xml:space="preserve"> </w:t>
      </w:r>
      <w:bookmarkStart w:id="106" w:name="_Toc172723210"/>
      <w:bookmarkEnd w:id="106"/>
    </w:p>
    <w:p w14:paraId="7FE1B961" w14:textId="77777777" w:rsidR="00952395" w:rsidRDefault="0083775C">
      <w:pPr>
        <w:pStyle w:val="P68B1DB1-body30"/>
      </w:pPr>
      <w:bookmarkStart w:id="107" w:name="_Toc164263845"/>
      <w:r>
        <w:t>Norādījumi attiecībā uz konkrētām pozīcijām</w:t>
      </w:r>
      <w:bookmarkEnd w:id="107"/>
    </w:p>
    <w:p w14:paraId="7FE1B963" w14:textId="77777777" w:rsidR="00952395" w:rsidRDefault="0083775C">
      <w:pPr>
        <w:pStyle w:val="P68B1DB1-InstructionsText26"/>
        <w:numPr>
          <w:ilvl w:val="0"/>
          <w:numId w:val="232"/>
        </w:numPr>
        <w:spacing w:before="0"/>
      </w:pPr>
      <w:r>
        <w:t>Šo veidni iesniedz vienu reizi par katru dalībvalsti (identificēta kā “valsts”), kurā grupa veic darbību. Visos gadījumos (neatkarīgi no ievešanas punkta) filiāles apkopo tās valsts ziņojumā, kurā tās sniedz pakalpojumus.</w:t>
      </w:r>
    </w:p>
    <w:p w14:paraId="7FE1B964" w14:textId="77777777" w:rsidR="00952395" w:rsidRDefault="0083775C">
      <w:pPr>
        <w:pStyle w:val="P68B1DB1-InstructionsText26"/>
        <w:numPr>
          <w:ilvl w:val="0"/>
          <w:numId w:val="232"/>
        </w:numPr>
        <w:spacing w:before="0"/>
      </w:pPr>
      <w:r>
        <w:t>Tā aptver visas ekonomiskās funkcijas, ko jebkura grupas vienība veic attiecīgajā dalībvalstī, neatkarīgi no tā, vai attiecīgā funkcija ir vai nav kritiski svarīga.</w:t>
      </w:r>
    </w:p>
    <w:p w14:paraId="7FE1B965" w14:textId="2359C381" w:rsidR="00952395" w:rsidRDefault="0083775C">
      <w:pPr>
        <w:pStyle w:val="P68B1DB1-InstructionsText26"/>
        <w:numPr>
          <w:ilvl w:val="0"/>
          <w:numId w:val="232"/>
        </w:numPr>
      </w:pPr>
      <w:r>
        <w:t>Reģionālie ziņojumi (tikai attiecīgā gadījumā)</w:t>
      </w:r>
    </w:p>
    <w:p w14:paraId="7FE1B966" w14:textId="226CA454" w:rsidR="00952395" w:rsidRDefault="0083775C">
      <w:pPr>
        <w:pStyle w:val="P68B1DB1-InstructionsText26"/>
        <w:numPr>
          <w:ilvl w:val="0"/>
          <w:numId w:val="0"/>
        </w:numPr>
        <w:ind w:left="1440"/>
      </w:pPr>
      <w:r>
        <w:t>Lai iegūtu informāciju reģiona līmenī, definējiet reģionu. Norāda reģiona nosaukumu brīvā tekstā, izmantojot šādu konvenciju:</w:t>
      </w:r>
    </w:p>
    <w:p w14:paraId="7FE1B967" w14:textId="5BD4C7F8" w:rsidR="00952395" w:rsidRDefault="0083775C">
      <w:pPr>
        <w:pStyle w:val="P68B1DB1-InstructionsText26"/>
        <w:numPr>
          <w:ilvl w:val="0"/>
          <w:numId w:val="0"/>
        </w:numPr>
        <w:ind w:left="1440" w:firstLine="18"/>
      </w:pPr>
      <w:r>
        <w:t>Dalībvalsts — reģiona nosaukums. Dalībvalstu nosaukumam izmanto attiecīgo divu burtu saīsinājumu. Reģiona nosaukumam izmanto kodu vai kodus NUTS 2021 klasifikācijā.</w:t>
      </w:r>
    </w:p>
    <w:p w14:paraId="7FE1B968" w14:textId="77777777" w:rsidR="00952395" w:rsidRDefault="00952395">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52395"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952395" w:rsidRDefault="0083775C">
            <w:pPr>
              <w:pStyle w:val="P68B1DB1-TableParagraph17"/>
              <w:spacing w:before="108"/>
              <w:ind w:left="85"/>
              <w:jc w:val="both"/>
            </w:pPr>
            <w:r>
              <w:t>Rindas</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952395" w:rsidRDefault="0083775C">
            <w:pPr>
              <w:pStyle w:val="P68B1DB1-TableParagraph17"/>
              <w:spacing w:before="108"/>
              <w:ind w:left="85" w:right="1"/>
              <w:jc w:val="both"/>
            </w:pPr>
            <w:r>
              <w:t>Ekonomiskā funkcija</w:t>
            </w:r>
          </w:p>
        </w:tc>
      </w:tr>
      <w:tr w:rsidR="00952395" w14:paraId="7FE1B970" w14:textId="77777777">
        <w:tc>
          <w:tcPr>
            <w:tcW w:w="9083" w:type="dxa"/>
            <w:gridSpan w:val="2"/>
            <w:tcBorders>
              <w:top w:val="single" w:sz="4" w:space="0" w:color="1A171C"/>
              <w:left w:val="nil"/>
              <w:bottom w:val="single" w:sz="4" w:space="0" w:color="1A171C"/>
            </w:tcBorders>
          </w:tcPr>
          <w:p w14:paraId="7FE1B96C" w14:textId="0D085442" w:rsidR="00952395" w:rsidRDefault="0083775C">
            <w:pPr>
              <w:pStyle w:val="P68B1DB1-TableParagraph16"/>
              <w:spacing w:before="108"/>
              <w:ind w:left="85"/>
              <w:jc w:val="both"/>
              <w:rPr>
                <w:b/>
                <w:bCs/>
                <w:color w:val="000000" w:themeColor="text1"/>
                <w:sz w:val="20"/>
                <w:szCs w:val="20"/>
              </w:rPr>
            </w:pPr>
            <w:r>
              <w:t>Z 07.01.1 FUNC 1 DEP</w:t>
            </w:r>
          </w:p>
          <w:p w14:paraId="7FE1B96D" w14:textId="77777777" w:rsidR="00952395" w:rsidRDefault="0083775C">
            <w:pPr>
              <w:pStyle w:val="P68B1DB1-TableParagraph17"/>
              <w:spacing w:before="108"/>
              <w:ind w:left="85"/>
            </w:pPr>
            <w:r>
              <w:t xml:space="preserve">Noguldījumu pieņemšana ir noguldījumu pieņemšana no nefinanšu starpniekiem. Tā neietver aizņēmumus no citiem finanšu starpniekiem, kas tiek uzskatīti atsevišķi sadaļā “korporatīvais finansējums”. </w:t>
            </w:r>
          </w:p>
          <w:p w14:paraId="7FE1B96E" w14:textId="77777777" w:rsidR="00952395" w:rsidRDefault="0083775C">
            <w:pPr>
              <w:pStyle w:val="P68B1DB1-TableParagraph17"/>
              <w:spacing w:before="108"/>
              <w:ind w:left="85"/>
            </w:pPr>
            <w:r>
              <w:t>Noguldījumi ietver: i) norēķinu kontus/noguldījumus uz nakti, ii) termiņnoguldījumus un iii) noguldījumus ar brīdinājuma termiņu par izņemšanu, un neietver līgumus par aktīvu pārdošanu ar atpirkšanu.</w:t>
            </w:r>
          </w:p>
          <w:p w14:paraId="7FE1B96F" w14:textId="77777777" w:rsidR="00952395" w:rsidRDefault="0083775C">
            <w:pPr>
              <w:pStyle w:val="P68B1DB1-TableParagraph13"/>
              <w:spacing w:before="108"/>
              <w:ind w:left="85"/>
              <w:rPr>
                <w:rFonts w:eastAsia="Cambria"/>
              </w:rPr>
            </w:pPr>
            <w:r>
              <w:t>Atsauces FSP norādījumi par kritiski svarīgu funkciju un kritiski svarīgu dalīto pakalpojumu identifikāciju (“Guidance on Identification of Critical Functions and Critical Shared Services”) (2013.g.), 14. lpp.; Regulas (ES) 2021/379 II pielikuma 2. daļas 9.1., 9.2. un 9.3. postenis.</w:t>
            </w:r>
          </w:p>
        </w:tc>
      </w:tr>
      <w:tr w:rsidR="00952395"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952395" w:rsidRDefault="0083775C">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952395" w:rsidRDefault="0083775C">
            <w:pPr>
              <w:pStyle w:val="P68B1DB1-TableParagraph14"/>
              <w:spacing w:before="108"/>
              <w:ind w:left="85"/>
              <w:jc w:val="both"/>
              <w:rPr>
                <w:rFonts w:eastAsia="Cambria"/>
              </w:rPr>
            </w:pPr>
            <w:r>
              <w:t>Mājsaimniecības</w:t>
            </w:r>
          </w:p>
        </w:tc>
      </w:tr>
      <w:tr w:rsidR="00952395"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952395" w:rsidRDefault="0083775C">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952395" w:rsidRDefault="0083775C">
            <w:pPr>
              <w:pStyle w:val="P68B1DB1-TableParagraph14"/>
              <w:spacing w:before="108"/>
              <w:ind w:left="85"/>
              <w:jc w:val="both"/>
              <w:rPr>
                <w:rFonts w:eastAsia="Cambria"/>
              </w:rPr>
            </w:pPr>
            <w:r>
              <w:t>Nefinanšu sabiedrības (MVU)</w:t>
            </w:r>
          </w:p>
        </w:tc>
      </w:tr>
      <w:tr w:rsidR="00952395"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952395" w:rsidRDefault="0083775C">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952395" w:rsidRDefault="0083775C">
            <w:pPr>
              <w:pStyle w:val="P68B1DB1-TableParagraph14"/>
              <w:spacing w:before="108"/>
              <w:ind w:left="85"/>
              <w:jc w:val="both"/>
              <w:rPr>
                <w:rFonts w:eastAsia="Cambria"/>
              </w:rPr>
            </w:pPr>
            <w:r>
              <w:t>Nefinanšu sabiedrības (kas nav MVU)</w:t>
            </w:r>
          </w:p>
        </w:tc>
      </w:tr>
      <w:tr w:rsidR="00952395"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952395" w:rsidRDefault="0083775C">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952395" w:rsidRDefault="0083775C">
            <w:pPr>
              <w:pStyle w:val="P68B1DB1-TableParagraph14"/>
              <w:spacing w:before="108"/>
              <w:ind w:left="85"/>
              <w:jc w:val="both"/>
              <w:rPr>
                <w:rFonts w:eastAsia="Cambria"/>
              </w:rPr>
            </w:pPr>
            <w:r>
              <w:t>Vispārējās valdības</w:t>
            </w:r>
          </w:p>
        </w:tc>
      </w:tr>
      <w:tr w:rsidR="00952395"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952395" w:rsidRDefault="0083775C">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952395" w:rsidRDefault="0083775C">
            <w:pPr>
              <w:pStyle w:val="P68B1DB1-TableParagraph14"/>
              <w:spacing w:before="108"/>
              <w:ind w:left="85"/>
              <w:jc w:val="both"/>
              <w:rPr>
                <w:rFonts w:eastAsia="Cambria"/>
              </w:rPr>
            </w:pPr>
            <w:r>
              <w:t>Citi sektori/darījumu partneri (1), (2) un (3)</w:t>
            </w:r>
          </w:p>
        </w:tc>
      </w:tr>
      <w:tr w:rsidR="00952395" w14:paraId="7FE1B983" w14:textId="77777777">
        <w:tc>
          <w:tcPr>
            <w:tcW w:w="9083" w:type="dxa"/>
            <w:gridSpan w:val="2"/>
            <w:tcBorders>
              <w:top w:val="single" w:sz="4" w:space="0" w:color="1A171C"/>
              <w:left w:val="nil"/>
              <w:bottom w:val="single" w:sz="4" w:space="0" w:color="1A171C"/>
            </w:tcBorders>
          </w:tcPr>
          <w:p w14:paraId="7FE1B980" w14:textId="13950F51" w:rsidR="00952395" w:rsidRDefault="0083775C">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952395" w:rsidRDefault="0083775C">
            <w:pPr>
              <w:pStyle w:val="P68B1DB1-TableParagraph17"/>
              <w:spacing w:before="108"/>
              <w:ind w:left="85"/>
            </w:pPr>
            <w:r>
              <w:t>Aizdevumu sniegšana ir līdzekļu piešķiršana nefinanšu darījumu partneriem, piemēram, korporatīvajiem vai privātajiem klientiem. Aizdevumu sniegšana finanšu darījumu partneriem ir atsevišķa darbība un tiek vērtēta sadaļā “korporatīvais finansējums”. Aizdevumi ietver iestāžu turētos parāda instrumentus, taču neietver parāda instrumentus, kas ir vērtspapīri, neatkarīgi no to uzskaites klasifikācijas (piem., turēti līdz termiņa beigām vai pieejami pārdošanai).</w:t>
            </w:r>
          </w:p>
          <w:p w14:paraId="7FE1B982" w14:textId="77777777" w:rsidR="00952395" w:rsidRDefault="0083775C">
            <w:pPr>
              <w:pStyle w:val="P68B1DB1-TableParagraph13"/>
              <w:spacing w:before="108"/>
              <w:ind w:left="85"/>
              <w:rPr>
                <w:rFonts w:eastAsia="Cambria"/>
              </w:rPr>
            </w:pPr>
            <w:r>
              <w:t>Atsauces FSP norādījumi par kritiski svarīgu funkciju un kritiski svarīgu dalīto pakalpojumu identifikāciju (“Guidance on Identification of Critical Functions and Critical Shared Services”) (2013.g.), 17. lpp.; Regulas (ES) 2021/379 II pielikuma 2. daļas 2. postenis.</w:t>
            </w:r>
          </w:p>
        </w:tc>
      </w:tr>
      <w:tr w:rsidR="00952395"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952395" w:rsidRDefault="0083775C">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952395" w:rsidRDefault="0083775C">
            <w:pPr>
              <w:pStyle w:val="P68B1DB1-TableParagraph14"/>
              <w:spacing w:before="108"/>
              <w:ind w:left="85"/>
              <w:jc w:val="both"/>
              <w:rPr>
                <w:bCs/>
              </w:rPr>
            </w:pPr>
            <w:r>
              <w:t>Mājsaimniecības — aizdevumi mājas iegādei</w:t>
            </w:r>
          </w:p>
          <w:p w14:paraId="7FE1B986" w14:textId="77777777" w:rsidR="00952395" w:rsidRDefault="0083775C">
            <w:pPr>
              <w:pStyle w:val="P68B1DB1-TableParagraph17"/>
              <w:spacing w:before="108"/>
              <w:ind w:left="85"/>
            </w:pPr>
            <w:r>
              <w:t>Nodrošinātie aizdevumi mājsaimniecībām, kuru nodrošinājums ir īpašums</w:t>
            </w:r>
          </w:p>
        </w:tc>
      </w:tr>
      <w:tr w:rsidR="00952395"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952395" w:rsidRDefault="0083775C">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952395" w:rsidRDefault="0083775C">
            <w:pPr>
              <w:pStyle w:val="P68B1DB1-TableParagraph14"/>
              <w:spacing w:before="108"/>
              <w:ind w:left="85"/>
              <w:jc w:val="both"/>
              <w:rPr>
                <w:bCs/>
              </w:rPr>
            </w:pPr>
            <w:r>
              <w:t>Mājsaimniecības — citi aizdevumi</w:t>
            </w:r>
          </w:p>
        </w:tc>
      </w:tr>
      <w:tr w:rsidR="00952395"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952395" w:rsidRDefault="0083775C">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952395" w:rsidRDefault="0083775C">
            <w:pPr>
              <w:pStyle w:val="P68B1DB1-TableParagraph14"/>
              <w:spacing w:before="108"/>
              <w:ind w:left="85"/>
              <w:jc w:val="both"/>
              <w:rPr>
                <w:bCs/>
              </w:rPr>
            </w:pPr>
            <w:r>
              <w:t>Nefinanšu sabiedrības — MVU</w:t>
            </w:r>
          </w:p>
        </w:tc>
      </w:tr>
      <w:tr w:rsidR="00952395"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952395" w:rsidRDefault="0083775C">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952395" w:rsidRDefault="0083775C">
            <w:pPr>
              <w:pStyle w:val="P68B1DB1-TableParagraph14"/>
              <w:spacing w:before="108"/>
              <w:ind w:left="85"/>
              <w:jc w:val="both"/>
              <w:rPr>
                <w:bCs/>
              </w:rPr>
            </w:pPr>
            <w:r>
              <w:t>Nefinanšu sabiedrības, kas nav MVU</w:t>
            </w:r>
          </w:p>
        </w:tc>
      </w:tr>
      <w:tr w:rsidR="00952395"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952395" w:rsidRDefault="0083775C">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952395" w:rsidRDefault="0083775C">
            <w:pPr>
              <w:pStyle w:val="P68B1DB1-TableParagraph14"/>
              <w:spacing w:before="108"/>
              <w:ind w:left="85"/>
              <w:jc w:val="both"/>
              <w:rPr>
                <w:bCs/>
              </w:rPr>
            </w:pPr>
            <w:r>
              <w:t>Vispārējās valdības</w:t>
            </w:r>
          </w:p>
        </w:tc>
      </w:tr>
      <w:tr w:rsidR="00952395"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952395" w:rsidRDefault="0083775C">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952395" w:rsidRDefault="0083775C">
            <w:pPr>
              <w:pStyle w:val="P68B1DB1-TableParagraph14"/>
              <w:spacing w:before="108"/>
              <w:ind w:left="85"/>
              <w:jc w:val="both"/>
              <w:rPr>
                <w:rFonts w:eastAsia="Cambria"/>
              </w:rPr>
            </w:pPr>
            <w:r>
              <w:t>Citi sektori/darījumu partneri (1), (2) un (3)</w:t>
            </w:r>
          </w:p>
        </w:tc>
      </w:tr>
      <w:tr w:rsidR="00952395" w14:paraId="7FE1B99C" w14:textId="77777777">
        <w:tc>
          <w:tcPr>
            <w:tcW w:w="9083" w:type="dxa"/>
            <w:gridSpan w:val="2"/>
            <w:tcBorders>
              <w:top w:val="single" w:sz="4" w:space="0" w:color="1A171C"/>
              <w:left w:val="nil"/>
              <w:bottom w:val="single" w:sz="4" w:space="0" w:color="1A171C"/>
            </w:tcBorders>
          </w:tcPr>
          <w:p w14:paraId="7FE1B997" w14:textId="587957C3" w:rsidR="00952395" w:rsidRDefault="0083775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ALGA</w:t>
            </w:r>
            <w:r>
              <w:rPr>
                <w:rFonts w:ascii="Times New Roman" w:eastAsia="Cambria" w:hAnsi="Times New Roman" w:cs="Times New Roman"/>
                <w:color w:val="000000" w:themeColor="text1"/>
                <w:sz w:val="20"/>
                <w:szCs w:val="20"/>
              </w:rPr>
              <w:t xml:space="preserve"> </w:t>
            </w:r>
          </w:p>
          <w:p w14:paraId="7FE1B998" w14:textId="77777777" w:rsidR="00952395" w:rsidRDefault="0083775C">
            <w:pPr>
              <w:pStyle w:val="P68B1DB1-TableParagraph13"/>
              <w:spacing w:before="108"/>
              <w:ind w:left="85"/>
              <w:jc w:val="both"/>
              <w:rPr>
                <w:rFonts w:eastAsia="Cambria"/>
              </w:rPr>
            </w:pPr>
            <w:r>
              <w:t>Atsauce: FSP norādījumi par kritiski svarīgu funkciju un kritiski svarīgu dalīto pakalpojumu identifikāciju (“Guidance on Identification of Critical Functions and Critical Shared Services”) (2013.g.), 20. lpp.</w:t>
            </w:r>
          </w:p>
          <w:p w14:paraId="7FE1B999" w14:textId="77777777" w:rsidR="00952395" w:rsidRDefault="0083775C">
            <w:pPr>
              <w:pStyle w:val="P68B1DB1-TableParagraph13"/>
              <w:spacing w:before="108"/>
              <w:ind w:left="85"/>
              <w:jc w:val="both"/>
              <w:rPr>
                <w:rFonts w:eastAsia="Cambria"/>
              </w:rPr>
            </w:pPr>
            <w:r>
              <w:t xml:space="preserve">Šajā sadaļā iekļautās ekonomiskās funkcijas ir maksājumu, skaidras naudas, norēķinu, tīrvērtes un kontu turēšanas pakalpojumi, ko kredītiestāde sniedz kā starpnieks starp saviem klientiem vai kā starpnieks starp klientu un vienu vai vairākām attiecīgajām finanšu tirgus infrastruktūrām, vai (netiešas) piekļuves finanšu tirgus infrastruktūrām sniegšana citām bankām. Saskaņā ar FSP norādījumiem par kritiski svarīgu funkciju un kritiski svarīgu dalīto pakalpojumu identifikāciju maksājumu, tīrvērtes un norēķinu </w:t>
            </w:r>
            <w:r>
              <w:t>funkcija attiecas tikai uz pakalpojumiem, ko bankas sniedz saviem klientiem. Šī kategorija neietver pakalpojumus, ko sniedz (tikai) finanšu tirgus infrastruktūras nodrošinātāji. Šīs veidnes nolūkā finanšu tirgus infrastruktūras ietver maksājumu sistēmas, vērtspapīru norēķinu sistēmas, centrālos vērtspapīru depozitārijus un centrālos darījumu partnerus (un neietver darījumu reģistrus).</w:t>
            </w:r>
          </w:p>
          <w:p w14:paraId="7FE1B99A" w14:textId="77777777" w:rsidR="00952395" w:rsidRDefault="0083775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“Maksājumu pakalpojums”, “maksājumu darījums” un “maksājumu sistēma” nozīmē vienu un to pašu, kā attiecīgi definēts DIREKTĪVAS 2015/2366 par maksājumu pakalpojumiem iekšējā tirgū 4. panta 3., 5. un 7. punktā</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952395" w:rsidRDefault="00952395">
            <w:pPr>
              <w:pStyle w:val="TableParagraph"/>
              <w:spacing w:before="108"/>
              <w:ind w:left="85"/>
              <w:jc w:val="both"/>
              <w:rPr>
                <w:rFonts w:ascii="Times New Roman" w:eastAsia="Cambria" w:hAnsi="Times New Roman" w:cs="Times New Roman"/>
                <w:color w:val="000000" w:themeColor="text1"/>
                <w:sz w:val="20"/>
                <w:szCs w:val="20"/>
              </w:rPr>
            </w:pPr>
          </w:p>
        </w:tc>
      </w:tr>
      <w:tr w:rsidR="00952395"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952395" w:rsidRDefault="0083775C">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952395" w:rsidRDefault="0083775C">
            <w:pPr>
              <w:pStyle w:val="P68B1DB1-TableParagraph14"/>
              <w:spacing w:before="108"/>
              <w:ind w:left="85"/>
              <w:jc w:val="both"/>
              <w:rPr>
                <w:bCs/>
              </w:rPr>
            </w:pPr>
            <w:r>
              <w:t>Maksājumu pakalpojumi monetārām finanšu iestādēm</w:t>
            </w:r>
          </w:p>
          <w:p w14:paraId="7FE1B99F" w14:textId="77777777" w:rsidR="00952395" w:rsidRDefault="0083775C">
            <w:pPr>
              <w:pStyle w:val="P68B1DB1-TableParagraph17"/>
              <w:spacing w:before="108"/>
              <w:ind w:left="85"/>
              <w:jc w:val="both"/>
            </w:pPr>
            <w:r>
              <w:t>Šī rinda ietver maksājumu pakalpojumus, kas sniegti monetārām finanšu iestādēm, izmantojot vai neizmantojot ārējas maksājumu sistēmas. Tie arī ietver korespondentbanku pakalpojumus (ar tiem saistītus maksājumus). Monetārās finanšu iestādes ir visas institucionālās vienības, kas ietvertas apakšsektoros: centrālā banka; noguldījumus pieņemošas sabiedrības, izņemot centrālo banku; un iii) naudas tirgus fondi.</w:t>
            </w:r>
          </w:p>
        </w:tc>
      </w:tr>
      <w:tr w:rsidR="00952395"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952395" w:rsidRDefault="0083775C">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952395" w:rsidRDefault="0083775C">
            <w:pPr>
              <w:pStyle w:val="P68B1DB1-TableParagraph14"/>
              <w:spacing w:before="108"/>
              <w:ind w:left="85"/>
              <w:jc w:val="both"/>
              <w:rPr>
                <w:bCs/>
              </w:rPr>
            </w:pPr>
            <w:r>
              <w:t>Maksājumu pakalpojumi nemonetārām finanšu iestādēm</w:t>
            </w:r>
          </w:p>
          <w:p w14:paraId="7FE1B9A3" w14:textId="77777777" w:rsidR="00952395" w:rsidRDefault="0083775C">
            <w:pPr>
              <w:pStyle w:val="P68B1DB1-TableParagraph17"/>
              <w:spacing w:before="108"/>
              <w:ind w:left="85"/>
            </w:pPr>
            <w:r>
              <w:t>Maksājumu pakalpojumi, kas sniegti klientiem, izmantojot vai neizmantojot ārējas maksājumu sistēmas. Tas ietver tikai monetāro finanšu iestāžu sektoram nepiederošas fiziskas vai juridiskas personas. No nemonetāru finanšu iestāžu sektora ir izslēgti arī maksājumu pakalpojumu sniedzēji.</w:t>
            </w:r>
          </w:p>
          <w:p w14:paraId="7FE1B9A4" w14:textId="77777777" w:rsidR="00952395" w:rsidRDefault="0083775C">
            <w:pPr>
              <w:pStyle w:val="P68B1DB1-TableParagraph17"/>
              <w:spacing w:before="108"/>
              <w:ind w:left="85"/>
            </w:pPr>
            <w:r>
              <w:t>Funkcija papildus ir iedalīta 3 apakšfunkcijās:</w:t>
            </w:r>
          </w:p>
          <w:p w14:paraId="7FE1B9A5" w14:textId="77777777" w:rsidR="00952395" w:rsidRDefault="0083775C">
            <w:pPr>
              <w:pStyle w:val="P68B1DB1-TableParagraph17"/>
              <w:spacing w:before="108"/>
              <w:ind w:left="85"/>
            </w:pPr>
            <w:r>
              <w:t>(1) Mājsaimniecības</w:t>
            </w:r>
          </w:p>
          <w:p w14:paraId="7FE1B9A6" w14:textId="77777777" w:rsidR="00952395" w:rsidRDefault="0083775C">
            <w:pPr>
              <w:pStyle w:val="P68B1DB1-TableParagraph17"/>
              <w:spacing w:before="108"/>
              <w:ind w:left="85"/>
            </w:pPr>
            <w:r>
              <w:t>(2) Nefinanšu sabiedrības — MVU</w:t>
            </w:r>
          </w:p>
          <w:p w14:paraId="7FE1B9A7" w14:textId="77777777" w:rsidR="00952395" w:rsidRDefault="0083775C">
            <w:pPr>
              <w:pStyle w:val="P68B1DB1-TableParagraph17"/>
              <w:spacing w:before="108"/>
              <w:ind w:left="85"/>
            </w:pPr>
            <w:r>
              <w:t>(3) Nefinanšu sabiedrības, kas nav MVU</w:t>
            </w:r>
          </w:p>
        </w:tc>
      </w:tr>
      <w:tr w:rsidR="00952395"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952395" w:rsidRDefault="0083775C">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952395" w:rsidRDefault="0083775C">
            <w:pPr>
              <w:pStyle w:val="P68B1DB1-TableParagraph14"/>
              <w:spacing w:before="108"/>
              <w:ind w:left="85"/>
              <w:jc w:val="both"/>
              <w:rPr>
                <w:bCs/>
              </w:rPr>
            </w:pPr>
            <w:r>
              <w:t>Skaidras naudas pakalpojumi</w:t>
            </w:r>
          </w:p>
          <w:p w14:paraId="7FE1B9AB" w14:textId="77777777" w:rsidR="00952395" w:rsidRDefault="0083775C">
            <w:pPr>
              <w:pStyle w:val="P68B1DB1-TableParagraph17"/>
              <w:spacing w:before="108"/>
              <w:ind w:left="85"/>
            </w:pPr>
            <w:r>
              <w:t>Skaidras naudas pakalpojumu sniegšana klientiem (gan individuālajiem, gan korporatīvajiem, tikai nemonetārām finanšu iestādēm). Šādi pakalpojumi ir naudas izņemšana bankas bankomātos un filiālēs un neietver citus skaidras naudas pakalpojumus (piemēram, skaidras naudas pārvadājumus lielajiem mazumtirgotājiem). Tiek iekļauta skaidras naudas izņemšana ar čekiem un filiālēs, izmantojot bankas veidlapas (ja kartes var izmantot kā identifikācijas līdzekļus).</w:t>
            </w:r>
          </w:p>
        </w:tc>
      </w:tr>
      <w:tr w:rsidR="00952395"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952395" w:rsidRDefault="0083775C">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952395" w:rsidRDefault="0083775C">
            <w:pPr>
              <w:pStyle w:val="P68B1DB1-TableParagraph14"/>
              <w:spacing w:before="108"/>
              <w:ind w:left="85"/>
              <w:jc w:val="both"/>
              <w:rPr>
                <w:bCs/>
              </w:rPr>
            </w:pPr>
            <w:r>
              <w:t>Vērtspapīru norēķinu pakalpojumi</w:t>
            </w:r>
          </w:p>
          <w:p w14:paraId="7FE1B9AF" w14:textId="77777777" w:rsidR="00952395" w:rsidRDefault="0083775C">
            <w:pPr>
              <w:pStyle w:val="P68B1DB1-TableParagraph17"/>
              <w:spacing w:before="108"/>
              <w:ind w:left="85"/>
            </w:pPr>
            <w:r>
              <w:t>Pakalpojumi, kas klientiem sniegti vērtspapīru darījumu apstiprināšanai, tīrvērtei un norēķiniem, izmantojot vai neizmantojot vērtspapīru norēķinu sistēmas. “Norēķini” ir jebkur noslēgta vērtspapīru darījuma pabeigšana ar mērķi nokārtot minētā darījuma pušu saistības, pārvedot naudu un/vai vērtspapīrus.</w:t>
            </w:r>
          </w:p>
        </w:tc>
      </w:tr>
      <w:tr w:rsidR="00952395"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952395" w:rsidRDefault="0083775C">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952395" w:rsidRDefault="0083775C">
            <w:pPr>
              <w:pStyle w:val="P68B1DB1-TableParagraph14"/>
              <w:spacing w:before="108"/>
              <w:ind w:left="85"/>
              <w:jc w:val="both"/>
              <w:rPr>
                <w:bCs/>
              </w:rPr>
            </w:pPr>
            <w:r>
              <w:t>CDP tīrvērtes pakalpojumi</w:t>
            </w:r>
          </w:p>
          <w:p w14:paraId="7FE1B9B3" w14:textId="77777777" w:rsidR="00952395" w:rsidRDefault="0083775C">
            <w:pPr>
              <w:pStyle w:val="P68B1DB1-TableParagraph17"/>
              <w:spacing w:before="108"/>
              <w:ind w:left="85"/>
            </w:pPr>
            <w:r>
              <w:t>Klientiem sniegtie vērtspapīru un atvasināto instrumentu tīrvērtes pakalpojumi. Tie arī ietver netiešas piekļuves nodrošināšanu centrālajam darījumu partnerim (CDP).</w:t>
            </w:r>
          </w:p>
        </w:tc>
      </w:tr>
      <w:tr w:rsidR="00952395"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952395" w:rsidRDefault="0083775C">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952395" w:rsidRDefault="0083775C">
            <w:pPr>
              <w:pStyle w:val="P68B1DB1-TableParagraph14"/>
              <w:spacing w:before="108"/>
              <w:ind w:left="85"/>
              <w:jc w:val="both"/>
              <w:rPr>
                <w:bCs/>
              </w:rPr>
            </w:pPr>
            <w:r>
              <w:t>Kontu turēšanas pakalpojumi</w:t>
            </w:r>
          </w:p>
          <w:p w14:paraId="7FE1B9B7" w14:textId="77777777" w:rsidR="00952395" w:rsidRDefault="0083775C">
            <w:pPr>
              <w:pStyle w:val="P68B1DB1-TableParagraph17"/>
              <w:spacing w:before="108"/>
              <w:ind w:left="85"/>
            </w:pPr>
            <w:r>
              <w:t>Finanšu instrumentu kontu turēšana un administrācija klientiem un pakalpojumi saistībā ar glabāšanu, piemēram, skaidras naudas un nodrošinājuma pārvaldība.</w:t>
            </w:r>
          </w:p>
        </w:tc>
      </w:tr>
      <w:tr w:rsidR="00952395"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952395" w:rsidRDefault="0083775C">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952395" w:rsidRDefault="0083775C">
            <w:pPr>
              <w:pStyle w:val="P68B1DB1-TableParagraph14"/>
              <w:spacing w:before="108"/>
              <w:ind w:left="85"/>
              <w:jc w:val="both"/>
              <w:rPr>
                <w:rFonts w:eastAsia="Cambria"/>
              </w:rPr>
            </w:pPr>
            <w:r>
              <w:t>Citi pakalpojumi/darbības/funkcijas (1), (2) un (3)</w:t>
            </w:r>
          </w:p>
        </w:tc>
      </w:tr>
      <w:tr w:rsidR="00952395" w14:paraId="7FE1B9BE" w14:textId="77777777">
        <w:tc>
          <w:tcPr>
            <w:tcW w:w="9083" w:type="dxa"/>
            <w:gridSpan w:val="2"/>
            <w:tcBorders>
              <w:top w:val="single" w:sz="4" w:space="0" w:color="1A171C"/>
              <w:left w:val="nil"/>
              <w:bottom w:val="single" w:sz="4" w:space="0" w:color="1A171C"/>
            </w:tcBorders>
          </w:tcPr>
          <w:p w14:paraId="7FE1B9BC" w14:textId="4228BCAA" w:rsidR="00952395" w:rsidRDefault="0083775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952395" w:rsidRDefault="0083775C">
            <w:pPr>
              <w:pStyle w:val="P68B1DB1-TableParagraph17"/>
              <w:spacing w:before="108"/>
              <w:ind w:left="85"/>
              <w:jc w:val="both"/>
            </w:pPr>
            <w:r>
              <w:t xml:space="preserve">Kapitāla tirgus darbības ir vērtspapīru emitēšana un tirdzniecība, saistītie konsultāciju pakalpojumi un saistītie pakalpojumi, piemēram, specializētie brokera pakalpojumi un tirgus uzturēšana. </w:t>
            </w:r>
          </w:p>
        </w:tc>
      </w:tr>
      <w:tr w:rsidR="00952395"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952395" w:rsidRDefault="0083775C">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952395" w:rsidRDefault="0083775C">
            <w:pPr>
              <w:pStyle w:val="P68B1DB1-TableParagraph14"/>
              <w:spacing w:before="108"/>
              <w:ind w:left="85"/>
              <w:jc w:val="both"/>
              <w:rPr>
                <w:bCs/>
              </w:rPr>
            </w:pPr>
            <w:r>
              <w:t>Tirdzniecības nolūkā turēti atvasinātie finanšu instrumenti (ārpusbiržas)</w:t>
            </w:r>
          </w:p>
          <w:p w14:paraId="7FE1B9C1" w14:textId="2FDAA405" w:rsidR="00952395" w:rsidRDefault="0083775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Regulas (ES) Nr. 648/2012 2. panta 5. un 7. punkts</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952395" w:rsidRDefault="0083775C">
            <w:pPr>
              <w:pStyle w:val="P68B1DB1-TableParagraph17"/>
              <w:spacing w:before="108"/>
              <w:ind w:left="85"/>
            </w:pPr>
            <w:r>
              <w:t>“Atvasinātais instruments” jeb “atvasināto instrumentu līgums” ir finanšu instruments, kas minēts DIREKTĪVAS 2014/65/ES I pielikuma C iedaļas 4. līdz 10. punktā, ko īsteno ar REGULAS (EK) Nr. 1287/2006 38. un 39. pantu.</w:t>
            </w:r>
          </w:p>
          <w:p w14:paraId="7FE1B9C3" w14:textId="583C566B" w:rsidR="00952395" w:rsidRDefault="0083775C">
            <w:pPr>
              <w:pStyle w:val="P68B1DB1-TableParagraph17"/>
              <w:spacing w:before="108"/>
              <w:ind w:left="85"/>
            </w:pPr>
            <w:r>
              <w:t>“Ārpusbiržas atvasinātais instruments” jeb “ārpusbiržas atvasināto instrumentu līgums” ir atvasināto instrumentu līgums, kura izpilde nenotiek regulētā tirgū DIREKTĪVAS 2014/65/ES 4. panta 1. punkta 21. apakšpunkta nozīmē vai trešās valsts tirgū, ko uzskata par līdzvērtīgu regulētam tirgum saskaņā ar REGULAS (ES) Nr. 648/2012 2.a pantu.</w:t>
            </w:r>
          </w:p>
          <w:p w14:paraId="7FE1B9C4" w14:textId="77777777" w:rsidR="00952395" w:rsidRDefault="0083775C">
            <w:pPr>
              <w:pStyle w:val="P68B1DB1-TableParagraph17"/>
              <w:spacing w:before="108"/>
              <w:ind w:left="85"/>
            </w:pPr>
            <w:r>
              <w:t xml:space="preserve">Uzrādāmā summa ietver tikai atvasinātos instrumentus, kas tirgoti ārpusbiržas tirgū. </w:t>
            </w:r>
          </w:p>
        </w:tc>
      </w:tr>
      <w:tr w:rsidR="00952395"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952395" w:rsidRDefault="0083775C">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952395" w:rsidRDefault="0083775C">
            <w:pPr>
              <w:pStyle w:val="P68B1DB1-TableParagraph14"/>
              <w:spacing w:before="108"/>
              <w:ind w:left="85"/>
              <w:jc w:val="both"/>
              <w:rPr>
                <w:bCs/>
              </w:rPr>
            </w:pPr>
            <w:r>
              <w:t>Tirdzniecības nolūkā turēti atvasinātie finanšu instrumenti (biržas)</w:t>
            </w:r>
          </w:p>
          <w:p w14:paraId="7FE1B9C8" w14:textId="77777777" w:rsidR="00952395" w:rsidRDefault="0083775C">
            <w:pPr>
              <w:pStyle w:val="P68B1DB1-TableParagraph17"/>
              <w:spacing w:before="108"/>
              <w:ind w:left="85"/>
            </w:pPr>
            <w:r>
              <w:t xml:space="preserve">Visi tirdzniecības nolūkā turētie atvasinātie finanšu instrumenti, izņemot ārpusbiržas instrumentus, kas turēti tirdzniecības nolūkā. </w:t>
            </w:r>
          </w:p>
        </w:tc>
      </w:tr>
      <w:tr w:rsidR="00952395"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952395" w:rsidRDefault="0083775C">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952395" w:rsidRDefault="0083775C">
            <w:pPr>
              <w:pStyle w:val="P68B1DB1-TableParagraph14"/>
              <w:spacing w:before="108"/>
              <w:ind w:left="85"/>
              <w:jc w:val="both"/>
              <w:rPr>
                <w:bCs/>
              </w:rPr>
            </w:pPr>
            <w:r>
              <w:t>Sekundārie tirgi/tirdzniecība</w:t>
            </w:r>
          </w:p>
          <w:p w14:paraId="7FE1B9CC" w14:textId="77777777" w:rsidR="00952395" w:rsidRDefault="0083775C">
            <w:pPr>
              <w:pStyle w:val="P68B1DB1-TableParagraph17"/>
              <w:spacing w:before="108"/>
              <w:ind w:left="85"/>
            </w:pPr>
            <w:r>
              <w:t>Sekundārais tirgus ir tad, kad ieguldītāji iegādājas un pārdod vērtspapīrus. Šī funkcija ir piemērojama kopējam tirdzniecības portfelim (t. i., pašu kapitālam, korporatīvajam kredītam, valsts kredītam).</w:t>
            </w:r>
          </w:p>
          <w:p w14:paraId="7FE1B9CD" w14:textId="77777777" w:rsidR="00952395" w:rsidRDefault="0083775C">
            <w:pPr>
              <w:pStyle w:val="P68B1DB1-TableParagraph17"/>
              <w:spacing w:before="108"/>
              <w:ind w:left="85"/>
            </w:pPr>
            <w:r>
              <w:lastRenderedPageBreak/>
              <w:t>Pārskatā norādītajā summā iekļauj vērtspapīru vērtību, ko nosaka kā tirdzniecībai turēto vērtspapīru kopējo summu. Vērtspapīrus norāda pēc patiesās vērtības pārskata sniegšanas datumā.</w:t>
            </w:r>
          </w:p>
          <w:p w14:paraId="7FE1B9CE" w14:textId="77777777" w:rsidR="00952395" w:rsidRDefault="0083775C">
            <w:pPr>
              <w:pStyle w:val="P68B1DB1-TableParagraph17"/>
              <w:spacing w:before="108"/>
              <w:ind w:left="85"/>
            </w:pPr>
            <w:r>
              <w:t>Summa neietver aizdevumus, atvasinātos instrumentus un netirgojamus aktīvus (piem., parādus).</w:t>
            </w:r>
          </w:p>
        </w:tc>
      </w:tr>
      <w:tr w:rsidR="00952395"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952395" w:rsidRDefault="0083775C">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952395" w:rsidRDefault="0083775C">
            <w:pPr>
              <w:pStyle w:val="P68B1DB1-TableParagraph14"/>
              <w:spacing w:before="108"/>
              <w:ind w:left="85"/>
              <w:jc w:val="both"/>
              <w:rPr>
                <w:bCs/>
              </w:rPr>
            </w:pPr>
            <w:r>
              <w:t>Primārie tirgi/riska parakstīšana</w:t>
            </w:r>
          </w:p>
          <w:p w14:paraId="7FE1B9D2" w14:textId="77777777" w:rsidR="00952395" w:rsidRDefault="0083775C">
            <w:pPr>
              <w:pStyle w:val="P68B1DB1-TableParagraph17"/>
              <w:spacing w:before="108"/>
              <w:ind w:left="85"/>
            </w:pPr>
            <w:r>
              <w:t>Primārie tirgi ir tirgi, kuros uzņēmumi, valdības un citas grupas biržā emitē jaunus vērtspapīrus, lai iegūtu finansējumu, izmantojot uz parādu vai kapitālu balstītus vērtspapīrus (piem., parastās un priekšrocību akcijas, uzņēmuma obligācijas, parādzīmes, vekseļus, valsts obligācijas). Primāros tirgus vada parakstīšanas grupas.</w:t>
            </w:r>
          </w:p>
        </w:tc>
      </w:tr>
      <w:tr w:rsidR="00952395"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952395" w:rsidRDefault="0083775C">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952395" w:rsidRDefault="0083775C">
            <w:pPr>
              <w:pStyle w:val="P68B1DB1-TableParagraph14"/>
              <w:spacing w:before="108"/>
              <w:ind w:left="85"/>
              <w:jc w:val="both"/>
              <w:rPr>
                <w:rFonts w:eastAsia="Cambria"/>
              </w:rPr>
            </w:pPr>
            <w:r>
              <w:t>Citi pakalpojumi/darbības/funkcijas (1), (2) un (3)</w:t>
            </w:r>
          </w:p>
        </w:tc>
      </w:tr>
      <w:tr w:rsidR="00952395" w14:paraId="7FE1B9D9" w14:textId="77777777">
        <w:tc>
          <w:tcPr>
            <w:tcW w:w="9083" w:type="dxa"/>
            <w:gridSpan w:val="2"/>
            <w:tcBorders>
              <w:top w:val="single" w:sz="4" w:space="0" w:color="1A171C"/>
              <w:left w:val="nil"/>
              <w:bottom w:val="single" w:sz="4" w:space="0" w:color="1A171C"/>
            </w:tcBorders>
          </w:tcPr>
          <w:p w14:paraId="7FE1B9D7" w14:textId="1DCC31B9" w:rsidR="00952395" w:rsidRDefault="0083775C">
            <w:pPr>
              <w:pStyle w:val="P68B1DB1-TableParagraph16"/>
              <w:spacing w:before="108"/>
              <w:ind w:left="85"/>
              <w:jc w:val="both"/>
              <w:rPr>
                <w:b/>
                <w:bCs/>
                <w:color w:val="000000" w:themeColor="text1"/>
                <w:sz w:val="20"/>
                <w:szCs w:val="20"/>
              </w:rPr>
            </w:pPr>
            <w:r>
              <w:t>Z 07.01.5 FUNC 1 WF</w:t>
            </w:r>
          </w:p>
          <w:p w14:paraId="7FE1B9D8" w14:textId="77777777" w:rsidR="00952395" w:rsidRDefault="0083775C">
            <w:pPr>
              <w:pStyle w:val="P68B1DB1-TableParagraph17"/>
              <w:spacing w:before="108"/>
              <w:ind w:left="85"/>
              <w:jc w:val="both"/>
            </w:pPr>
            <w:r>
              <w:t>Aizdevumu un aizņēmumu darbības korporatīvajos tirgos starp finanšu darījumu partneriem (kredītiestādes un citas finanšu korporācijas).</w:t>
            </w:r>
          </w:p>
        </w:tc>
      </w:tr>
      <w:tr w:rsidR="00952395"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952395" w:rsidRDefault="0083775C">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952395" w:rsidRDefault="0083775C">
            <w:pPr>
              <w:pStyle w:val="P68B1DB1-TableParagraph14"/>
              <w:spacing w:before="108"/>
              <w:ind w:left="85"/>
              <w:jc w:val="both"/>
              <w:rPr>
                <w:bCs/>
              </w:rPr>
            </w:pPr>
            <w:r>
              <w:t>Aizņēmumi</w:t>
            </w:r>
          </w:p>
          <w:p w14:paraId="7FE1B9DC" w14:textId="77777777" w:rsidR="00952395" w:rsidRDefault="0083775C">
            <w:pPr>
              <w:pStyle w:val="P68B1DB1-TableParagraph17"/>
              <w:spacing w:before="108"/>
              <w:ind w:left="85"/>
            </w:pPr>
            <w:r>
              <w:t>Aizņēmumi korporatīvajos tirgos no finanšu darījumu partneriem (tostarp izmantojot līgumus par aktīvu pārdošanu ar atpirkšanu, starpbanku aizņēmumus, komerciālus vērtspapīrus, noguldījumu sertifikātus, naudas tirgus fondus, kredītlīnijas, ar aktīviem balstītu komerciālu vērtspapīru un fiduciāros noguldījumus).</w:t>
            </w:r>
          </w:p>
        </w:tc>
      </w:tr>
      <w:tr w:rsidR="00952395"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952395" w:rsidRDefault="0083775C">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952395" w:rsidRDefault="0083775C">
            <w:pPr>
              <w:pStyle w:val="P68B1DB1-TableParagraph14"/>
              <w:spacing w:before="108"/>
              <w:ind w:left="85"/>
              <w:jc w:val="both"/>
              <w:rPr>
                <w:bCs/>
              </w:rPr>
            </w:pPr>
            <w:r>
              <w:t>Atvasinātie instrumenti (aktīvi)</w:t>
            </w:r>
          </w:p>
          <w:p w14:paraId="7FE1B9E0" w14:textId="77777777" w:rsidR="00952395" w:rsidRDefault="0083775C">
            <w:pPr>
              <w:pStyle w:val="P68B1DB1-TableParagraph17"/>
              <w:spacing w:before="108"/>
              <w:ind w:left="85"/>
            </w:pPr>
            <w:r>
              <w:t>Visi atvasinātie instrumenti ar finanšu darījumu partneriem, kas turēti bilances aktīvu daļā. Atšķirībā no sadaļas “Kapitāla tirgi”, sadaļā “Korporatīvais finansējums” atvasinātie instrumenti ietver visus atvasināto instrumentu līgumus ar finanšu darījumu partneriem (ne tikai ātrā datorizētā tirdzniecība).</w:t>
            </w:r>
          </w:p>
        </w:tc>
      </w:tr>
      <w:tr w:rsidR="00952395"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952395" w:rsidRDefault="0083775C">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952395" w:rsidRDefault="0083775C">
            <w:pPr>
              <w:pStyle w:val="P68B1DB1-TableParagraph14"/>
              <w:spacing w:before="108"/>
              <w:ind w:left="85"/>
              <w:jc w:val="both"/>
              <w:rPr>
                <w:bCs/>
              </w:rPr>
            </w:pPr>
            <w:r>
              <w:t>Aizdevumi</w:t>
            </w:r>
          </w:p>
          <w:p w14:paraId="7FE1B9E4" w14:textId="77777777" w:rsidR="00952395" w:rsidRDefault="0083775C">
            <w:pPr>
              <w:pStyle w:val="P68B1DB1-TableParagraph17"/>
              <w:spacing w:before="108"/>
              <w:ind w:left="85"/>
            </w:pPr>
            <w:r>
              <w:t>Aizdevumi korporatīvajos tirgos finanšu darījumu partneriem (tostarp izmantojot pirkšanas ar atpārdošanu aizdevumus, komerciālus vērtspapīrus, noguldījumu sertifikātus, naudas tirgus fondus, kredītlīnijas, ar aktīviem balstītu komerciālu vērtspapīru, fiduciāros noguldījumus).</w:t>
            </w:r>
          </w:p>
        </w:tc>
      </w:tr>
      <w:tr w:rsidR="00952395"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952395" w:rsidRDefault="0083775C">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952395" w:rsidRDefault="0083775C">
            <w:pPr>
              <w:pStyle w:val="P68B1DB1-TableParagraph14"/>
              <w:spacing w:before="108"/>
              <w:ind w:left="85"/>
              <w:jc w:val="both"/>
              <w:rPr>
                <w:bCs/>
              </w:rPr>
            </w:pPr>
            <w:r>
              <w:t>Atvasinātie instrumenti (saistības)</w:t>
            </w:r>
          </w:p>
          <w:p w14:paraId="7FE1B9E8" w14:textId="77777777" w:rsidR="00952395" w:rsidRDefault="0083775C">
            <w:pPr>
              <w:pStyle w:val="P68B1DB1-TableParagraph17"/>
              <w:spacing w:before="108"/>
              <w:ind w:left="85"/>
              <w:jc w:val="both"/>
            </w:pPr>
            <w:r>
              <w:t xml:space="preserve">Visi atvasinātie instrumenti ar finanšu darījumu partneriem, kas turēti bilances saistību daļā. </w:t>
            </w:r>
          </w:p>
        </w:tc>
      </w:tr>
      <w:tr w:rsidR="00952395"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952395" w:rsidRDefault="0083775C">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952395" w:rsidRDefault="0083775C">
            <w:pPr>
              <w:pStyle w:val="P68B1DB1-TableParagraph14"/>
              <w:spacing w:before="108"/>
              <w:ind w:left="85"/>
              <w:jc w:val="both"/>
              <w:rPr>
                <w:bCs/>
              </w:rPr>
            </w:pPr>
            <w:r>
              <w:t>Citi produktu veidi (1), (2) un (3)</w:t>
            </w:r>
          </w:p>
          <w:p w14:paraId="7FE1B9EC" w14:textId="77777777" w:rsidR="00952395" w:rsidRDefault="0083775C">
            <w:pPr>
              <w:pStyle w:val="P68B1DB1-TableParagraph17"/>
              <w:spacing w:before="108"/>
              <w:ind w:left="85"/>
            </w:pPr>
            <w:r>
              <w:t>Jebkura ekonomiskās funkcijas “korporatīvais finansējums” funkcija, kas nav minēta iepriekš.</w:t>
            </w:r>
          </w:p>
        </w:tc>
      </w:tr>
    </w:tbl>
    <w:p w14:paraId="7FE1B9EE" w14:textId="77777777" w:rsidR="00952395" w:rsidRDefault="00952395">
      <w:pPr>
        <w:pStyle w:val="InstructionsText2"/>
        <w:numPr>
          <w:ilvl w:val="0"/>
          <w:numId w:val="0"/>
        </w:numPr>
        <w:ind w:left="1440" w:firstLine="18"/>
        <w:rPr>
          <w:rFonts w:ascii="Times New Roman" w:hAnsi="Times New Roman" w:cs="Times New Roman"/>
          <w:sz w:val="20"/>
          <w:szCs w:val="20"/>
        </w:rPr>
      </w:pPr>
    </w:p>
    <w:p w14:paraId="7FE1B9EF" w14:textId="3D9C3A6F" w:rsidR="00952395" w:rsidRDefault="0083775C">
      <w:pPr>
        <w:pStyle w:val="P68B1DB1-Instructionsberschrift25"/>
        <w:numPr>
          <w:ilvl w:val="1"/>
          <w:numId w:val="49"/>
        </w:numPr>
        <w:ind w:left="357" w:hanging="357"/>
      </w:pPr>
      <w:bookmarkStart w:id="108" w:name="_Toc208244955"/>
      <w:r>
        <w:t>Z 07.01.1 FUNC 1 DEP</w:t>
      </w:r>
      <w:bookmarkEnd w:id="108"/>
    </w:p>
    <w:p w14:paraId="7FE1B9F9" w14:textId="77777777" w:rsidR="00952395" w:rsidRDefault="0095239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52395"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952395" w:rsidRDefault="0083775C">
            <w:pPr>
              <w:pStyle w:val="P68B1DB1-TableParagraph17"/>
              <w:spacing w:before="108"/>
              <w:ind w:left="85"/>
              <w:jc w:val="both"/>
            </w:pPr>
            <w:r>
              <w:t>Slejas</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952395" w:rsidRDefault="0083775C">
            <w:pPr>
              <w:pStyle w:val="P68B1DB1-TableParagraph17"/>
              <w:spacing w:before="108"/>
              <w:ind w:left="85" w:right="1"/>
              <w:jc w:val="both"/>
            </w:pPr>
            <w:r>
              <w:t>Norādījumi</w:t>
            </w:r>
          </w:p>
        </w:tc>
      </w:tr>
      <w:tr w:rsidR="00952395"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952395" w:rsidRDefault="0083775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952395" w:rsidRDefault="0083775C">
            <w:pPr>
              <w:pStyle w:val="P68B1DB1-TableParagraph14"/>
              <w:spacing w:before="108"/>
              <w:ind w:left="85"/>
              <w:jc w:val="both"/>
              <w:rPr>
                <w:bCs/>
              </w:rPr>
            </w:pPr>
            <w:r>
              <w:t>Ekonomiskās funkcijas apraksts</w:t>
            </w:r>
          </w:p>
          <w:p w14:paraId="7FE1B9FF" w14:textId="2DF858EE" w:rsidR="00952395" w:rsidRDefault="0083775C">
            <w:pPr>
              <w:pStyle w:val="P68B1DB1-TableParagraph17"/>
              <w:spacing w:before="108"/>
              <w:ind w:left="85"/>
            </w:pPr>
            <w:r>
              <w:t xml:space="preserve">Ja saimnieciskā funkcija ir “Cita” (funkcijas no 0050. līdz 0070. r.), sniedz šīs funkcijas aprakstu. </w:t>
            </w:r>
          </w:p>
        </w:tc>
      </w:tr>
      <w:tr w:rsidR="00952395"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952395" w:rsidRDefault="0083775C">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952395" w:rsidRDefault="0083775C">
            <w:pPr>
              <w:pStyle w:val="P68B1DB1-TableParagraph14"/>
              <w:spacing w:before="108"/>
              <w:ind w:left="85"/>
              <w:jc w:val="both"/>
              <w:rPr>
                <w:bCs/>
              </w:rPr>
            </w:pPr>
            <w:r>
              <w:t xml:space="preserve">Tirgus daļa </w:t>
            </w:r>
          </w:p>
          <w:p w14:paraId="7FE1BA03" w14:textId="2B787841" w:rsidR="00952395" w:rsidRDefault="0083775C">
            <w:pPr>
              <w:pStyle w:val="P68B1DB1-TableParagraph17"/>
              <w:spacing w:before="108"/>
              <w:ind w:left="85"/>
            </w:pPr>
            <w:r>
              <w:t>Iestādes vai grupas aplēstā tirgus daļa ekonomiskajai funkcijai attiecīgajā valstī vai ģeogrāfiskajā reģionā. Procentuāla daļa no kopējā tirgus kontu vērtības izteiksmē.</w:t>
            </w:r>
          </w:p>
        </w:tc>
      </w:tr>
      <w:tr w:rsidR="00952395"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952395" w:rsidRDefault="0083775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952395" w:rsidRDefault="0083775C">
            <w:pPr>
              <w:pStyle w:val="P68B1DB1-TableParagraph14"/>
              <w:spacing w:before="108"/>
              <w:jc w:val="both"/>
              <w:rPr>
                <w:bCs/>
              </w:rPr>
            </w:pPr>
            <w:r>
              <w:t>Vērtība kontos</w:t>
            </w:r>
          </w:p>
          <w:p w14:paraId="7FE1BA07" w14:textId="77777777" w:rsidR="00952395" w:rsidRDefault="0083775C">
            <w:pPr>
              <w:pStyle w:val="P68B1DB1-TableParagraph17"/>
              <w:spacing w:before="108"/>
            </w:pPr>
            <w:r>
              <w:t>Pieņemto noguldījumu tīrā uzskaites vērtība (tostarp uzkrātie procenti)</w:t>
            </w:r>
          </w:p>
          <w:p w14:paraId="7FE1BA08" w14:textId="77777777" w:rsidR="00952395" w:rsidRDefault="0083775C">
            <w:pPr>
              <w:pStyle w:val="P68B1DB1-TableParagraph17"/>
              <w:spacing w:before="108"/>
            </w:pPr>
            <w:r>
              <w:t>Atsauces FINREP, III un IV pielikums, veidne F 08.01 un V pielikums, 2. daļas 97. punkts.</w:t>
            </w:r>
          </w:p>
        </w:tc>
      </w:tr>
      <w:tr w:rsidR="00952395"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952395" w:rsidRDefault="0083775C">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952395" w:rsidRDefault="0083775C">
            <w:pPr>
              <w:pStyle w:val="P68B1DB1-TableParagraph14"/>
              <w:spacing w:before="108"/>
              <w:jc w:val="both"/>
              <w:rPr>
                <w:bCs/>
              </w:rPr>
            </w:pPr>
            <w:bookmarkStart w:id="109" w:name="_Hlk162030772"/>
            <w:r>
              <w:t>T. sk. neapdrošināti</w:t>
            </w:r>
          </w:p>
          <w:p w14:paraId="7FE1BA0C" w14:textId="464500AA" w:rsidR="00952395" w:rsidRDefault="0083775C">
            <w:pPr>
              <w:pStyle w:val="P68B1DB1-TableParagraph13"/>
              <w:spacing w:before="108"/>
              <w:rPr>
                <w:rFonts w:eastAsia="Cambria"/>
              </w:rPr>
            </w:pPr>
            <w:r>
              <w:t>To noguldījumu uzskaites vērtība (ieskaitot uzkrātos procentus), kas pieņemti to konta atlikumā, kas pārsniedz 100 000,00 EUR.</w:t>
            </w:r>
            <w:bookmarkEnd w:id="109"/>
            <w:r>
              <w:t>Tikai summa, kas pārsniedz 100 000 EUR, jānorāda šeit.</w:t>
            </w:r>
          </w:p>
        </w:tc>
      </w:tr>
      <w:tr w:rsidR="00952395"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952395" w:rsidRDefault="0083775C">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952395" w:rsidRDefault="0083775C">
            <w:pPr>
              <w:pStyle w:val="P68B1DB1-TableParagraph14"/>
              <w:spacing w:before="108"/>
              <w:ind w:left="85"/>
              <w:jc w:val="both"/>
              <w:rPr>
                <w:bCs/>
              </w:rPr>
            </w:pPr>
            <w:bookmarkStart w:id="110" w:name="_Hlk162030782"/>
            <w:r>
              <w:t>T. sk. atkārtoti</w:t>
            </w:r>
          </w:p>
          <w:p w14:paraId="7FE1BA12" w14:textId="14AEAE5C" w:rsidR="00952395" w:rsidRDefault="0083775C">
            <w:pPr>
              <w:pStyle w:val="P68B1DB1-TableParagraph13"/>
              <w:spacing w:before="108"/>
              <w:ind w:left="85"/>
              <w:jc w:val="both"/>
            </w:pPr>
            <w:bookmarkStart w:id="111" w:name="_Hlk170377814"/>
            <w:bookmarkStart w:id="112" w:name="_Hlk162030851"/>
            <w:r>
              <w:t xml:space="preserve">To noguldījumu uzskaites vērtība (ieskaitot uzkrātos procentus), no kuriem pieņemtie noguldījumi tiek turēti periodisko noguldījumu kontā.  Periodiskie noguldījumu konti ir noguldījumu konti, kuros konts ir debetēts vai kreditēts ar vidēji 5 mēneša darījumiem sešu mēnešu laikā pirms noteiktā termiņa, izņemot gada maksas, citus maksājumus un procentu maksājumus, kas saistīti ar kontu. </w:t>
            </w:r>
            <w:bookmarkEnd w:id="111"/>
          </w:p>
          <w:bookmarkEnd w:id="110"/>
          <w:bookmarkEnd w:id="112"/>
          <w:p w14:paraId="7FE1BA13" w14:textId="0C63C868" w:rsidR="00952395" w:rsidRDefault="00952395">
            <w:pPr>
              <w:pStyle w:val="TableParagraph"/>
              <w:spacing w:before="108"/>
              <w:ind w:left="85"/>
              <w:jc w:val="both"/>
              <w:rPr>
                <w:rFonts w:ascii="Times New Roman" w:hAnsi="Times New Roman" w:cs="Times New Roman"/>
                <w:color w:val="000000" w:themeColor="text1"/>
                <w:sz w:val="20"/>
                <w:szCs w:val="20"/>
              </w:rPr>
            </w:pPr>
          </w:p>
        </w:tc>
      </w:tr>
      <w:tr w:rsidR="00952395"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952395" w:rsidRDefault="0083775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952395" w:rsidRDefault="0083775C">
            <w:pPr>
              <w:pStyle w:val="P68B1DB1-TableParagraph14"/>
              <w:spacing w:before="108"/>
              <w:ind w:left="85"/>
              <w:jc w:val="both"/>
              <w:rPr>
                <w:bCs/>
              </w:rPr>
            </w:pPr>
            <w:r>
              <w:t>Klientu skaits</w:t>
            </w:r>
          </w:p>
          <w:p w14:paraId="7FE1BA17" w14:textId="77777777" w:rsidR="00952395" w:rsidRDefault="0083775C">
            <w:pPr>
              <w:pStyle w:val="P68B1DB1-TableParagraph13"/>
              <w:spacing w:before="108"/>
              <w:ind w:left="85"/>
              <w:jc w:val="both"/>
            </w:pPr>
            <w:r>
              <w:t>To klientu kopējais skaits, kuri deponējuši 0030.s. postenī “vērtība kontos” norādītās vērtības. Ja viens klients izmanto vairākus noguldījumu produktus/kontus, klientu skaita tikai vienreiz.</w:t>
            </w:r>
          </w:p>
        </w:tc>
      </w:tr>
      <w:tr w:rsidR="00952395"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952395" w:rsidRDefault="0083775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952395" w:rsidRDefault="0083775C">
            <w:pPr>
              <w:pStyle w:val="P68B1DB1-TableParagraph14"/>
              <w:spacing w:before="108"/>
              <w:ind w:left="85"/>
              <w:jc w:val="both"/>
              <w:rPr>
                <w:bCs/>
              </w:rPr>
            </w:pPr>
            <w:r>
              <w:t>Kontu skaits</w:t>
            </w:r>
          </w:p>
          <w:p w14:paraId="7FE1BA1B" w14:textId="77777777" w:rsidR="00952395" w:rsidRDefault="0083775C">
            <w:pPr>
              <w:pStyle w:val="P68B1DB1-TableParagraph13"/>
              <w:spacing w:before="108"/>
              <w:ind w:left="85"/>
              <w:jc w:val="both"/>
            </w:pPr>
            <w:r>
              <w:t>Kopējais norēķinu kontu/noguldījumu uz nakti skaits, noguldījumi ar noteiktu termiņu un</w:t>
            </w:r>
          </w:p>
          <w:p w14:paraId="7FE1BA1C" w14:textId="36D44222" w:rsidR="00952395" w:rsidRDefault="0083775C">
            <w:pPr>
              <w:pStyle w:val="P68B1DB1-TableParagraph13"/>
              <w:spacing w:before="108"/>
              <w:ind w:left="85"/>
              <w:jc w:val="both"/>
            </w:pPr>
            <w:r>
              <w:t>noguldījumi ar brīdinājuma termiņu par izņemšanu. Kopīgie konti ir jāuzskaita tikai vienu reizi. Atļauts</w:t>
            </w:r>
          </w:p>
          <w:p w14:paraId="7FE1BA1D" w14:textId="07F9DB1C" w:rsidR="00952395" w:rsidRDefault="0083775C">
            <w:pPr>
              <w:pStyle w:val="P68B1DB1-TableParagraph13"/>
              <w:spacing w:before="108"/>
              <w:ind w:left="85"/>
              <w:jc w:val="both"/>
            </w:pPr>
            <w:r>
              <w:t>kopējais kontu skaits šajā slejā atbilst vērtībai, kas uzrādīta 0030.s.</w:t>
            </w:r>
          </w:p>
          <w:p w14:paraId="7FE1BA1E" w14:textId="77777777" w:rsidR="00952395" w:rsidRDefault="0083775C">
            <w:pPr>
              <w:pStyle w:val="P68B1DB1-TableParagraph13"/>
              <w:spacing w:before="108"/>
              <w:ind w:left="85"/>
              <w:jc w:val="both"/>
              <w:rPr>
                <w:b/>
                <w:bCs/>
              </w:rPr>
            </w:pPr>
            <w:r>
              <w:t>“vērtība kontos”.</w:t>
            </w:r>
          </w:p>
        </w:tc>
      </w:tr>
      <w:tr w:rsidR="00952395"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952395" w:rsidRDefault="0083775C">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952395" w:rsidRDefault="0083775C">
            <w:pPr>
              <w:pStyle w:val="P68B1DB1-TableParagraph14"/>
              <w:spacing w:before="108"/>
              <w:ind w:left="85"/>
              <w:jc w:val="both"/>
              <w:rPr>
                <w:bCs/>
              </w:rPr>
            </w:pPr>
            <w:r>
              <w:t>T. sk. atkārtoti</w:t>
            </w:r>
          </w:p>
          <w:p w14:paraId="7FE1BA22" w14:textId="00C60993" w:rsidR="00952395" w:rsidRDefault="0083775C">
            <w:pPr>
              <w:pStyle w:val="P68B1DB1-TableParagraph13"/>
              <w:spacing w:before="108"/>
              <w:ind w:left="85"/>
              <w:jc w:val="both"/>
            </w:pPr>
            <w:r>
              <w:t>Kopējais periodisko kontu skaits, kā noteikts 0036. slejā</w:t>
            </w:r>
          </w:p>
        </w:tc>
      </w:tr>
      <w:tr w:rsidR="00952395"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952395" w:rsidRDefault="0083775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952395" w:rsidRDefault="0083775C">
            <w:pPr>
              <w:pStyle w:val="P68B1DB1-TableParagraph14"/>
              <w:spacing w:before="108"/>
              <w:ind w:left="85"/>
              <w:jc w:val="both"/>
              <w:rPr>
                <w:bCs/>
              </w:rPr>
            </w:pPr>
            <w:r>
              <w:t>Pārrobežu vērtība</w:t>
            </w:r>
          </w:p>
          <w:p w14:paraId="7FE1BA26" w14:textId="77777777" w:rsidR="00952395" w:rsidRDefault="0083775C">
            <w:pPr>
              <w:pStyle w:val="P68B1DB1-TableParagraph13"/>
              <w:spacing w:before="108"/>
              <w:ind w:left="85"/>
              <w:jc w:val="both"/>
            </w:pPr>
            <w:r>
              <w:t>Vērtība nerezidentu (ārvalstu personu) kontos. Mājkalpotāji ir: i) apakšpunkts</w:t>
            </w:r>
          </w:p>
          <w:p w14:paraId="7FE1BA27" w14:textId="77777777" w:rsidR="00952395" w:rsidRDefault="0083775C">
            <w:pPr>
              <w:pStyle w:val="P68B1DB1-TableParagraph13"/>
              <w:spacing w:before="108"/>
              <w:ind w:left="85"/>
              <w:jc w:val="both"/>
            </w:pPr>
            <w:r>
              <w:t>personas, kurām ir galvenā ekonomiskā nozīme (saimnieciskā darbība vismaz vienu gadu;</w:t>
            </w:r>
          </w:p>
          <w:p w14:paraId="7FE1BA28" w14:textId="77777777" w:rsidR="00952395" w:rsidRDefault="0083775C">
            <w:pPr>
              <w:pStyle w:val="P68B1DB1-TableParagraph13"/>
              <w:spacing w:before="108"/>
              <w:ind w:left="85"/>
              <w:jc w:val="both"/>
            </w:pPr>
            <w:r>
              <w:t>īpašumtiesības uz fiziskiem aktīviem tiek uzskatītas par pietiekamu pierādījumu)</w:t>
            </w:r>
          </w:p>
          <w:p w14:paraId="7FE1BA29" w14:textId="77777777" w:rsidR="00952395" w:rsidRDefault="0083775C">
            <w:pPr>
              <w:pStyle w:val="P68B1DB1-TableParagraph13"/>
              <w:spacing w:before="108"/>
              <w:ind w:left="85"/>
              <w:jc w:val="both"/>
            </w:pPr>
            <w:r>
              <w:t>pārskatu sniedzošā sabiedrība un ii) pārskatu sniedzēja uzņēmuma klientu ārvalstu filiāles.</w:t>
            </w:r>
          </w:p>
          <w:p w14:paraId="7FE1BA2A" w14:textId="77777777" w:rsidR="00952395" w:rsidRDefault="0083775C">
            <w:pPr>
              <w:pStyle w:val="P68B1DB1-TableParagraph13"/>
              <w:spacing w:before="108"/>
              <w:ind w:left="85"/>
              <w:jc w:val="both"/>
              <w:rPr>
                <w:b/>
                <w:bCs/>
              </w:rPr>
            </w:pPr>
            <w:r>
              <w:t xml:space="preserve">Atsauce: </w:t>
            </w:r>
          </w:p>
        </w:tc>
      </w:tr>
      <w:tr w:rsidR="00952395"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952395" w:rsidRDefault="0083775C">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952395" w:rsidRDefault="0083775C">
            <w:pPr>
              <w:pStyle w:val="P68B1DB1-TableParagraph14"/>
              <w:spacing w:before="108"/>
              <w:jc w:val="both"/>
              <w:rPr>
                <w:bCs/>
              </w:rPr>
            </w:pPr>
            <w:r>
              <w:t>Ietekmes un aizstājamības analīze</w:t>
            </w:r>
          </w:p>
          <w:p w14:paraId="7FE1BA2E" w14:textId="2C85C98D" w:rsidR="00952395" w:rsidRDefault="0083775C">
            <w:pPr>
              <w:pStyle w:val="P68B1DB1-Normal31"/>
              <w:spacing w:line="276" w:lineRule="auto"/>
              <w:jc w:val="both"/>
            </w:pPr>
            <w:r>
              <w:t>Novērtēšanas kritēriji attiecībā uz ietekmi uz trešām personām ietver šādus elementus saskaņā ar Komisijas Deleģēto regulu (ES) 2016/778:</w:t>
            </w:r>
          </w:p>
          <w:p w14:paraId="7FE1BA2F" w14:textId="77777777" w:rsidR="00952395" w:rsidRDefault="0083775C">
            <w:pPr>
              <w:pStyle w:val="P68B1DB1-ListParagraph32"/>
              <w:numPr>
                <w:ilvl w:val="0"/>
                <w:numId w:val="131"/>
              </w:numPr>
              <w:spacing w:line="276" w:lineRule="auto"/>
              <w:rPr>
                <w:b/>
                <w:bCs/>
              </w:rPr>
            </w:pPr>
            <w:r>
              <w:rPr>
                <w:b/>
              </w:rPr>
              <w:t>darbības veids un tvērums,</w:t>
            </w:r>
            <w:r>
              <w:t xml:space="preserve"> globālais, valsts vai reģionālais mērogs, darījumu apjoms un skaits; klientu un darījumu partneru skaits; klientu skaits, kuriem iestāde ir vienīgais vai galvenais bankas partneris.</w:t>
            </w:r>
          </w:p>
          <w:p w14:paraId="7FE1BA30" w14:textId="77777777" w:rsidR="00952395" w:rsidRDefault="0083775C">
            <w:pPr>
              <w:pStyle w:val="P68B1DB1-ListParagraph32"/>
              <w:numPr>
                <w:ilvl w:val="0"/>
                <w:numId w:val="131"/>
              </w:numPr>
              <w:spacing w:line="276" w:lineRule="auto"/>
              <w:rPr>
                <w:b/>
                <w:bCs/>
              </w:rPr>
            </w:pPr>
            <w:r>
              <w:rPr>
                <w:b/>
              </w:rPr>
              <w:lastRenderedPageBreak/>
              <w:t>iestādes nozīmīgums</w:t>
            </w:r>
            <w:r>
              <w:t xml:space="preserve"> vietējā, reģionālā, valsts vai Eiropas līmenī attiecīgi konkrētajam tirgum. Iestādes nozīmīgumu var novērtēt, pamatojoties uz tirgus daļu, savstarpējo saikni, sarežģītību un pārrobežu darbībām;</w:t>
            </w:r>
          </w:p>
          <w:p w14:paraId="7FE1BA31" w14:textId="77777777" w:rsidR="00952395" w:rsidRDefault="0083775C">
            <w:pPr>
              <w:pStyle w:val="P68B1DB1-ListParagraph32"/>
              <w:numPr>
                <w:ilvl w:val="0"/>
                <w:numId w:val="131"/>
              </w:numPr>
              <w:spacing w:line="276" w:lineRule="auto"/>
              <w:rPr>
                <w:b/>
                <w:bCs/>
              </w:rPr>
            </w:pPr>
            <w:r>
              <w:rPr>
                <w:b/>
              </w:rPr>
              <w:t>funkcijas skarto klientu un ieinteresēto personu raksturojums,</w:t>
            </w:r>
            <w:r>
              <w:t xml:space="preserve"> kas citstarp ietver privātos klientus, korporatīvos klientus, starpbanku klientus, centrālās mijieskaita darījumu starpniekiestādes un publiskas struktūras; </w:t>
            </w:r>
          </w:p>
          <w:p w14:paraId="7FE1BA32" w14:textId="77777777" w:rsidR="00952395" w:rsidRDefault="0083775C">
            <w:pPr>
              <w:pStyle w:val="P68B1DB1-ListParagraph32"/>
              <w:numPr>
                <w:ilvl w:val="0"/>
                <w:numId w:val="131"/>
              </w:numPr>
              <w:spacing w:line="276" w:lineRule="auto"/>
              <w:rPr>
                <w:b/>
                <w:bCs/>
              </w:rPr>
            </w:pPr>
            <w:r>
              <w:rPr>
                <w:b/>
              </w:rPr>
              <w:t>iespējamais funkcijas darbības pārtraukums tirgiem, infrastruktūrām, klientiem un publiskajiem pakalpojumiem</w:t>
            </w:r>
            <w:r>
              <w:t>. Novērtējumā jo īpaši var iekļaut ietekmi uz attiecīgo tirgu likviditāti, klientu darījumdarbības traucējumu ietekmi un apmēru un īstermiņa likviditātes vajadzības; uztveramība darījumu partneriem, klientiem un sabiedrībai; klientu reakcijas jauda un ātrums; atbilstība citu tirgu darbībai; ietekme uz cita tirgus likviditāti, operācijām, struktūru; ietekme uz citiem darījumu partneriem, kas saistīti ar galvenajiem klientiem, un funkcijas saistība ar citiem pakalpojumiem.</w:t>
            </w:r>
          </w:p>
          <w:p w14:paraId="7FE1BA33" w14:textId="77777777" w:rsidR="00952395" w:rsidRDefault="00952395">
            <w:pPr>
              <w:pStyle w:val="TableParagraph"/>
              <w:spacing w:before="108"/>
              <w:ind w:left="85"/>
              <w:jc w:val="both"/>
              <w:rPr>
                <w:rFonts w:ascii="Times New Roman" w:hAnsi="Times New Roman" w:cs="Times New Roman"/>
                <w:b/>
                <w:bCs/>
                <w:color w:val="000000" w:themeColor="text1"/>
                <w:sz w:val="20"/>
                <w:szCs w:val="20"/>
              </w:rPr>
            </w:pPr>
          </w:p>
        </w:tc>
      </w:tr>
      <w:tr w:rsidR="00952395"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952395" w:rsidRDefault="0083775C">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952395" w:rsidRDefault="0083775C">
            <w:pPr>
              <w:pStyle w:val="P68B1DB1-TableParagraph14"/>
              <w:spacing w:before="108"/>
              <w:ind w:left="85"/>
              <w:jc w:val="both"/>
              <w:rPr>
                <w:bCs/>
              </w:rPr>
            </w:pPr>
            <w:r>
              <w:t xml:space="preserve">Daba un sasniedzamība </w:t>
            </w:r>
          </w:p>
          <w:p w14:paraId="7FE1BA37" w14:textId="77777777" w:rsidR="00952395" w:rsidRDefault="0083775C">
            <w:pPr>
              <w:pStyle w:val="P68B1DB1-TableParagraph33"/>
              <w:spacing w:before="108"/>
              <w:ind w:left="85"/>
              <w:jc w:val="both"/>
              <w:rPr>
                <w:rFonts w:cs="Times New Roman"/>
                <w:b/>
                <w:bCs/>
                <w:color w:val="000000" w:themeColor="text1"/>
              </w:rPr>
            </w:pPr>
            <w:r>
              <w:t>Globālais, valsts vai reģionālais mērogs, darījumu apjoms un skaits; klientu un darījumu partneru skaits; klientu skaits, kuriem iestāde ir vienīgais vai galvenais bankas partneris.</w:t>
            </w:r>
          </w:p>
        </w:tc>
      </w:tr>
      <w:tr w:rsidR="00952395"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952395" w:rsidRDefault="0083775C">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952395" w:rsidRDefault="0083775C">
            <w:pPr>
              <w:pStyle w:val="P68B1DB1-TableParagraph14"/>
              <w:spacing w:before="108"/>
              <w:ind w:left="85"/>
              <w:jc w:val="both"/>
              <w:rPr>
                <w:bCs/>
              </w:rPr>
            </w:pPr>
            <w:r>
              <w:t>Lieluma rādītājs Nr. 1</w:t>
            </w:r>
          </w:p>
          <w:p w14:paraId="7FE1BA3B" w14:textId="0CA29815" w:rsidR="00952395" w:rsidRDefault="0083775C">
            <w:pPr>
              <w:pStyle w:val="P68B1DB1-Normal31"/>
              <w:spacing w:line="276" w:lineRule="auto"/>
              <w:jc w:val="both"/>
            </w:pPr>
            <w:r>
              <w:t>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mainīgos lielumus, piemēram, IKP, iedzīvotāju skaitu (noguldījumiem, aizdevumiem, maksājumiem, skaidras naudas, norēķinu, tīrvērtes un uzskaites pakalpojumiem) vai tirgus lielumu (kapitāla tirgiem un vairumtirdzni</w:t>
            </w:r>
            <w:r>
              <w:t xml:space="preserve">ecības finansējumam) kā kritēriju šim kvalitatīvajam novērtējumam. </w:t>
            </w:r>
          </w:p>
          <w:p w14:paraId="7FE1BA3C" w14:textId="77777777" w:rsidR="00952395" w:rsidRDefault="0083775C">
            <w:pPr>
              <w:pStyle w:val="P68B1DB1-ListParagraph32"/>
              <w:numPr>
                <w:ilvl w:val="0"/>
                <w:numId w:val="130"/>
              </w:numPr>
              <w:spacing w:line="276" w:lineRule="auto"/>
            </w:pPr>
            <w:r>
              <w:t xml:space="preserve">Ekspertu slēdziens par kontu </w:t>
            </w:r>
            <w:r>
              <w:rPr>
                <w:b/>
              </w:rPr>
              <w:t>vērtības</w:t>
            </w:r>
            <w:r>
              <w:t xml:space="preserve"> lielumu (0030. c.) no </w:t>
            </w:r>
            <w:r>
              <w:rPr>
                <w:b/>
              </w:rPr>
              <w:t>ES</w:t>
            </w:r>
            <w:r>
              <w:t xml:space="preserve"> perspektīvas </w:t>
            </w:r>
            <w:r>
              <w:rPr>
                <w:i/>
              </w:rPr>
              <w:t>[vienā līmenī augstāks nekā attiecīgais tirgus. Tas nozīmē, ka, ja konkrētais tirgus ir reģionāls, 1. lielums = valsts tirgus; ja tā ir valsts, izmērs 1 = ES; ja tā ir ES, lielums 1 = globāls]</w:t>
            </w:r>
            <w:r>
              <w:t>:</w:t>
            </w:r>
          </w:p>
          <w:p w14:paraId="7FE1BA3D" w14:textId="77777777" w:rsidR="00952395" w:rsidRDefault="0083775C">
            <w:pPr>
              <w:pStyle w:val="P68B1DB1-ListParagraph32"/>
              <w:numPr>
                <w:ilvl w:val="1"/>
                <w:numId w:val="129"/>
              </w:numPr>
              <w:spacing w:line="276" w:lineRule="auto"/>
            </w:pPr>
            <w:r>
              <w:t xml:space="preserve">No ES viedokļa — cik liela, jūsuprāt, ir jūsu iestādes kontu kopējā vērtība? </w:t>
            </w:r>
          </w:p>
          <w:p w14:paraId="7FE1BA3E" w14:textId="77777777" w:rsidR="00952395" w:rsidRDefault="00952395">
            <w:pPr>
              <w:pStyle w:val="TableParagraph"/>
              <w:spacing w:before="108"/>
              <w:ind w:left="85"/>
              <w:jc w:val="both"/>
              <w:rPr>
                <w:rFonts w:ascii="Times New Roman" w:hAnsi="Times New Roman" w:cs="Times New Roman"/>
                <w:b/>
                <w:bCs/>
                <w:color w:val="000000" w:themeColor="text1"/>
                <w:sz w:val="20"/>
                <w:szCs w:val="20"/>
              </w:rPr>
            </w:pPr>
          </w:p>
        </w:tc>
      </w:tr>
      <w:tr w:rsidR="00952395"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952395" w:rsidRDefault="0083775C">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952395" w:rsidRDefault="0083775C">
            <w:pPr>
              <w:pStyle w:val="P68B1DB1-TableParagraph14"/>
              <w:spacing w:before="108"/>
              <w:ind w:left="85"/>
              <w:jc w:val="both"/>
              <w:rPr>
                <w:bCs/>
              </w:rPr>
            </w:pPr>
            <w:r>
              <w:t>Lieluma rādītājs Nr. 2</w:t>
            </w:r>
          </w:p>
          <w:p w14:paraId="3B32AD4C" w14:textId="77777777" w:rsidR="00952395" w:rsidRDefault="0083775C">
            <w:pPr>
              <w:pStyle w:val="P68B1DB1-Normal31"/>
              <w:spacing w:line="276" w:lineRule="auto"/>
              <w:jc w:val="both"/>
            </w:pPr>
            <w:r>
              <w:t>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mainīgos lielumus, piemēram, IKP, iedzīvotāju skaitu (noguldījumiem, aizdevumiem, maksājumiem, skaidras naudas, norēķinu, tīrvērtes un uzskaites pakalpojumiem) vai tirgus lielumu (kapitāla tirgiem un vairumtirdzni</w:t>
            </w:r>
            <w:r>
              <w:t xml:space="preserve">ecības finansējumam) kā kritēriju šim kvalitatīvajam novērtējumam. </w:t>
            </w:r>
          </w:p>
          <w:p w14:paraId="7FE1BA42" w14:textId="7FE1DE6A" w:rsidR="00952395" w:rsidRDefault="00952395">
            <w:pPr>
              <w:spacing w:line="276" w:lineRule="auto"/>
              <w:jc w:val="both"/>
              <w:rPr>
                <w:rFonts w:ascii="Times New Roman" w:eastAsia="Times New Roman" w:hAnsi="Times New Roman" w:cs="Times New Roman"/>
                <w:sz w:val="20"/>
                <w:szCs w:val="20"/>
              </w:rPr>
            </w:pPr>
          </w:p>
          <w:p w14:paraId="7FE1BA43" w14:textId="77777777" w:rsidR="00952395" w:rsidRDefault="0083775C">
            <w:pPr>
              <w:pStyle w:val="P68B1DB1-ListParagraph32"/>
              <w:numPr>
                <w:ilvl w:val="0"/>
                <w:numId w:val="124"/>
              </w:numPr>
              <w:spacing w:line="276" w:lineRule="auto"/>
            </w:pPr>
            <w:r>
              <w:t xml:space="preserve">Ekspertu slēdziens par klientu </w:t>
            </w:r>
            <w:r>
              <w:rPr>
                <w:b/>
              </w:rPr>
              <w:t>skaitu</w:t>
            </w:r>
            <w:r>
              <w:t xml:space="preserve"> (c0040) no </w:t>
            </w:r>
            <w:r>
              <w:rPr>
                <w:b/>
              </w:rPr>
              <w:t>valsts</w:t>
            </w:r>
            <w:r>
              <w:t xml:space="preserve"> perspektīvas</w:t>
            </w:r>
            <w:r>
              <w:rPr>
                <w:i/>
              </w:rPr>
              <w:t>[konkrētā tirgus līmenī</w:t>
            </w:r>
            <w:r>
              <w:t>]:</w:t>
            </w:r>
          </w:p>
          <w:p w14:paraId="7FE1BA44" w14:textId="77777777" w:rsidR="00952395" w:rsidRDefault="0083775C">
            <w:pPr>
              <w:pStyle w:val="P68B1DB1-ListParagraph32"/>
              <w:numPr>
                <w:ilvl w:val="1"/>
                <w:numId w:val="122"/>
              </w:numPr>
              <w:spacing w:line="276" w:lineRule="auto"/>
            </w:pPr>
            <w:r>
              <w:t>No valsts perspektīvas raugoties, cik liels ir aplēstais iestādes kopējais klientu skaits?</w:t>
            </w:r>
          </w:p>
          <w:p w14:paraId="7FE1BA45" w14:textId="77777777" w:rsidR="00952395" w:rsidRDefault="00952395">
            <w:pPr>
              <w:pStyle w:val="TableParagraph"/>
              <w:spacing w:before="108"/>
              <w:ind w:left="85"/>
              <w:jc w:val="both"/>
              <w:rPr>
                <w:rFonts w:ascii="Times New Roman" w:hAnsi="Times New Roman" w:cs="Times New Roman"/>
                <w:b/>
                <w:bCs/>
                <w:color w:val="000000" w:themeColor="text1"/>
                <w:sz w:val="20"/>
                <w:szCs w:val="20"/>
              </w:rPr>
            </w:pPr>
          </w:p>
        </w:tc>
      </w:tr>
      <w:tr w:rsidR="00952395"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952395" w:rsidRDefault="0083775C">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952395" w:rsidRDefault="0083775C">
            <w:pPr>
              <w:pStyle w:val="P68B1DB1-TableParagraph14"/>
              <w:spacing w:before="108"/>
              <w:ind w:left="85"/>
              <w:jc w:val="both"/>
              <w:rPr>
                <w:bCs/>
              </w:rPr>
            </w:pPr>
            <w:r>
              <w:t>Pārrobežu rādītājs</w:t>
            </w:r>
          </w:p>
          <w:p w14:paraId="7FE1BA49" w14:textId="77777777" w:rsidR="00952395" w:rsidRDefault="0083775C">
            <w:pPr>
              <w:pStyle w:val="P68B1DB1-Normal31"/>
              <w:spacing w:line="276" w:lineRule="auto"/>
              <w:jc w:val="both"/>
            </w:pPr>
            <w:r>
              <w:lastRenderedPageBreak/>
              <w:t>Novērtēt pārrobežu darbību relatīvo nozīmi dažādajās ekonomiskajās funkcijās.</w:t>
            </w:r>
          </w:p>
          <w:p w14:paraId="7FE1BA4A" w14:textId="77777777" w:rsidR="00952395" w:rsidRDefault="0083775C">
            <w:pPr>
              <w:pStyle w:val="P68B1DB1-Normal31"/>
              <w:spacing w:line="276" w:lineRule="auto"/>
              <w:jc w:val="both"/>
            </w:pPr>
            <w:r>
              <w:t xml:space="preserve">Tas nav jānovērtē ziņojumos, kuros konkrētais tirgus tiek uzskatīts par reģionālu. </w:t>
            </w:r>
          </w:p>
          <w:p w14:paraId="7FE1BA4B" w14:textId="77777777" w:rsidR="00952395" w:rsidRDefault="0083775C">
            <w:pPr>
              <w:pStyle w:val="P68B1DB1-ListParagraph32"/>
              <w:numPr>
                <w:ilvl w:val="0"/>
                <w:numId w:val="118"/>
              </w:numPr>
              <w:rPr>
                <w:i/>
                <w:iCs/>
              </w:rPr>
            </w:pPr>
            <w:r>
              <w:t xml:space="preserve">To ES valstu skaits, kurās tiek lēsts, ka ziņojošā uzņēmuma valsts tirgus daļa pārsniedz 2 %. Ziņojums: </w:t>
            </w:r>
          </w:p>
          <w:p w14:paraId="7FE1BA4C" w14:textId="380A40CA" w:rsidR="00952395" w:rsidRDefault="0083775C">
            <w:pPr>
              <w:pStyle w:val="P68B1DB1-ListParagraph32"/>
              <w:numPr>
                <w:ilvl w:val="1"/>
                <w:numId w:val="118"/>
              </w:numPr>
              <w:rPr>
                <w:i/>
                <w:iCs/>
              </w:rPr>
            </w:pPr>
            <w:r>
              <w:t xml:space="preserve">≤ 1 valsts; </w:t>
            </w:r>
          </w:p>
          <w:p w14:paraId="7FE1BA4D" w14:textId="152EAA32" w:rsidR="00952395" w:rsidRDefault="0083775C">
            <w:pPr>
              <w:pStyle w:val="P68B1DB1-ListParagraph32"/>
              <w:numPr>
                <w:ilvl w:val="1"/>
                <w:numId w:val="118"/>
              </w:numPr>
              <w:rPr>
                <w:i/>
                <w:iCs/>
              </w:rPr>
            </w:pPr>
            <w:r>
              <w:t xml:space="preserve">2–3 valstis; </w:t>
            </w:r>
          </w:p>
          <w:p w14:paraId="7FE1BA4E" w14:textId="5E1FD2A4" w:rsidR="00952395" w:rsidRDefault="0083775C">
            <w:pPr>
              <w:pStyle w:val="P68B1DB1-ListParagraph32"/>
              <w:numPr>
                <w:ilvl w:val="1"/>
                <w:numId w:val="118"/>
              </w:numPr>
              <w:rPr>
                <w:i/>
                <w:iCs/>
              </w:rPr>
            </w:pPr>
            <w:r>
              <w:t xml:space="preserve">4–5 valstīs </w:t>
            </w:r>
          </w:p>
          <w:p w14:paraId="7FE1BA4F" w14:textId="744AB982" w:rsidR="00952395" w:rsidRDefault="0083775C">
            <w:pPr>
              <w:pStyle w:val="P68B1DB1-ListParagraph32"/>
              <w:numPr>
                <w:ilvl w:val="1"/>
                <w:numId w:val="118"/>
              </w:numPr>
              <w:rPr>
                <w:i/>
                <w:iCs/>
              </w:rPr>
            </w:pPr>
            <w:r>
              <w:t>&gt; 5 valstis.</w:t>
            </w:r>
          </w:p>
          <w:p w14:paraId="7FE1BA50" w14:textId="77777777" w:rsidR="00952395" w:rsidRDefault="00952395">
            <w:pPr>
              <w:pStyle w:val="TableParagraph"/>
              <w:spacing w:before="108"/>
              <w:jc w:val="both"/>
              <w:rPr>
                <w:rFonts w:ascii="Times New Roman" w:hAnsi="Times New Roman" w:cs="Times New Roman"/>
                <w:b/>
                <w:bCs/>
                <w:color w:val="000000" w:themeColor="text1"/>
                <w:sz w:val="20"/>
                <w:szCs w:val="20"/>
              </w:rPr>
            </w:pPr>
          </w:p>
        </w:tc>
      </w:tr>
      <w:tr w:rsidR="00952395"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952395" w:rsidRDefault="0083775C">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952395" w:rsidRDefault="0083775C">
            <w:pPr>
              <w:pStyle w:val="P68B1DB1-TableParagraph14"/>
              <w:spacing w:before="108"/>
              <w:ind w:left="85"/>
              <w:jc w:val="both"/>
              <w:rPr>
                <w:bCs/>
              </w:rPr>
            </w:pPr>
            <w:r>
              <w:t xml:space="preserve">Atbilstība — </w:t>
            </w:r>
          </w:p>
          <w:p w14:paraId="7FE1BA54" w14:textId="77777777" w:rsidR="00952395" w:rsidRDefault="0083775C">
            <w:pPr>
              <w:pStyle w:val="P68B1DB1-TableParagraph33"/>
              <w:spacing w:before="108"/>
              <w:ind w:left="85"/>
              <w:jc w:val="both"/>
            </w:pPr>
            <w:r>
              <w:t>Vietējā, reģionālā, valsts vai Eiropas līmenī attiecīgi konkrētajam tirgum. Iestādes nozīmīgumu var novērtēt, pamatojoties uz tirgus daļu, savstarpējo saikni, sarežģītību un pārrobežu darbībām;</w:t>
            </w:r>
          </w:p>
          <w:p w14:paraId="7FE1BA55" w14:textId="77777777" w:rsidR="00952395" w:rsidRDefault="0083775C">
            <w:pPr>
              <w:pStyle w:val="P68B1DB1-TableParagraph14"/>
              <w:spacing w:before="108"/>
              <w:ind w:left="85"/>
              <w:jc w:val="both"/>
              <w:rPr>
                <w:bCs/>
              </w:rPr>
            </w:pPr>
            <w:r>
              <w:t>Tirgus daļa</w:t>
            </w:r>
          </w:p>
          <w:p w14:paraId="7FE1BA56" w14:textId="77777777" w:rsidR="00952395" w:rsidRDefault="0083775C">
            <w:pPr>
              <w:pStyle w:val="P68B1DB1-Normal31"/>
              <w:spacing w:line="276" w:lineRule="auto"/>
              <w:jc w:val="both"/>
            </w:pPr>
            <w:r>
              <w:t xml:space="preserve">Novērtē, cik svarīga ir pārskatu sniedzošās sabiedrības tirgus daļa salīdzinājumā ar valsts vai citu attiecīgo tirgu, kā norādīts veidnē. Šis novērtējums ir kvalitatīvs kā </w:t>
            </w:r>
          </w:p>
          <w:p w14:paraId="7FE1BA57" w14:textId="4FBBC6A6" w:rsidR="00952395" w:rsidRDefault="0083775C">
            <w:pPr>
              <w:pStyle w:val="P68B1DB1-ListParagraph32"/>
              <w:numPr>
                <w:ilvl w:val="0"/>
                <w:numId w:val="276"/>
              </w:numPr>
              <w:spacing w:line="276" w:lineRule="auto"/>
              <w:jc w:val="both"/>
            </w:pPr>
            <w:r>
              <w:t>Liela, ja tirgus daļa ir liela</w:t>
            </w:r>
          </w:p>
          <w:p w14:paraId="7FE1BA58" w14:textId="71C0B34E" w:rsidR="00952395" w:rsidRDefault="0083775C">
            <w:pPr>
              <w:pStyle w:val="P68B1DB1-ListParagraph32"/>
              <w:numPr>
                <w:ilvl w:val="0"/>
                <w:numId w:val="276"/>
              </w:numPr>
              <w:spacing w:line="276" w:lineRule="auto"/>
              <w:jc w:val="both"/>
            </w:pPr>
            <w:r>
              <w:t>Vidējs, ja tirgus daļa ir vidēja</w:t>
            </w:r>
          </w:p>
          <w:p w14:paraId="7FE1BA59" w14:textId="08ABB1D9" w:rsidR="00952395" w:rsidRDefault="0083775C">
            <w:pPr>
              <w:pStyle w:val="P68B1DB1-ListParagraph32"/>
              <w:numPr>
                <w:ilvl w:val="0"/>
                <w:numId w:val="276"/>
              </w:numPr>
              <w:spacing w:line="276" w:lineRule="auto"/>
              <w:jc w:val="both"/>
            </w:pPr>
            <w:r>
              <w:t xml:space="preserve">Vidējs-zems, ja tirgus daļa ir maza vai </w:t>
            </w:r>
          </w:p>
          <w:p w14:paraId="7FE1BA5A" w14:textId="3DD284B5" w:rsidR="00952395" w:rsidRDefault="0083775C">
            <w:pPr>
              <w:pStyle w:val="P68B1DB1-ListParagraph32"/>
              <w:numPr>
                <w:ilvl w:val="0"/>
                <w:numId w:val="276"/>
              </w:numPr>
              <w:spacing w:line="276" w:lineRule="auto"/>
              <w:jc w:val="both"/>
            </w:pPr>
            <w:r>
              <w:t xml:space="preserve">Maza, ja tirgus daļa ir nenozīmīga. </w:t>
            </w:r>
          </w:p>
          <w:p w14:paraId="7FE1BA5B" w14:textId="77777777" w:rsidR="00952395" w:rsidRDefault="0083775C">
            <w:pPr>
              <w:pStyle w:val="P68B1DB1-Normal31"/>
              <w:spacing w:line="276" w:lineRule="auto"/>
              <w:jc w:val="both"/>
            </w:pPr>
            <w:r>
              <w:t xml:space="preserve">Šajā novērtējumā ņem vērā pārskatu sniedzējas sabiedrības valsts (vai cita attiecīgā tirgus) tirgus struktūru un daļēji uzrādītās tirgus daļas. </w:t>
            </w:r>
          </w:p>
          <w:p w14:paraId="7FE1BA5C" w14:textId="77777777" w:rsidR="00952395" w:rsidRDefault="0083775C">
            <w:pPr>
              <w:pStyle w:val="P68B1DB1-Normal31"/>
              <w:spacing w:line="276" w:lineRule="auto"/>
              <w:jc w:val="both"/>
            </w:pPr>
            <w:r>
              <w:t>2.Kvantitatīvie dati:</w:t>
            </w:r>
          </w:p>
          <w:p w14:paraId="7FE1BA5D" w14:textId="77777777" w:rsidR="00952395" w:rsidRDefault="0083775C">
            <w:pPr>
              <w:pStyle w:val="P68B1DB1-ListParagraph32"/>
              <w:numPr>
                <w:ilvl w:val="0"/>
                <w:numId w:val="117"/>
              </w:numPr>
              <w:spacing w:line="276" w:lineRule="auto"/>
              <w:jc w:val="both"/>
              <w:rPr>
                <w:i/>
                <w:iCs/>
              </w:rPr>
            </w:pPr>
            <w:r>
              <w:t xml:space="preserve">Ekspertu slēdziens par </w:t>
            </w:r>
            <w:r>
              <w:rPr>
                <w:b/>
              </w:rPr>
              <w:t xml:space="preserve">valsts </w:t>
            </w:r>
            <w:r>
              <w:t>tirgus daļas lielumu (ziņots 0020.s., izņemot gadījumus, kad ziņojums ir sniegts par citu attiecīgo tirgus līmeni, un tādā gadījumā ir gaidāms attiecīgās tirgus daļas novērtējums).</w:t>
            </w:r>
          </w:p>
          <w:p w14:paraId="7FE1BA5E" w14:textId="77777777" w:rsidR="00952395" w:rsidRDefault="00952395">
            <w:pPr>
              <w:spacing w:line="276" w:lineRule="auto"/>
              <w:jc w:val="both"/>
              <w:rPr>
                <w:rFonts w:ascii="Times New Roman" w:eastAsia="Times New Roman" w:hAnsi="Times New Roman" w:cs="Times New Roman"/>
                <w:sz w:val="20"/>
                <w:szCs w:val="20"/>
              </w:rPr>
            </w:pPr>
          </w:p>
          <w:p w14:paraId="7FE1BA5F" w14:textId="77777777" w:rsidR="00952395" w:rsidRDefault="00952395">
            <w:pPr>
              <w:pStyle w:val="TableParagraph"/>
              <w:spacing w:before="108"/>
              <w:ind w:left="85"/>
              <w:jc w:val="both"/>
              <w:rPr>
                <w:rFonts w:ascii="Times New Roman" w:hAnsi="Times New Roman" w:cs="Times New Roman"/>
                <w:b/>
                <w:bCs/>
                <w:color w:val="000000" w:themeColor="text1"/>
                <w:sz w:val="20"/>
                <w:szCs w:val="20"/>
              </w:rPr>
            </w:pPr>
          </w:p>
        </w:tc>
      </w:tr>
      <w:tr w:rsidR="00952395"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952395" w:rsidRDefault="0083775C">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952395" w:rsidRDefault="0083775C">
            <w:pPr>
              <w:pStyle w:val="P68B1DB1-TableParagraph14"/>
              <w:spacing w:before="108"/>
              <w:ind w:left="85"/>
              <w:jc w:val="both"/>
              <w:rPr>
                <w:bCs/>
              </w:rPr>
            </w:pPr>
            <w:r>
              <w:t>Tirgus struktūra — tirgus koncentrācija</w:t>
            </w:r>
          </w:p>
          <w:p w14:paraId="7FE1BA63" w14:textId="77777777" w:rsidR="00952395" w:rsidRDefault="0083775C">
            <w:pPr>
              <w:pStyle w:val="P68B1DB1-Normal31"/>
              <w:jc w:val="both"/>
            </w:pPr>
            <w:r>
              <w:t xml:space="preserve">Tirgus koncentrācija, ko mēra pēc pašlaik darbojošos konkurentu skaita </w:t>
            </w:r>
          </w:p>
          <w:p w14:paraId="7FE1BA64" w14:textId="77777777" w:rsidR="00952395" w:rsidRDefault="0083775C">
            <w:pPr>
              <w:pStyle w:val="P68B1DB1-Normal31"/>
              <w:jc w:val="both"/>
            </w:pPr>
            <w:r>
              <w:t xml:space="preserve">līdzīgas ekonomiskās funkcijas un/vai līdzīgu pakalpojumu piedāvāšana ar vienādiem noteikumiem (t. i., </w:t>
            </w:r>
          </w:p>
          <w:p w14:paraId="7FE1BA65" w14:textId="77777777" w:rsidR="00952395" w:rsidRDefault="0083775C">
            <w:pPr>
              <w:pStyle w:val="P68B1DB1-Normal31"/>
              <w:jc w:val="both"/>
            </w:pPr>
            <w:r>
              <w:t xml:space="preserve">salīdzināms apjoms un kvalitāte un ar salīdzināmām izmaksām), kas, iespējams, pārņem </w:t>
            </w:r>
          </w:p>
          <w:p w14:paraId="7FE1BA66" w14:textId="77777777" w:rsidR="00952395" w:rsidRDefault="0083775C">
            <w:pPr>
              <w:pStyle w:val="P68B1DB1-Normal31"/>
              <w:jc w:val="both"/>
            </w:pPr>
            <w:r>
              <w:t xml:space="preserve">pārskatu sniedzēja uzņēmuma klienti un/vai uzņēmējdarbība (vai to daļa) saprātīgā termiņā. </w:t>
            </w:r>
          </w:p>
          <w:p w14:paraId="7FE1BA67" w14:textId="77777777" w:rsidR="00952395" w:rsidRDefault="0083775C">
            <w:pPr>
              <w:pStyle w:val="P68B1DB1-Normal31"/>
              <w:jc w:val="both"/>
            </w:pPr>
            <w:r>
              <w:t xml:space="preserve">Tas jāuzrāda kopās, kas ir vienādas katrai apakšfunkcijai. </w:t>
            </w:r>
          </w:p>
          <w:p w14:paraId="7FE1BA68" w14:textId="5B483BC6" w:rsidR="00952395" w:rsidRDefault="0083775C">
            <w:pPr>
              <w:pStyle w:val="P68B1DB1-ListParagraph32"/>
              <w:numPr>
                <w:ilvl w:val="0"/>
                <w:numId w:val="277"/>
              </w:numPr>
              <w:jc w:val="both"/>
            </w:pPr>
            <w:bookmarkStart w:id="113" w:name="_Hlk194417513"/>
            <w:r>
              <w:t xml:space="preserve">&gt; 20 konkurenti; </w:t>
            </w:r>
          </w:p>
          <w:p w14:paraId="7FE1BA69" w14:textId="7D2A0C84" w:rsidR="00952395" w:rsidRDefault="0083775C">
            <w:pPr>
              <w:pStyle w:val="P68B1DB1-ListParagraph32"/>
              <w:numPr>
                <w:ilvl w:val="0"/>
                <w:numId w:val="277"/>
              </w:numPr>
              <w:jc w:val="both"/>
            </w:pPr>
            <w:r>
              <w:t xml:space="preserve">11–20 konkurenti; </w:t>
            </w:r>
          </w:p>
          <w:p w14:paraId="7FE1BA6A" w14:textId="5EF3634F" w:rsidR="00952395" w:rsidRDefault="0083775C">
            <w:pPr>
              <w:pStyle w:val="P68B1DB1-ListParagraph32"/>
              <w:numPr>
                <w:ilvl w:val="0"/>
                <w:numId w:val="277"/>
              </w:numPr>
              <w:jc w:val="both"/>
            </w:pPr>
            <w:r>
              <w:t xml:space="preserve">5–10 konkurenti, </w:t>
            </w:r>
          </w:p>
          <w:p w14:paraId="7FE1BA6B" w14:textId="3A6E6804" w:rsidR="00952395" w:rsidRDefault="0083775C">
            <w:pPr>
              <w:pStyle w:val="P68B1DB1-ListParagraph32"/>
              <w:numPr>
                <w:ilvl w:val="0"/>
                <w:numId w:val="277"/>
              </w:numPr>
              <w:jc w:val="both"/>
              <w:rPr>
                <w:b/>
                <w:bCs/>
                <w:color w:val="000000" w:themeColor="text1"/>
              </w:rPr>
            </w:pPr>
            <w:r>
              <w:t>&amp;5</w:t>
            </w:r>
            <w:bookmarkEnd w:id="113"/>
            <w:r>
              <w:t xml:space="preserve"> konkurenti</w:t>
            </w:r>
          </w:p>
          <w:p w14:paraId="7FE1BA6C" w14:textId="77777777" w:rsidR="00952395" w:rsidRDefault="0083775C">
            <w:pPr>
              <w:pStyle w:val="P68B1DB1-Normal34"/>
              <w:ind w:left="360"/>
              <w:jc w:val="both"/>
              <w:rPr>
                <w:i/>
                <w:iCs/>
              </w:rPr>
            </w:pPr>
            <w:r>
              <w:t xml:space="preserve">Ekspertu slēdziens par </w:t>
            </w:r>
            <w:r>
              <w:rPr>
                <w:b/>
              </w:rPr>
              <w:t xml:space="preserve">valsts </w:t>
            </w:r>
            <w:r>
              <w:t>tirgus daļas lielumu (ziņots 0020.s., izņemot gadījumus, kad ziņojums ir sniegts par citu attiecīgo tirgus līmeni, un tādā gadījumā ir gaidāms attiecīgās tirgus daļas novērtējums).</w:t>
            </w:r>
          </w:p>
          <w:p w14:paraId="7FE1BA6D" w14:textId="77777777" w:rsidR="00952395" w:rsidRDefault="00952395">
            <w:pPr>
              <w:jc w:val="both"/>
              <w:rPr>
                <w:rFonts w:ascii="Times New Roman" w:hAnsi="Times New Roman"/>
                <w:b/>
                <w:bCs/>
                <w:color w:val="000000" w:themeColor="text1"/>
                <w:sz w:val="20"/>
                <w:szCs w:val="20"/>
              </w:rPr>
            </w:pPr>
          </w:p>
        </w:tc>
      </w:tr>
      <w:tr w:rsidR="00952395"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952395" w:rsidRDefault="0083775C">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952395" w:rsidRDefault="0083775C">
            <w:pPr>
              <w:pStyle w:val="P68B1DB1-TableParagraph14"/>
              <w:spacing w:before="108"/>
              <w:ind w:left="85"/>
              <w:jc w:val="both"/>
              <w:rPr>
                <w:bCs/>
              </w:rPr>
            </w:pPr>
            <w:r>
              <w:t>Laiks — paredzamais aizstāšanas laiks</w:t>
            </w:r>
          </w:p>
          <w:p w14:paraId="7FE1BA71" w14:textId="77777777" w:rsidR="00952395" w:rsidRDefault="0083775C">
            <w:pPr>
              <w:pStyle w:val="P68B1DB1-Normal31"/>
              <w:jc w:val="both"/>
            </w:pPr>
            <w:r>
              <w:t>Aplēst laiku, kas nepieciešams ziņojuma sniegtajai ekonomiskajai funkcijai</w:t>
            </w:r>
          </w:p>
          <w:p w14:paraId="7FE1BA72" w14:textId="77777777" w:rsidR="00952395" w:rsidRDefault="0083775C">
            <w:pPr>
              <w:pStyle w:val="P68B1DB1-Normal31"/>
              <w:jc w:val="both"/>
            </w:pPr>
            <w:r>
              <w:t xml:space="preserve">vienība, kas krīzes situācijā jāapgūst tirgū. Tas ietver: </w:t>
            </w:r>
          </w:p>
          <w:p w14:paraId="7FE1BA73" w14:textId="77777777" w:rsidR="00952395" w:rsidRDefault="0083775C">
            <w:pPr>
              <w:pStyle w:val="P68B1DB1-ListParagraph32"/>
              <w:numPr>
                <w:ilvl w:val="0"/>
                <w:numId w:val="274"/>
              </w:numPr>
              <w:jc w:val="both"/>
            </w:pPr>
            <w:r>
              <w:t xml:space="preserve">paredzamais laiks, kas vienam vai vairākiem konkurentiem vajadzīgs, lai veiktu juridiskos un tehniskos pasākumus funkcijas pārņemšanai; kā arī  </w:t>
            </w:r>
          </w:p>
          <w:p w14:paraId="7FE1BA74" w14:textId="77777777" w:rsidR="00952395" w:rsidRDefault="0083775C">
            <w:pPr>
              <w:pStyle w:val="P68B1DB1-ListParagraph32"/>
              <w:numPr>
                <w:ilvl w:val="0"/>
                <w:numId w:val="274"/>
              </w:numPr>
              <w:jc w:val="both"/>
            </w:pPr>
            <w:r>
              <w:t xml:space="preserve">laiks, kas pakalpojuma lietotājiem vajadzīgs, lai pārceltos pie cita pakalpojumu sniedzēja. </w:t>
            </w:r>
          </w:p>
          <w:p w14:paraId="7FE1BA75" w14:textId="77777777" w:rsidR="00952395" w:rsidRDefault="00952395">
            <w:pPr>
              <w:jc w:val="both"/>
              <w:rPr>
                <w:rFonts w:ascii="Times New Roman" w:eastAsia="Times New Roman" w:hAnsi="Times New Roman" w:cs="Times New Roman"/>
                <w:sz w:val="20"/>
                <w:szCs w:val="20"/>
              </w:rPr>
            </w:pPr>
          </w:p>
          <w:p w14:paraId="7FE1BA76" w14:textId="77777777" w:rsidR="00952395" w:rsidRDefault="0083775C">
            <w:pPr>
              <w:pStyle w:val="P68B1DB1-Normal31"/>
              <w:jc w:val="both"/>
            </w:pPr>
            <w:r>
              <w:lastRenderedPageBreak/>
              <w:t xml:space="preserve">Attiecībā uz noguldījumiem tas galvenokārt attiecas uz alternatīvo pakalpojumu sniedzēju finansiālo, operatīvo un tehnisko spēju piedāvāt noguldījumu pieņemšanas pakalpojumus ziņojošās bankas klientiem, nevis uz noguldījumu nodošanu citam pakalpojumu sniedzējam iestādes rīcības vai kompensācijas saņemšanas no NGS rezultātā. </w:t>
            </w:r>
          </w:p>
          <w:p w14:paraId="7FE1BA77" w14:textId="77777777" w:rsidR="00952395" w:rsidRDefault="00952395">
            <w:pPr>
              <w:jc w:val="both"/>
              <w:rPr>
                <w:rFonts w:ascii="Times New Roman" w:eastAsia="Times New Roman" w:hAnsi="Times New Roman" w:cs="Times New Roman"/>
                <w:sz w:val="20"/>
                <w:szCs w:val="20"/>
              </w:rPr>
            </w:pPr>
          </w:p>
          <w:p w14:paraId="7FE1BA78" w14:textId="77777777" w:rsidR="00952395" w:rsidRDefault="0083775C">
            <w:pPr>
              <w:pStyle w:val="P68B1DB1-Normal31"/>
              <w:jc w:val="both"/>
            </w:pPr>
            <w:r>
              <w:t>Kā aizstājēju pirmajam sniegt aplēsi par laiku, kas pārskata sniedzējai vienībai būtu vajadzīgs, lai savā uzņēmējdarbībā (daļēji) pārņemtu citas iestādes sniegtos pakalpojumus par saprātīgām izmaksām krīzes situācijā. Uzrāda aplēsto aizstāšanas laiku veidnē norādītajos intervālos:</w:t>
            </w:r>
          </w:p>
          <w:p w14:paraId="7FE1BA79" w14:textId="77777777" w:rsidR="00952395" w:rsidRDefault="00952395">
            <w:pPr>
              <w:jc w:val="both"/>
              <w:rPr>
                <w:rFonts w:ascii="Times New Roman" w:hAnsi="Times New Roman" w:cs="Times New Roman"/>
                <w:color w:val="000000" w:themeColor="text1"/>
                <w:sz w:val="20"/>
                <w:szCs w:val="20"/>
              </w:rPr>
            </w:pPr>
          </w:p>
          <w:p w14:paraId="7FE1BA7A" w14:textId="77777777" w:rsidR="00952395" w:rsidRDefault="0083775C">
            <w:pPr>
              <w:pStyle w:val="P68B1DB1-Normal31"/>
              <w:jc w:val="both"/>
            </w:pPr>
            <w:bookmarkStart w:id="114" w:name="_Hlk194476514"/>
            <w:r>
              <w:t xml:space="preserve">Intervāli: </w:t>
            </w:r>
          </w:p>
          <w:p w14:paraId="7FE1BA7B" w14:textId="013EC0AB" w:rsidR="00952395" w:rsidRDefault="0083775C">
            <w:pPr>
              <w:pStyle w:val="P68B1DB1-ListParagraph32"/>
              <w:numPr>
                <w:ilvl w:val="0"/>
                <w:numId w:val="280"/>
              </w:numPr>
              <w:jc w:val="both"/>
            </w:pPr>
            <w:r>
              <w:t xml:space="preserve">&amp; 1 nedēļa; </w:t>
            </w:r>
          </w:p>
          <w:p w14:paraId="7FE1BA7C" w14:textId="6818EF73" w:rsidR="00952395" w:rsidRDefault="0083775C">
            <w:pPr>
              <w:pStyle w:val="P68B1DB1-ListParagraph32"/>
              <w:numPr>
                <w:ilvl w:val="0"/>
                <w:numId w:val="280"/>
              </w:numPr>
              <w:jc w:val="both"/>
            </w:pPr>
            <w:r>
              <w:t xml:space="preserve">1 nedēļa-1 mēnesis; </w:t>
            </w:r>
          </w:p>
          <w:p w14:paraId="7FE1BA7D" w14:textId="05597976" w:rsidR="00952395" w:rsidRDefault="0083775C">
            <w:pPr>
              <w:pStyle w:val="P68B1DB1-ListParagraph32"/>
              <w:numPr>
                <w:ilvl w:val="0"/>
                <w:numId w:val="280"/>
              </w:numPr>
              <w:jc w:val="both"/>
            </w:pPr>
            <w:r>
              <w:t xml:space="preserve">&gt; 1 mēneša-6 mēnešiem </w:t>
            </w:r>
          </w:p>
          <w:p w14:paraId="7FE1BA7E" w14:textId="0D41F489" w:rsidR="00952395" w:rsidRDefault="0083775C">
            <w:pPr>
              <w:pStyle w:val="P68B1DB1-ListParagraph32"/>
              <w:numPr>
                <w:ilvl w:val="0"/>
                <w:numId w:val="280"/>
              </w:numPr>
              <w:jc w:val="both"/>
            </w:pPr>
            <w:r>
              <w:t xml:space="preserve">&gt; 6 mēnešiem  </w:t>
            </w:r>
          </w:p>
          <w:bookmarkEnd w:id="114"/>
          <w:p w14:paraId="7FE1BA7F" w14:textId="77777777" w:rsidR="00952395" w:rsidRDefault="00952395">
            <w:pPr>
              <w:jc w:val="both"/>
              <w:rPr>
                <w:rFonts w:ascii="Times New Roman" w:eastAsia="Times New Roman" w:hAnsi="Times New Roman" w:cs="Times New Roman"/>
                <w:sz w:val="20"/>
                <w:szCs w:val="20"/>
              </w:rPr>
            </w:pPr>
          </w:p>
          <w:p w14:paraId="7FE1BA80" w14:textId="77777777" w:rsidR="00952395" w:rsidRDefault="00952395">
            <w:pPr>
              <w:jc w:val="both"/>
              <w:rPr>
                <w:rFonts w:ascii="Times New Roman" w:hAnsi="Times New Roman" w:cs="Times New Roman"/>
                <w:color w:val="000000" w:themeColor="text1"/>
                <w:sz w:val="20"/>
                <w:szCs w:val="20"/>
              </w:rPr>
            </w:pPr>
          </w:p>
        </w:tc>
      </w:tr>
      <w:tr w:rsidR="00952395"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952395" w:rsidRDefault="0083775C">
            <w:pPr>
              <w:pStyle w:val="P68B1DB1-TableParagraph17"/>
              <w:spacing w:before="108"/>
              <w:jc w:val="both"/>
            </w:pPr>
            <w:r>
              <w:lastRenderedPageBreak/>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952395" w:rsidRDefault="0083775C">
            <w:pPr>
              <w:pStyle w:val="P68B1DB1-TableParagraph14"/>
              <w:spacing w:before="108"/>
              <w:ind w:left="85"/>
              <w:jc w:val="both"/>
              <w:rPr>
                <w:bCs/>
              </w:rPr>
            </w:pPr>
            <w:r>
              <w:t>Aizvietošanas spēja</w:t>
            </w:r>
          </w:p>
        </w:tc>
      </w:tr>
      <w:tr w:rsidR="00952395"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952395" w:rsidRDefault="0083775C">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952395" w:rsidRDefault="0083775C">
            <w:pPr>
              <w:pStyle w:val="P68B1DB1-Normal35"/>
              <w:jc w:val="both"/>
              <w:rPr>
                <w:bCs/>
              </w:rPr>
            </w:pPr>
            <w:r>
              <w:t>Juridiskie šķēršļi ienākšanai tirgū vai paplašināšanai</w:t>
            </w:r>
          </w:p>
          <w:p w14:paraId="7FE1BA87" w14:textId="77777777" w:rsidR="00952395" w:rsidRDefault="00952395">
            <w:pPr>
              <w:jc w:val="both"/>
              <w:rPr>
                <w:rFonts w:ascii="Times New Roman" w:eastAsia="Times New Roman" w:hAnsi="Times New Roman" w:cs="Times New Roman"/>
                <w:b/>
                <w:bCs/>
                <w:color w:val="000000" w:themeColor="text1"/>
                <w:sz w:val="20"/>
                <w:szCs w:val="20"/>
              </w:rPr>
            </w:pPr>
          </w:p>
          <w:p w14:paraId="7FE1BA88" w14:textId="77777777" w:rsidR="00952395" w:rsidRDefault="0083775C">
            <w:pPr>
              <w:pStyle w:val="P68B1DB1-Normal36"/>
              <w:jc w:val="both"/>
            </w:pPr>
            <w:r>
              <w:t xml:space="preserve">Juridiski šķēršļi, kas liedz konkurentiem piedāvāt pakalpojumu. Juridiskās prasības kredītiestāžu darbības veikšanai (piemēram, banku licences vai kapitāla prasības) nav uzskatāmas par nepārvaramiem šķēršļiem alternatīvu pakalpojumu sniedzēju klātbūtnē. Šis rādītājs jāuzrāda kopās, kas ir vienādas katrai apakšfunkcijai: </w:t>
            </w:r>
          </w:p>
          <w:p w14:paraId="7FE1BA89" w14:textId="4702A48A" w:rsidR="00952395" w:rsidRDefault="0083775C">
            <w:pPr>
              <w:pStyle w:val="P68B1DB1-ListParagraph37"/>
              <w:numPr>
                <w:ilvl w:val="0"/>
                <w:numId w:val="275"/>
              </w:numPr>
              <w:jc w:val="both"/>
            </w:pPr>
            <w:r>
              <w:t xml:space="preserve">nav būtisku šķēršļu, </w:t>
            </w:r>
          </w:p>
          <w:p w14:paraId="7FE1BA8A" w14:textId="10C89312" w:rsidR="00952395" w:rsidRDefault="0083775C">
            <w:pPr>
              <w:pStyle w:val="P68B1DB1-ListParagraph37"/>
              <w:numPr>
                <w:ilvl w:val="0"/>
                <w:numId w:val="275"/>
              </w:numPr>
              <w:jc w:val="both"/>
            </w:pPr>
            <w:r>
              <w:t xml:space="preserve">daži šķēršļi, </w:t>
            </w:r>
          </w:p>
          <w:p w14:paraId="7FE1BA8B" w14:textId="4451FB21" w:rsidR="00952395" w:rsidRDefault="0083775C">
            <w:pPr>
              <w:pStyle w:val="P68B1DB1-ListParagraph37"/>
              <w:numPr>
                <w:ilvl w:val="0"/>
                <w:numId w:val="275"/>
              </w:numPr>
              <w:jc w:val="both"/>
            </w:pPr>
            <w:r>
              <w:t xml:space="preserve">būtiski (bet nepārvarami) šķēršļi, </w:t>
            </w:r>
          </w:p>
          <w:p w14:paraId="7FE1BA8D" w14:textId="48C5B820" w:rsidR="00952395" w:rsidRDefault="0083775C">
            <w:pPr>
              <w:pStyle w:val="P68B1DB1-ListParagraph37"/>
              <w:numPr>
                <w:ilvl w:val="0"/>
                <w:numId w:val="275"/>
              </w:numPr>
              <w:jc w:val="both"/>
              <w:rPr>
                <w:b/>
                <w:bCs/>
              </w:rPr>
            </w:pPr>
            <w:r>
              <w:t>kritiski (sarežģīti pārvarami) šķēršļi.</w:t>
            </w:r>
          </w:p>
        </w:tc>
      </w:tr>
      <w:tr w:rsidR="00952395"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952395" w:rsidRDefault="0083775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952395" w:rsidRDefault="0083775C">
            <w:pPr>
              <w:pStyle w:val="P68B1DB1-Normal35"/>
              <w:jc w:val="both"/>
              <w:rPr>
                <w:bCs/>
              </w:rPr>
            </w:pPr>
            <w:r>
              <w:t>Ekspluatācijas prasības ieiešanai tirgū vai paplašināšanai</w:t>
            </w:r>
          </w:p>
          <w:p w14:paraId="7FE1BA91" w14:textId="77777777" w:rsidR="00952395" w:rsidRDefault="00952395">
            <w:pPr>
              <w:jc w:val="both"/>
              <w:rPr>
                <w:rFonts w:ascii="Times New Roman" w:eastAsia="Times New Roman" w:hAnsi="Times New Roman" w:cs="Times New Roman"/>
                <w:b/>
                <w:bCs/>
                <w:color w:val="000000" w:themeColor="text1"/>
                <w:sz w:val="20"/>
                <w:szCs w:val="20"/>
              </w:rPr>
            </w:pPr>
          </w:p>
          <w:p w14:paraId="7FE1BA92" w14:textId="77777777" w:rsidR="00952395" w:rsidRDefault="0083775C">
            <w:pPr>
              <w:pStyle w:val="P68B1DB1-Normal36"/>
              <w:jc w:val="both"/>
            </w:pPr>
            <w:r>
              <w:t xml:space="preserve">Organizatoriskās, tehniskās un infrastruktūras prasības konkurentiem, lai piedāvātu pakalpojumu. Lai piedāvātu pakalpojumus, kas saistīti ar (apakš)funkciju, pakalpojumu sniedzējiem ir jāiegulda (jaunā vai papildu) infrastruktūrā vai jāmaina savas organizācijas. Novērtēt tirgus spēju absorbēt konkrēto uzņēmējdarbību, piemēram, kapitāla prasību ziņā. Attiecībā uz kreditēšanu ņem vērā saistītos riska svērtos aktīvus (norādīti 17. ceturksnī). </w:t>
            </w:r>
          </w:p>
          <w:p w14:paraId="7FE1BA93" w14:textId="77777777" w:rsidR="00952395" w:rsidRDefault="0083775C">
            <w:pPr>
              <w:pStyle w:val="P68B1DB1-Normal36"/>
              <w:jc w:val="both"/>
            </w:pPr>
            <w:r>
              <w:t xml:space="preserve">Šis rādītājs jāuzrāda kopās, kas ir vienādas katrai apakšfunkcijai: </w:t>
            </w:r>
          </w:p>
          <w:p w14:paraId="7FE1BA94" w14:textId="2E9A8492" w:rsidR="00952395" w:rsidRDefault="0083775C">
            <w:pPr>
              <w:pStyle w:val="P68B1DB1-ListParagraph37"/>
              <w:numPr>
                <w:ilvl w:val="0"/>
                <w:numId w:val="278"/>
              </w:numPr>
              <w:jc w:val="both"/>
            </w:pPr>
            <w:r>
              <w:t xml:space="preserve">nav būtisku prasību, </w:t>
            </w:r>
          </w:p>
          <w:p w14:paraId="7FE1BA95" w14:textId="2C17AA9E" w:rsidR="00952395" w:rsidRDefault="0083775C">
            <w:pPr>
              <w:pStyle w:val="P68B1DB1-ListParagraph37"/>
              <w:numPr>
                <w:ilvl w:val="0"/>
                <w:numId w:val="278"/>
              </w:numPr>
              <w:jc w:val="both"/>
            </w:pPr>
            <w:r>
              <w:t xml:space="preserve">dažas prasības, </w:t>
            </w:r>
          </w:p>
          <w:p w14:paraId="7FE1BA96" w14:textId="3197B4B5" w:rsidR="00952395" w:rsidRDefault="0083775C">
            <w:pPr>
              <w:pStyle w:val="P68B1DB1-ListParagraph37"/>
              <w:numPr>
                <w:ilvl w:val="0"/>
                <w:numId w:val="278"/>
              </w:numPr>
              <w:jc w:val="both"/>
            </w:pPr>
            <w:r>
              <w:t xml:space="preserve">būtiskas (bet nepārvaramas) prasības, </w:t>
            </w:r>
          </w:p>
          <w:p w14:paraId="7FE1BA97" w14:textId="64928FFB" w:rsidR="00952395" w:rsidRDefault="0083775C">
            <w:pPr>
              <w:pStyle w:val="P68B1DB1-ListParagraph37"/>
              <w:numPr>
                <w:ilvl w:val="0"/>
                <w:numId w:val="278"/>
              </w:numPr>
              <w:jc w:val="both"/>
            </w:pPr>
            <w:r>
              <w:t>kritiskas (sarežģītas) prasības.</w:t>
            </w:r>
          </w:p>
          <w:p w14:paraId="7FE1BA9D" w14:textId="77777777" w:rsidR="00952395" w:rsidRDefault="00952395">
            <w:pPr>
              <w:pStyle w:val="ListParagraph"/>
              <w:jc w:val="both"/>
              <w:rPr>
                <w:rFonts w:ascii="Times New Roman" w:hAnsi="Times New Roman"/>
                <w:b/>
                <w:bCs/>
                <w:color w:val="000000" w:themeColor="text1"/>
                <w:sz w:val="20"/>
                <w:szCs w:val="20"/>
              </w:rPr>
            </w:pPr>
          </w:p>
        </w:tc>
      </w:tr>
      <w:tr w:rsidR="00952395"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952395" w:rsidRDefault="0083775C">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952395" w:rsidRDefault="0083775C">
            <w:pPr>
              <w:pStyle w:val="P68B1DB1-TableParagraph14"/>
              <w:spacing w:before="108"/>
              <w:jc w:val="both"/>
              <w:rPr>
                <w:bCs/>
              </w:rPr>
            </w:pPr>
            <w:r>
              <w:t>Uzņemšanas jauda — jaunu klientu pieteikumu skaits vienas darbdienas laikā (kontu skaits)</w:t>
            </w:r>
          </w:p>
          <w:p w14:paraId="7FE1BAA4" w14:textId="404DC9AB" w:rsidR="00952395" w:rsidRDefault="0083775C">
            <w:pPr>
              <w:pStyle w:val="P68B1DB1-TableParagraph13"/>
              <w:spacing w:before="108"/>
              <w:jc w:val="both"/>
            </w:pPr>
            <w:r>
              <w:t>Iestādēm jāiesniedz vislielākais pieteikumu skaits, ja iestāde ir apstiprinājusi bankas pakalpojuma pieprasījumu.</w:t>
            </w:r>
          </w:p>
          <w:p w14:paraId="1312271B" w14:textId="5ECEF0C0" w:rsidR="00952395" w:rsidRDefault="0083775C">
            <w:pPr>
              <w:pStyle w:val="P68B1DB1-TableParagraph13"/>
              <w:spacing w:before="108"/>
              <w:jc w:val="both"/>
            </w:pPr>
            <w:r>
              <w:t>Piesaistīšanas spēja jaunu kontu skaita izteiksmē ir izteikta vienas darbdienas laikā.</w:t>
            </w:r>
          </w:p>
          <w:p w14:paraId="7FE1BAA8" w14:textId="06166E4A" w:rsidR="00952395" w:rsidRDefault="0083775C">
            <w:pPr>
              <w:pStyle w:val="P68B1DB1-TableParagraph13"/>
              <w:spacing w:before="108"/>
              <w:jc w:val="both"/>
              <w:rPr>
                <w:b/>
                <w:bCs/>
              </w:rPr>
            </w:pPr>
            <w:r>
              <w:t>Iestādēm ir jāņem vērā jaunu klientu piesaistīšanas termiņš, jo jauns klients ir pieteicies bankas pakalpojumam.</w:t>
            </w:r>
          </w:p>
        </w:tc>
      </w:tr>
      <w:tr w:rsidR="00952395"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952395" w:rsidRDefault="0083775C">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952395" w:rsidRDefault="0083775C">
            <w:pPr>
              <w:pStyle w:val="P68B1DB1-TableParagraph14"/>
              <w:spacing w:before="108"/>
              <w:jc w:val="both"/>
              <w:rPr>
                <w:bCs/>
              </w:rPr>
            </w:pPr>
            <w:r>
              <w:t>Kritiskā svarīguma novērtējums</w:t>
            </w:r>
          </w:p>
        </w:tc>
      </w:tr>
      <w:tr w:rsidR="00952395"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952395" w:rsidRDefault="0083775C">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952395" w:rsidRDefault="0083775C">
            <w:pPr>
              <w:pStyle w:val="P68B1DB1-TableParagraph14"/>
              <w:spacing w:before="108"/>
              <w:jc w:val="both"/>
              <w:rPr>
                <w:bCs/>
              </w:rPr>
            </w:pPr>
            <w:r>
              <w:t xml:space="preserve">Ietekme uz tirgu </w:t>
            </w:r>
          </w:p>
          <w:p w14:paraId="7FE1BAAF" w14:textId="77777777" w:rsidR="00952395" w:rsidRDefault="0083775C">
            <w:pPr>
              <w:pStyle w:val="P68B1DB1-TableParagraph13"/>
              <w:spacing w:before="108"/>
              <w:jc w:val="both"/>
            </w:pPr>
            <w:r>
              <w:t xml:space="preserve">Aplēstā ietekme, ko funkcijas pēkšņa pārtraukšana radītu uz trešajām personām, finanšu tirgiem un </w:t>
            </w:r>
            <w:r>
              <w:lastRenderedPageBreak/>
              <w:t>reālo ekonomiku, ņemot vērā apmēru, tirgus daļu valstī, ārējās un iekšējās savstarpējās saiknes, sarežģītību un iestādes pārrobežu darbības.</w:t>
            </w:r>
          </w:p>
          <w:p w14:paraId="7FE1BAB0" w14:textId="765F6584" w:rsidR="00952395" w:rsidRDefault="0083775C">
            <w:pPr>
              <w:pStyle w:val="P68B1DB1-TableParagraph13"/>
              <w:spacing w:before="108"/>
              <w:jc w:val="both"/>
            </w:pPr>
            <w:r>
              <w:t>Šo novērtējumu kvalitatīvi izsaka kā “augstu”, “vidēji augstu”, “vidēji zemu” vai “zemu”.</w:t>
            </w:r>
          </w:p>
          <w:p w14:paraId="7FE1BAB1" w14:textId="14727254" w:rsidR="00952395" w:rsidRDefault="0083775C">
            <w:pPr>
              <w:pStyle w:val="P68B1DB1-TableParagraph13"/>
              <w:spacing w:before="108"/>
              <w:jc w:val="both"/>
              <w:rPr>
                <w:b/>
                <w:bCs/>
              </w:rPr>
            </w:pPr>
            <w:r>
              <w:t>“Augsta” norāda tad, ja pārtraukšanai ir būtiska ietekme uz valsts tirgu; “VA” — ja ietekme ir ievērojama; “VZ” — ja ietekme ir vērā ņemama, taču ierobežota; un “Zems” — ja ietekme ir zema.</w:t>
            </w:r>
          </w:p>
        </w:tc>
      </w:tr>
      <w:tr w:rsidR="00952395"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952395" w:rsidRDefault="0083775C">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952395" w:rsidRDefault="0083775C">
            <w:pPr>
              <w:pStyle w:val="P68B1DB1-TableParagraph14"/>
              <w:spacing w:before="108"/>
              <w:jc w:val="both"/>
              <w:rPr>
                <w:bCs/>
              </w:rPr>
            </w:pPr>
            <w:r>
              <w:t>Aizstājamība</w:t>
            </w:r>
          </w:p>
          <w:p w14:paraId="7FE1BAB5" w14:textId="77777777" w:rsidR="00952395" w:rsidRDefault="0083775C">
            <w:pPr>
              <w:pStyle w:val="P68B1DB1-TableParagraph13"/>
              <w:spacing w:before="108"/>
              <w:jc w:val="both"/>
            </w:pPr>
            <w:r>
              <w:t>Deleģētās regulas (ES) 2016/778 6. panta 3. punkts.</w:t>
            </w:r>
          </w:p>
          <w:p w14:paraId="7FE1BAB6" w14:textId="77777777" w:rsidR="00952395" w:rsidRDefault="0083775C">
            <w:pPr>
              <w:pStyle w:val="P68B1DB1-TableParagraph13"/>
              <w:spacing w:before="108"/>
              <w:jc w:val="both"/>
            </w:pPr>
            <w:r>
              <w:t>Funkciju uzskata par aizstājamu, ja to var aizstāt pieņemamā veidā un samērīgā laika posmā, tādējādi novēršot sistēmiskas problēmas reālajā ekonomikā un finanšu tirgos. Ņem vērā:</w:t>
            </w:r>
          </w:p>
          <w:p w14:paraId="7FE1BAB7" w14:textId="77777777" w:rsidR="00952395" w:rsidRDefault="0083775C">
            <w:pPr>
              <w:pStyle w:val="P68B1DB1-TableParagraph13"/>
              <w:spacing w:before="108"/>
              <w:jc w:val="both"/>
            </w:pPr>
            <w:r>
              <w:t xml:space="preserve">(a) tirgus struktūra attiecīgajai funkcijai un aizstājējfunkcijas nodrošinātāju pieejamība; </w:t>
            </w:r>
          </w:p>
          <w:p w14:paraId="7FE1BAB8" w14:textId="77777777" w:rsidR="00952395" w:rsidRDefault="0083775C">
            <w:pPr>
              <w:pStyle w:val="P68B1DB1-TableParagraph13"/>
              <w:spacing w:before="108"/>
              <w:jc w:val="both"/>
            </w:pPr>
            <w:r>
              <w:t xml:space="preserve">(b) citu pakalpojumu sniedzēju spējas attiecībā uz kapacitāti, funkcijas veikšanas prasības un iespējamos tirgū ienākšanas vai paplašināšanās šķēršļus; </w:t>
            </w:r>
          </w:p>
          <w:p w14:paraId="7FE1BAB9" w14:textId="77777777" w:rsidR="00952395" w:rsidRDefault="0083775C">
            <w:pPr>
              <w:pStyle w:val="P68B1DB1-TableParagraph13"/>
              <w:spacing w:before="108"/>
              <w:jc w:val="both"/>
            </w:pPr>
            <w:r>
              <w:t xml:space="preserve">(c) citu pakalpojumu sniedzēju stimulu uzņemties šādu darbību veikšanu; </w:t>
            </w:r>
          </w:p>
          <w:p w14:paraId="7FE1BABA" w14:textId="77777777" w:rsidR="00952395" w:rsidRDefault="0083775C">
            <w:pPr>
              <w:pStyle w:val="P68B1DB1-TableParagraph13"/>
              <w:spacing w:before="108"/>
              <w:jc w:val="both"/>
            </w:pPr>
            <w:r>
              <w:t>(d) laiku, kas pakalpojuma lietotājiem nepieciešams, lai pārietu pie jaunā pakalpojumu sniedzēja, un šādas darbības izmaksas, laiku, kas citiem konkurentiem nepieciešams, lai pārņemtu konkrētās funkcijas, un tas, vai ir pietiekami daudz laika, lai novērstu būtisku darbības pārtraukšanu atkarībā no pakalpojuma veida.</w:t>
            </w:r>
          </w:p>
          <w:p w14:paraId="7FE1BABB" w14:textId="48F2EE45" w:rsidR="00952395" w:rsidRDefault="0083775C">
            <w:pPr>
              <w:pStyle w:val="P68B1DB1-TableParagraph13"/>
              <w:spacing w:before="108"/>
              <w:jc w:val="both"/>
            </w:pPr>
            <w:r>
              <w:t xml:space="preserve">Sniedz vispārēju novērtējumu par katras funkcijas paredzamo aizstājamības pakāpi, ņemot vērā iepriekš novērtētās dažādās dimensijas (tirgus daļu, tirgus koncentrāciju, aizstāšanas laiku, juridiskos šķēršļus un darbības prasības ienākšanai tirgū vai paplašināšanai). Šo novērtējumu kvalitatīvi izsaka kā “augstu”, “vidēji augstu”, “vidēji zemu” vai “zemu”. </w:t>
            </w:r>
          </w:p>
          <w:p w14:paraId="7FE1BABC" w14:textId="47D04A62" w:rsidR="00952395" w:rsidRDefault="0083775C">
            <w:pPr>
              <w:pStyle w:val="P68B1DB1-TableParagraph13"/>
              <w:spacing w:before="108"/>
              <w:jc w:val="both"/>
            </w:pPr>
            <w:r>
              <w:t>“A” norāda, ja cita banka var viegli nodrošināt funkciju ar salīdzināmiem nosacījumiem un samērīgā laika posmā;</w:t>
            </w:r>
          </w:p>
          <w:p w14:paraId="7FE1BABD" w14:textId="7FFD9091" w:rsidR="00952395" w:rsidRDefault="0083775C">
            <w:pPr>
              <w:pStyle w:val="P68B1DB1-TableParagraph13"/>
              <w:spacing w:before="108"/>
              <w:jc w:val="both"/>
            </w:pPr>
            <w:r>
              <w:t xml:space="preserve">“Z” — ja funkciju nevar vienkārši vai ātri aizstāt; </w:t>
            </w:r>
          </w:p>
          <w:p w14:paraId="7FE1BABE" w14:textId="29287980" w:rsidR="00952395" w:rsidRDefault="0083775C">
            <w:pPr>
              <w:pStyle w:val="P68B1DB1-TableParagraph13"/>
              <w:spacing w:before="108"/>
              <w:jc w:val="both"/>
            </w:pPr>
            <w:r>
              <w:t>“VA” un “VZ” — pārējos gadījumos, ņemot vērā dažādus aspektus (piem., tirgus daļu, tirgus koncentrāciju, laiku aizstāšanai, kā arī juridiskos šķēršļus un darbības prasības ienākšanai vai izvēršanai).</w:t>
            </w:r>
          </w:p>
        </w:tc>
      </w:tr>
      <w:tr w:rsidR="00952395"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952395" w:rsidRDefault="0083775C">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952395" w:rsidRDefault="0083775C">
            <w:pPr>
              <w:pStyle w:val="P68B1DB1-TableParagraph14"/>
              <w:spacing w:before="108"/>
              <w:jc w:val="both"/>
              <w:rPr>
                <w:bCs/>
              </w:rPr>
            </w:pPr>
            <w:r>
              <w:t>Kritiski svarīga funkcija</w:t>
            </w:r>
          </w:p>
          <w:p w14:paraId="7FE1BAC2" w14:textId="77777777" w:rsidR="00952395" w:rsidRDefault="0083775C">
            <w:pPr>
              <w:pStyle w:val="P68B1DB1-TableParagraph13"/>
              <w:spacing w:before="108"/>
              <w:jc w:val="both"/>
            </w:pPr>
            <w:r>
              <w:t>Šajā slejā norāda, vai, ņemot vērā ietekmes un aizvietošanas analīzi, ko veicis iestāde, ekonomiskā funkcija tiek uzskatīta par kritiski svarīgu attiecīgās valsts tirgū.</w:t>
            </w:r>
          </w:p>
          <w:p w14:paraId="7FE1BAC3" w14:textId="77777777" w:rsidR="00952395" w:rsidRDefault="0083775C">
            <w:pPr>
              <w:pStyle w:val="P68B1DB1-TableParagraph13"/>
              <w:spacing w:before="108"/>
              <w:jc w:val="both"/>
            </w:pPr>
            <w:r>
              <w:t>Norādīt “Jā” vai “Nē”.</w:t>
            </w:r>
          </w:p>
        </w:tc>
      </w:tr>
      <w:tr w:rsidR="00952395"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952395" w:rsidRDefault="0083775C">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952395" w:rsidRDefault="0083775C">
            <w:pPr>
              <w:pStyle w:val="P68B1DB1-TableParagraph14"/>
              <w:spacing w:before="108"/>
              <w:jc w:val="both"/>
              <w:rPr>
                <w:bCs/>
              </w:rPr>
            </w:pPr>
            <w:r>
              <w:t>Grupas komentāri</w:t>
            </w:r>
          </w:p>
          <w:p w14:paraId="7FE1BAC7" w14:textId="77777777" w:rsidR="00952395" w:rsidRDefault="0083775C">
            <w:pPr>
              <w:pStyle w:val="P68B1DB1-TableParagraph13"/>
              <w:spacing w:before="108"/>
              <w:jc w:val="both"/>
            </w:pPr>
            <w:r>
              <w:t>Šis lauks ļauj pārskatu sniedzošajai vienībai paskaidrot visus pieņēmumus, kas izmantoti, lai novērtētu paziņotās(-o) funkcijas(-u) kritiskumu.</w:t>
            </w:r>
          </w:p>
        </w:tc>
      </w:tr>
    </w:tbl>
    <w:p w14:paraId="7FE1BAC9" w14:textId="77777777" w:rsidR="00952395" w:rsidRDefault="00952395">
      <w:pPr>
        <w:rPr>
          <w:rFonts w:ascii="Times New Roman" w:hAnsi="Times New Roman" w:cs="Times New Roman"/>
          <w:color w:val="000000" w:themeColor="text1"/>
          <w:sz w:val="20"/>
          <w:szCs w:val="20"/>
        </w:rPr>
      </w:pPr>
    </w:p>
    <w:p w14:paraId="7FE1BACA" w14:textId="77777777" w:rsidR="00952395" w:rsidRDefault="00952395">
      <w:pPr>
        <w:rPr>
          <w:rFonts w:ascii="Times New Roman" w:hAnsi="Times New Roman" w:cs="Times New Roman"/>
          <w:color w:val="000000" w:themeColor="text1"/>
          <w:sz w:val="20"/>
          <w:szCs w:val="20"/>
        </w:rPr>
      </w:pPr>
    </w:p>
    <w:p w14:paraId="7FE1BACB" w14:textId="48446B8B" w:rsidR="00952395" w:rsidRDefault="0083775C">
      <w:pPr>
        <w:pStyle w:val="P68B1DB1-Instructionsberschrift25"/>
        <w:numPr>
          <w:ilvl w:val="1"/>
          <w:numId w:val="49"/>
        </w:numPr>
        <w:ind w:left="357" w:hanging="357"/>
      </w:pPr>
      <w:bookmarkStart w:id="115" w:name="_Toc208244956"/>
      <w:r>
        <w:t>Z 07.01.2 FUNC 1 LEN</w:t>
      </w:r>
      <w:bookmarkEnd w:id="115"/>
    </w:p>
    <w:p w14:paraId="7FE1BAD5" w14:textId="77777777" w:rsidR="00952395" w:rsidRDefault="0095239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52395"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952395" w:rsidRDefault="0083775C">
            <w:pPr>
              <w:pStyle w:val="P68B1DB1-TableParagraph17"/>
              <w:spacing w:before="108"/>
              <w:ind w:left="85"/>
              <w:jc w:val="both"/>
            </w:pPr>
            <w:bookmarkStart w:id="116" w:name="_Hlk162013303"/>
            <w:r>
              <w:t>Slejas</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952395" w:rsidRDefault="0083775C">
            <w:pPr>
              <w:pStyle w:val="P68B1DB1-TableParagraph17"/>
              <w:spacing w:before="108"/>
              <w:ind w:left="85" w:right="1"/>
              <w:jc w:val="both"/>
            </w:pPr>
            <w:r>
              <w:t>Norādījumi</w:t>
            </w:r>
          </w:p>
        </w:tc>
      </w:tr>
      <w:tr w:rsidR="00952395"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952395" w:rsidRDefault="0083775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952395" w:rsidRDefault="0083775C">
            <w:pPr>
              <w:pStyle w:val="P68B1DB1-TableParagraph14"/>
              <w:spacing w:before="108"/>
              <w:ind w:left="85"/>
              <w:jc w:val="both"/>
              <w:rPr>
                <w:bCs/>
              </w:rPr>
            </w:pPr>
            <w:r>
              <w:t>Ekonomiskās funkcijas apraksts</w:t>
            </w:r>
          </w:p>
          <w:p w14:paraId="7FE1BADB" w14:textId="0F1FA007" w:rsidR="00952395" w:rsidRDefault="0083775C">
            <w:pPr>
              <w:pStyle w:val="P68B1DB1-TableParagraph17"/>
              <w:spacing w:before="108"/>
              <w:ind w:left="85"/>
            </w:pPr>
            <w:r>
              <w:t xml:space="preserve">Ja saimnieciskā funkcija ir “Cita” (Z 07.01.2 FUNC 1 LEN r0130 līdz r0150), sniedz šīs funkcijas aprakstu. </w:t>
            </w:r>
          </w:p>
        </w:tc>
      </w:tr>
      <w:tr w:rsidR="00952395"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952395" w:rsidRDefault="0083775C">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952395" w:rsidRDefault="0083775C">
            <w:pPr>
              <w:pStyle w:val="P68B1DB1-TableParagraph14"/>
              <w:spacing w:before="108"/>
              <w:ind w:left="85"/>
              <w:jc w:val="both"/>
              <w:rPr>
                <w:bCs/>
              </w:rPr>
            </w:pPr>
            <w:r>
              <w:t xml:space="preserve">Tirgus daļa </w:t>
            </w:r>
          </w:p>
          <w:p w14:paraId="7FE1BADF" w14:textId="4B4AE08B" w:rsidR="00952395" w:rsidRDefault="0083775C">
            <w:pPr>
              <w:pStyle w:val="P68B1DB1-TableParagraph17"/>
              <w:spacing w:before="108"/>
              <w:ind w:left="85"/>
            </w:pPr>
            <w:r>
              <w:t>Iestādes vai grupas aplēstā tirgus daļa ekonomiskajai funkcijai attiecīgajā valstī vai ģeogrāfiskajā reģionā. Kā procentuālā daļa no kopējā tirgus izteiksmē.</w:t>
            </w:r>
          </w:p>
        </w:tc>
      </w:tr>
      <w:tr w:rsidR="00952395"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952395" w:rsidRDefault="0083775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952395" w:rsidRDefault="0083775C">
            <w:pPr>
              <w:pStyle w:val="P68B1DB1-TableParagraph14"/>
              <w:spacing w:before="108"/>
              <w:rPr>
                <w:bCs/>
              </w:rPr>
            </w:pPr>
            <w:r>
              <w:t>Neatmaksātā vērtība</w:t>
            </w:r>
          </w:p>
          <w:p w14:paraId="7FE1BAE3" w14:textId="77777777" w:rsidR="00952395" w:rsidRDefault="0083775C">
            <w:pPr>
              <w:pStyle w:val="P68B1DB1-TableParagraph17"/>
              <w:spacing w:before="108"/>
            </w:pPr>
            <w:r>
              <w:t>Samazinātas un nesamazinātas vērtības aizdevumu un avansu bruto uzskaites vērtība (tostarp uzkrātie procenti).</w:t>
            </w:r>
          </w:p>
          <w:p w14:paraId="7FE1BAE4" w14:textId="77777777" w:rsidR="00952395" w:rsidRDefault="0083775C">
            <w:pPr>
              <w:pStyle w:val="P68B1DB1-TableParagraph17"/>
              <w:spacing w:before="108"/>
            </w:pPr>
            <w:r>
              <w:t>procenti). Vērtspapīru aizdevums tiek uztverts kā gaidāmo turpmāko aizdevumu aplēstā vērtība.</w:t>
            </w:r>
          </w:p>
        </w:tc>
      </w:tr>
      <w:tr w:rsidR="00952395"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952395" w:rsidRDefault="0083775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952395" w:rsidRDefault="0083775C">
            <w:pPr>
              <w:pStyle w:val="P68B1DB1-TableParagraph14"/>
              <w:spacing w:before="108"/>
              <w:rPr>
                <w:bCs/>
              </w:rPr>
            </w:pPr>
            <w:r>
              <w:t>Klientu skaits</w:t>
            </w:r>
          </w:p>
          <w:p w14:paraId="7FE1BAE8" w14:textId="77777777" w:rsidR="00952395" w:rsidRDefault="0083775C">
            <w:pPr>
              <w:pStyle w:val="P68B1DB1-TableParagraph17"/>
              <w:spacing w:before="108"/>
            </w:pPr>
            <w:r>
              <w:t>To klientu kopējais skaits, kuriem tika sniegtas 0030.s. postenī “vērtība” norādītās vērtības</w:t>
            </w:r>
          </w:p>
          <w:p w14:paraId="7FE1BAE9" w14:textId="77777777" w:rsidR="00952395" w:rsidRDefault="0083775C">
            <w:pPr>
              <w:pStyle w:val="P68B1DB1-TableParagraph17"/>
              <w:spacing w:before="108"/>
            </w:pPr>
            <w:r>
              <w:t>nenokārtots”. Ja klients izmanto vairākus aizdevumu produktus/kontus, klientu skaita</w:t>
            </w:r>
          </w:p>
          <w:p w14:paraId="7FE1BAEA" w14:textId="77777777" w:rsidR="00952395" w:rsidRDefault="0083775C">
            <w:pPr>
              <w:pStyle w:val="P68B1DB1-TableParagraph17"/>
              <w:spacing w:before="108"/>
            </w:pPr>
            <w:r>
              <w:t>tikai vienu reizi.</w:t>
            </w:r>
          </w:p>
        </w:tc>
      </w:tr>
      <w:tr w:rsidR="00952395"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952395" w:rsidRDefault="0083775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952395" w:rsidRDefault="0083775C">
            <w:pPr>
              <w:pStyle w:val="P68B1DB1-TableParagraph14"/>
              <w:spacing w:before="108"/>
              <w:ind w:left="85"/>
              <w:jc w:val="both"/>
              <w:rPr>
                <w:bCs/>
              </w:rPr>
            </w:pPr>
            <w:r>
              <w:t>Neatmaksātā vērtība — pārrobežu vērtība</w:t>
            </w:r>
          </w:p>
          <w:p w14:paraId="7FE1BAF3" w14:textId="5BF86183" w:rsidR="00952395" w:rsidRDefault="0083775C">
            <w:pPr>
              <w:pStyle w:val="P68B1DB1-TableParagraph13"/>
              <w:spacing w:before="108"/>
              <w:ind w:left="85"/>
              <w:jc w:val="both"/>
            </w:pPr>
            <w:r>
              <w:t>Nerezidentiem izsniegto aizdevumu neatmaksātā vērtība (0030), sk. Noguldījumus (0060. c.) “Pārrobežu kredīti”</w:t>
            </w:r>
          </w:p>
          <w:p w14:paraId="7FE1BAF4" w14:textId="77777777" w:rsidR="00952395" w:rsidRDefault="0083775C">
            <w:pPr>
              <w:pStyle w:val="P68B1DB1-TableParagraph13"/>
              <w:spacing w:before="108"/>
              <w:ind w:left="85"/>
              <w:jc w:val="both"/>
              <w:rPr>
                <w:b/>
                <w:bCs/>
              </w:rPr>
            </w:pPr>
            <w:r>
              <w:t>vērtība”.</w:t>
            </w:r>
          </w:p>
        </w:tc>
      </w:tr>
      <w:bookmarkEnd w:id="116"/>
      <w:tr w:rsidR="00952395"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952395" w:rsidRDefault="0083775C">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952395" w:rsidRDefault="0083775C">
            <w:pPr>
              <w:pStyle w:val="P68B1DB1-TableParagraph14"/>
              <w:spacing w:before="108"/>
              <w:jc w:val="both"/>
              <w:rPr>
                <w:bCs/>
              </w:rPr>
            </w:pPr>
            <w:r>
              <w:t>Ietekmes un aizstājamības analīze</w:t>
            </w:r>
          </w:p>
          <w:p w14:paraId="7FE1BAFB" w14:textId="77777777" w:rsidR="00952395" w:rsidRDefault="0083775C">
            <w:pPr>
              <w:pStyle w:val="P68B1DB1-TableParagraph13"/>
              <w:spacing w:before="108"/>
            </w:pPr>
            <w:r>
              <w:t>Novērtēšanas kritēriji attiecībā uz ietekmi uz trešām personām ietver šādus elementus saskaņā ar Komisijas Deleģēto regulu (ES) 2016/778 par kritiski svarīgām funkcijām:</w:t>
            </w:r>
          </w:p>
          <w:p w14:paraId="7FE1BAFC" w14:textId="77777777" w:rsidR="00952395" w:rsidRDefault="0083775C">
            <w:pPr>
              <w:pStyle w:val="P68B1DB1-ListParagraph38"/>
              <w:numPr>
                <w:ilvl w:val="0"/>
                <w:numId w:val="131"/>
              </w:numPr>
              <w:spacing w:line="276" w:lineRule="auto"/>
            </w:pPr>
            <w:r>
              <w:t>darbības veids un tvērums, globālais, valsts vai reģionālais mērogs, darījumu apjoms un skaits; klientu un darījumu partneru skaits; klientu skaits, kuriem iestāde ir vienīgais vai galvenais bankas partneris.</w:t>
            </w:r>
          </w:p>
          <w:p w14:paraId="7FE1BAFD" w14:textId="77777777" w:rsidR="00952395" w:rsidRDefault="0083775C">
            <w:pPr>
              <w:pStyle w:val="P68B1DB1-ListParagraph38"/>
              <w:numPr>
                <w:ilvl w:val="0"/>
                <w:numId w:val="131"/>
              </w:numPr>
              <w:spacing w:line="276" w:lineRule="auto"/>
            </w:pPr>
            <w:r>
              <w:t>iestādes nozīmīgums vietējā, reģionālā, valsts vai Eiropas līmenī attiecīgi konkrētajam tirgum. Iestādes nozīmīgumu var novērtēt, pamatojoties uz tirgus daļu, savstarpējo saikni, sarežģītību un pārrobežu darbībām;</w:t>
            </w:r>
          </w:p>
          <w:p w14:paraId="7FE1BAFE" w14:textId="77777777" w:rsidR="00952395" w:rsidRDefault="0083775C">
            <w:pPr>
              <w:pStyle w:val="P68B1DB1-ListParagraph38"/>
              <w:numPr>
                <w:ilvl w:val="0"/>
                <w:numId w:val="131"/>
              </w:numPr>
              <w:spacing w:line="276" w:lineRule="auto"/>
            </w:pPr>
            <w:r>
              <w:t xml:space="preserve">funkcijas skarto klientu un ieinteresēto personu raksturojums, kas citstarp ietver privātos klientus, korporatīvos klientus, starpbanku klientus, centrālās mijieskaita darījumu starpniekiestādes un publiskas struktūras; </w:t>
            </w:r>
          </w:p>
          <w:p w14:paraId="7FE1BAFF" w14:textId="77777777" w:rsidR="00952395" w:rsidRDefault="0083775C">
            <w:pPr>
              <w:pStyle w:val="P68B1DB1-ListParagraph38"/>
              <w:numPr>
                <w:ilvl w:val="0"/>
                <w:numId w:val="131"/>
              </w:numPr>
              <w:spacing w:line="276" w:lineRule="auto"/>
            </w:pPr>
            <w:r>
              <w:t>iespējamais funkcijas darbības pārtraukums tirgiem, infrastruktūrām, klientiem un publiskajiem pakalpojumiem. Novērtējumā jo īpaši var iekļaut ietekmi uz attiecīgo tirgu likviditāti, klientu darījumdarbības traucējumu ietekmi un apmēru un īstermiņa likviditātes vajadzības; uztveramība darījumu partneriem, klientiem un sabiedrībai; klientu reakcijas jauda un ātrums; atbilstība citu tirgu darbībai; ietekme uz cita tirgus likviditāti, operācijām, struktūru; ietekme uz citiem darījumu partneriem, kas saistīti a</w:t>
            </w:r>
            <w:r>
              <w:t>r galvenajiem klientiem, un funkcijas saistība ar citiem pakalpojumiem.</w:t>
            </w:r>
          </w:p>
          <w:p w14:paraId="7FE1BB00"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952395" w:rsidRDefault="0083775C">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952395" w:rsidRDefault="0083775C">
            <w:pPr>
              <w:pStyle w:val="P68B1DB1-TableParagraph14"/>
              <w:spacing w:before="108"/>
              <w:jc w:val="both"/>
              <w:rPr>
                <w:bCs/>
              </w:rPr>
            </w:pPr>
            <w:r>
              <w:t xml:space="preserve">Daba un sasniedzamība </w:t>
            </w:r>
          </w:p>
          <w:p w14:paraId="7FE1BB04" w14:textId="77777777" w:rsidR="00952395" w:rsidRDefault="0083775C">
            <w:pPr>
              <w:pStyle w:val="P68B1DB1-TableParagraph13"/>
              <w:spacing w:before="108"/>
              <w:jc w:val="both"/>
            </w:pPr>
            <w:r>
              <w:t>Globālais, valsts vai reģionālais mērogs, darījumu apjoms un skaits; klientu un darījumu partneru skaits; klientu skaits, kuriem iestāde ir vienīgais vai galvenais bankas partneris.</w:t>
            </w:r>
          </w:p>
        </w:tc>
      </w:tr>
      <w:tr w:rsidR="00952395"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952395" w:rsidRDefault="0083775C">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952395" w:rsidRDefault="0083775C">
            <w:pPr>
              <w:pStyle w:val="P68B1DB1-TableParagraph14"/>
              <w:spacing w:before="108"/>
              <w:jc w:val="both"/>
              <w:rPr>
                <w:bCs/>
              </w:rPr>
            </w:pPr>
            <w:r>
              <w:t>Lieluma rādītājs Nr. 1</w:t>
            </w:r>
          </w:p>
          <w:p w14:paraId="50B226E0" w14:textId="77777777" w:rsidR="00952395" w:rsidRDefault="0083775C">
            <w:pPr>
              <w:pStyle w:val="P68B1DB1-Normal31"/>
              <w:spacing w:line="276" w:lineRule="auto"/>
              <w:jc w:val="both"/>
            </w:pPr>
            <w:r>
              <w:t xml:space="preserve">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w:t>
            </w:r>
            <w:r>
              <w:lastRenderedPageBreak/>
              <w:t xml:space="preserve">mainīgos lielumus, piemēram, IKP, iedzīvotāju skaitu (noguldījumiem, aizdevumiem, maksājumiem, skaidras naudas, norēķinu, tīrvērtes un uzskaites pakalpojumiem) vai tirgus lielumu (kapitāla tirgiem un vairumtirdzniecības finansējumam) kā kritēriju šim kvalitatīvajam novērtējumam. </w:t>
            </w:r>
          </w:p>
          <w:p w14:paraId="7FE1BB08" w14:textId="658E0B92" w:rsidR="00952395" w:rsidRDefault="00952395">
            <w:pPr>
              <w:pStyle w:val="TableParagraph"/>
              <w:spacing w:before="108"/>
              <w:rPr>
                <w:rFonts w:ascii="Times New Roman" w:hAnsi="Times New Roman" w:cs="Times New Roman"/>
                <w:color w:val="000000" w:themeColor="text1"/>
                <w:sz w:val="20"/>
                <w:szCs w:val="20"/>
              </w:rPr>
            </w:pPr>
          </w:p>
          <w:p w14:paraId="7FE1BB09" w14:textId="199C9DE7" w:rsidR="00952395" w:rsidRDefault="0083775C">
            <w:pPr>
              <w:pStyle w:val="P68B1DB1-ListParagraph32"/>
              <w:numPr>
                <w:ilvl w:val="0"/>
                <w:numId w:val="130"/>
              </w:numPr>
              <w:spacing w:line="276" w:lineRule="auto"/>
            </w:pPr>
            <w:r>
              <w:t xml:space="preserve">Ekspertu slēdziens par neatmaksāto aizdevumu vērtību (0030. c.) no ES perspektīvas </w:t>
            </w:r>
            <w:r>
              <w:rPr>
                <w:i/>
              </w:rPr>
              <w:t>[viens līmenis, kas ir augstāks par konkrēto tirgu].</w:t>
            </w:r>
            <w:r>
              <w:t xml:space="preserve"> Novērtējot šo apjoma rādītāju, ņem vērā arī potenciālās aizdevumu plūsmas nākotnē. Jūs varat izmantot esošo aizdevumu krājumu kā aizstājēju nākotnes aizdevumu plūsmām, ja uzskatāt, ka iepriekšējā darbība precīzi atspoguļo plānoto kreditēšanas darbību īstermiņā un vidējā termiņā. </w:t>
            </w:r>
          </w:p>
          <w:p w14:paraId="7FE1BB0A" w14:textId="77777777" w:rsidR="00952395" w:rsidRDefault="0083775C">
            <w:pPr>
              <w:pStyle w:val="P68B1DB1-ListParagraph32"/>
              <w:numPr>
                <w:ilvl w:val="1"/>
                <w:numId w:val="127"/>
              </w:numPr>
              <w:spacing w:line="276" w:lineRule="auto"/>
            </w:pPr>
            <w:r>
              <w:t>No ES perspektīvas raugoties, cik liela, jūsuprāt, ir neatmaksāto un atvēlēto aizdevumu vērtība kā nākotnes aizdevumu plūsmu aizstājējvērtība?</w:t>
            </w:r>
          </w:p>
          <w:p w14:paraId="7FE1BB0B"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952395" w:rsidRDefault="0083775C">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952395" w:rsidRDefault="0083775C">
            <w:pPr>
              <w:pStyle w:val="P68B1DB1-TableParagraph14"/>
              <w:spacing w:before="108"/>
              <w:jc w:val="both"/>
              <w:rPr>
                <w:bCs/>
              </w:rPr>
            </w:pPr>
            <w:r>
              <w:t>Lieluma rādītājs Nr. 2</w:t>
            </w:r>
          </w:p>
          <w:p w14:paraId="68B7FEDE" w14:textId="77777777" w:rsidR="00952395" w:rsidRDefault="0083775C">
            <w:pPr>
              <w:pStyle w:val="P68B1DB1-Normal31"/>
              <w:spacing w:line="276" w:lineRule="auto"/>
              <w:jc w:val="both"/>
            </w:pPr>
            <w:r>
              <w:t>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mainīgos lielumus, piemēram, IKP, iedzīvotāju skaitu (noguldījumiem, aizdevumiem, maksājumiem, skaidras naudas, norēķinu, tīrvērtes un uzskaites pakalpojumiem) vai tirgus lielumu (kapitāla tirgiem un vairumtirdzni</w:t>
            </w:r>
            <w:r>
              <w:t xml:space="preserve">ecības finansējumam) kā kritēriju šim kvalitatīvajam novērtējumam. </w:t>
            </w:r>
          </w:p>
          <w:p w14:paraId="7FE1BB0F" w14:textId="40E27EAB" w:rsidR="00952395" w:rsidRDefault="00952395">
            <w:pPr>
              <w:pStyle w:val="TableParagraph"/>
              <w:spacing w:before="108"/>
              <w:rPr>
                <w:rFonts w:ascii="Times New Roman" w:hAnsi="Times New Roman" w:cs="Times New Roman"/>
                <w:color w:val="000000" w:themeColor="text1"/>
                <w:sz w:val="20"/>
                <w:szCs w:val="20"/>
              </w:rPr>
            </w:pPr>
          </w:p>
          <w:p w14:paraId="7FE1BB10" w14:textId="4C225025" w:rsidR="00952395" w:rsidRDefault="0083775C">
            <w:pPr>
              <w:pStyle w:val="P68B1DB1-ListParagraph32"/>
              <w:numPr>
                <w:ilvl w:val="0"/>
                <w:numId w:val="121"/>
              </w:numPr>
              <w:spacing w:line="276" w:lineRule="auto"/>
            </w:pPr>
            <w:r>
              <w:t xml:space="preserve">Ekspertu slēdziens par klientu </w:t>
            </w:r>
            <w:r>
              <w:rPr>
                <w:b/>
              </w:rPr>
              <w:t>skaitu</w:t>
            </w:r>
            <w:r>
              <w:t xml:space="preserve"> (c0040) no </w:t>
            </w:r>
            <w:r>
              <w:rPr>
                <w:b/>
              </w:rPr>
              <w:t>valsts</w:t>
            </w:r>
            <w:r>
              <w:t xml:space="preserve"> perspektīvas </w:t>
            </w:r>
            <w:r>
              <w:rPr>
                <w:i/>
              </w:rPr>
              <w:t>[konkrētā tirgus līmenī]</w:t>
            </w:r>
            <w:r>
              <w:t>:</w:t>
            </w:r>
          </w:p>
          <w:p w14:paraId="7FE1BB11" w14:textId="77777777" w:rsidR="00952395" w:rsidRDefault="0083775C">
            <w:pPr>
              <w:pStyle w:val="P68B1DB1-ListParagraph32"/>
              <w:numPr>
                <w:ilvl w:val="1"/>
                <w:numId w:val="121"/>
              </w:numPr>
              <w:spacing w:line="276" w:lineRule="auto"/>
            </w:pPr>
            <w:r>
              <w:t>No valsts perspektīvas raugoties, cik liels ir aplēstais iestādes kopējais klientu skaits?</w:t>
            </w:r>
          </w:p>
          <w:p w14:paraId="7FE1BB17" w14:textId="77777777" w:rsidR="00952395" w:rsidRDefault="00952395">
            <w:pPr>
              <w:rPr>
                <w:rFonts w:ascii="Times New Roman" w:hAnsi="Times New Roman"/>
                <w:color w:val="000000" w:themeColor="text1"/>
                <w:sz w:val="20"/>
                <w:szCs w:val="20"/>
              </w:rPr>
            </w:pPr>
          </w:p>
        </w:tc>
      </w:tr>
      <w:tr w:rsidR="00952395"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952395" w:rsidRDefault="0083775C">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952395" w:rsidRDefault="0083775C">
            <w:pPr>
              <w:pStyle w:val="P68B1DB1-TableParagraph14"/>
              <w:spacing w:before="108"/>
              <w:jc w:val="both"/>
              <w:rPr>
                <w:bCs/>
              </w:rPr>
            </w:pPr>
            <w:r>
              <w:t>Pārrobežu rādītājs</w:t>
            </w:r>
          </w:p>
          <w:p w14:paraId="7FE1BB1B" w14:textId="77777777" w:rsidR="00952395" w:rsidRDefault="0083775C">
            <w:pPr>
              <w:pStyle w:val="P68B1DB1-TableParagraph13"/>
              <w:spacing w:before="108"/>
            </w:pPr>
            <w:r>
              <w:t>Novērtēt pārrobežu darbību relatīvo nozīmi dažādajās ekonomiskajās funkcijās.</w:t>
            </w:r>
          </w:p>
          <w:p w14:paraId="7FE1BB1C" w14:textId="77777777" w:rsidR="00952395" w:rsidRDefault="0083775C">
            <w:pPr>
              <w:pStyle w:val="P68B1DB1-TableParagraph13"/>
              <w:spacing w:before="108"/>
            </w:pPr>
            <w:r>
              <w:t xml:space="preserve">Tas nav jānovērtē ziņojumos, kuros konkrētais tirgus tiek uzskatīts par reģionālu. </w:t>
            </w:r>
          </w:p>
          <w:p w14:paraId="7FE1BB1D" w14:textId="77777777" w:rsidR="00952395" w:rsidRDefault="0083775C">
            <w:pPr>
              <w:pStyle w:val="P68B1DB1-TableParagraph33"/>
              <w:spacing w:before="108"/>
              <w:jc w:val="both"/>
            </w:pPr>
            <w:r>
              <w:t xml:space="preserve">To ES valstu skaits, kurās pārskatu sniedzošā uzņēmuma tirgus daļa pārsniedz 2 % (izteikta neatmaksāto aizdevumu vērtībā). Ziņojums: </w:t>
            </w:r>
          </w:p>
          <w:p w14:paraId="7FE1BB1E" w14:textId="1382E45D" w:rsidR="00952395" w:rsidRDefault="0083775C">
            <w:pPr>
              <w:pStyle w:val="P68B1DB1-TableParagraph33"/>
              <w:numPr>
                <w:ilvl w:val="0"/>
                <w:numId w:val="282"/>
              </w:numPr>
              <w:spacing w:before="108"/>
              <w:jc w:val="both"/>
            </w:pPr>
            <w:r>
              <w:t xml:space="preserve">≤ 1 valsts; </w:t>
            </w:r>
          </w:p>
          <w:p w14:paraId="7FE1BB1F" w14:textId="1384F453" w:rsidR="00952395" w:rsidRDefault="0083775C">
            <w:pPr>
              <w:pStyle w:val="P68B1DB1-TableParagraph33"/>
              <w:numPr>
                <w:ilvl w:val="0"/>
                <w:numId w:val="282"/>
              </w:numPr>
              <w:spacing w:before="108"/>
              <w:jc w:val="both"/>
            </w:pPr>
            <w:r>
              <w:t xml:space="preserve">2–3 valstis; </w:t>
            </w:r>
          </w:p>
          <w:p w14:paraId="7FE1BB20" w14:textId="2782B087" w:rsidR="00952395" w:rsidRDefault="0083775C">
            <w:pPr>
              <w:pStyle w:val="P68B1DB1-TableParagraph33"/>
              <w:numPr>
                <w:ilvl w:val="0"/>
                <w:numId w:val="282"/>
              </w:numPr>
              <w:spacing w:before="108"/>
              <w:jc w:val="both"/>
            </w:pPr>
            <w:r>
              <w:t xml:space="preserve">4–5 valstīs </w:t>
            </w:r>
          </w:p>
          <w:p w14:paraId="7FE1BB21" w14:textId="6E7B19E5" w:rsidR="00952395" w:rsidRDefault="0083775C">
            <w:pPr>
              <w:pStyle w:val="P68B1DB1-TableParagraph33"/>
              <w:numPr>
                <w:ilvl w:val="0"/>
                <w:numId w:val="282"/>
              </w:numPr>
              <w:spacing w:before="108"/>
              <w:jc w:val="both"/>
              <w:rPr>
                <w:rFonts w:cs="Times New Roman"/>
                <w:color w:val="000000" w:themeColor="text1"/>
              </w:rPr>
            </w:pPr>
            <w:r>
              <w:t>&gt; 5 valstis</w:t>
            </w:r>
          </w:p>
        </w:tc>
      </w:tr>
      <w:tr w:rsidR="00952395"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952395" w:rsidRDefault="0083775C">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952395" w:rsidRDefault="0083775C">
            <w:pPr>
              <w:pStyle w:val="P68B1DB1-TableParagraph13"/>
              <w:spacing w:before="108"/>
              <w:jc w:val="both"/>
            </w:pPr>
            <w:r>
              <w:rPr>
                <w:b/>
              </w:rPr>
              <w:t xml:space="preserve">Atbilstība </w:t>
            </w:r>
            <w:r>
              <w:t xml:space="preserve">— </w:t>
            </w:r>
          </w:p>
          <w:p w14:paraId="7FE1BB25" w14:textId="77777777" w:rsidR="00952395" w:rsidRDefault="0083775C">
            <w:pPr>
              <w:pStyle w:val="P68B1DB1-TableParagraph13"/>
              <w:spacing w:before="108"/>
              <w:jc w:val="both"/>
            </w:pPr>
            <w:r>
              <w:t>Vietējā, reģionālā, valsts vai Eiropas līmenī attiecīgi konkrētajam tirgum. Iestādes nozīmīgumu var novērtēt, pamatojoties uz tirgus daļu, savstarpējo saikni, sarežģītību un pārrobežu darbībām;</w:t>
            </w:r>
          </w:p>
          <w:p w14:paraId="7FE1BB26" w14:textId="77777777" w:rsidR="00952395" w:rsidRDefault="0083775C">
            <w:pPr>
              <w:pStyle w:val="P68B1DB1-TableParagraph14"/>
              <w:spacing w:before="108"/>
              <w:jc w:val="both"/>
              <w:rPr>
                <w:bCs/>
              </w:rPr>
            </w:pPr>
            <w:r>
              <w:t>Tirgus daļa</w:t>
            </w:r>
          </w:p>
          <w:p w14:paraId="4A7FDA65" w14:textId="77777777" w:rsidR="00952395" w:rsidRDefault="0083775C">
            <w:pPr>
              <w:pStyle w:val="P68B1DB1-Normal31"/>
              <w:spacing w:line="276" w:lineRule="auto"/>
              <w:jc w:val="both"/>
            </w:pPr>
            <w:r>
              <w:t xml:space="preserve">Novērtē, cik svarīga ir pārskatu sniedzošās sabiedrības tirgus daļa salīdzinājumā ar valsts vai citu attiecīgo tirgu, kā norādīts veidnē. Šis novērtējums ir kvalitatīvs kā </w:t>
            </w:r>
          </w:p>
          <w:p w14:paraId="25EA33C7" w14:textId="77777777" w:rsidR="00952395" w:rsidRDefault="0083775C">
            <w:pPr>
              <w:pStyle w:val="P68B1DB1-ListParagraph32"/>
              <w:numPr>
                <w:ilvl w:val="0"/>
                <w:numId w:val="276"/>
              </w:numPr>
              <w:spacing w:line="276" w:lineRule="auto"/>
              <w:jc w:val="both"/>
            </w:pPr>
            <w:r>
              <w:t>Liela, ja tirgus daļa ir liela</w:t>
            </w:r>
          </w:p>
          <w:p w14:paraId="24D12007" w14:textId="77777777" w:rsidR="00952395" w:rsidRDefault="0083775C">
            <w:pPr>
              <w:pStyle w:val="P68B1DB1-ListParagraph32"/>
              <w:numPr>
                <w:ilvl w:val="0"/>
                <w:numId w:val="276"/>
              </w:numPr>
              <w:spacing w:line="276" w:lineRule="auto"/>
              <w:jc w:val="both"/>
            </w:pPr>
            <w:r>
              <w:t>Vidējs, ja tirgus daļa ir vidēja</w:t>
            </w:r>
          </w:p>
          <w:p w14:paraId="05C67201" w14:textId="77777777" w:rsidR="00952395" w:rsidRDefault="0083775C">
            <w:pPr>
              <w:pStyle w:val="P68B1DB1-ListParagraph32"/>
              <w:numPr>
                <w:ilvl w:val="0"/>
                <w:numId w:val="276"/>
              </w:numPr>
              <w:spacing w:line="276" w:lineRule="auto"/>
              <w:jc w:val="both"/>
            </w:pPr>
            <w:r>
              <w:lastRenderedPageBreak/>
              <w:t xml:space="preserve">Vidējs-zems, ja tirgus daļa ir maza vai </w:t>
            </w:r>
          </w:p>
          <w:p w14:paraId="29105274" w14:textId="77777777" w:rsidR="00952395" w:rsidRDefault="0083775C">
            <w:pPr>
              <w:pStyle w:val="P68B1DB1-ListParagraph32"/>
              <w:numPr>
                <w:ilvl w:val="0"/>
                <w:numId w:val="276"/>
              </w:numPr>
              <w:spacing w:line="276" w:lineRule="auto"/>
              <w:jc w:val="both"/>
            </w:pPr>
            <w:r>
              <w:t xml:space="preserve">Maza, ja tirgus daļa ir nenozīmīga. </w:t>
            </w:r>
          </w:p>
          <w:p w14:paraId="7FE1BB2B" w14:textId="586F4387" w:rsidR="00952395" w:rsidRDefault="00952395">
            <w:pPr>
              <w:pStyle w:val="ListParagraph"/>
              <w:spacing w:line="276" w:lineRule="auto"/>
              <w:jc w:val="both"/>
              <w:rPr>
                <w:rFonts w:ascii="Times New Roman" w:eastAsiaTheme="minorHAnsi" w:hAnsi="Times New Roman"/>
                <w:color w:val="000000" w:themeColor="text1"/>
                <w:sz w:val="20"/>
                <w:szCs w:val="20"/>
              </w:rPr>
            </w:pPr>
          </w:p>
          <w:p w14:paraId="7FE1BB2C" w14:textId="77777777" w:rsidR="00952395" w:rsidRDefault="0083775C">
            <w:pPr>
              <w:pStyle w:val="P68B1DB1-TableParagraph13"/>
              <w:spacing w:before="108"/>
            </w:pPr>
            <w:r>
              <w:t xml:space="preserve">Šajā novērtējumā ņem vērā pārskatu sniedzējas sabiedrības valsts (vai cita attiecīgā tirgus) tirgus struktūru un daļēji uzrādītās tirgus daļas. </w:t>
            </w:r>
          </w:p>
          <w:p w14:paraId="7FE1BB2D" w14:textId="77777777" w:rsidR="00952395" w:rsidRDefault="0083775C">
            <w:pPr>
              <w:pStyle w:val="P68B1DB1-TableParagraph13"/>
              <w:spacing w:before="108"/>
            </w:pPr>
            <w:r>
              <w:t>2.Kvantitatīvie dati:</w:t>
            </w:r>
          </w:p>
          <w:p w14:paraId="7FE1BB2E" w14:textId="77777777" w:rsidR="00952395" w:rsidRDefault="0083775C">
            <w:pPr>
              <w:pStyle w:val="P68B1DB1-ListParagraph32"/>
              <w:numPr>
                <w:ilvl w:val="0"/>
                <w:numId w:val="117"/>
              </w:numPr>
              <w:spacing w:line="276" w:lineRule="auto"/>
              <w:jc w:val="both"/>
              <w:rPr>
                <w:i/>
                <w:iCs/>
              </w:rPr>
            </w:pPr>
            <w:r>
              <w:t xml:space="preserve">Ekspertu slēdziens par </w:t>
            </w:r>
            <w:r>
              <w:rPr>
                <w:b/>
              </w:rPr>
              <w:t xml:space="preserve">valsts </w:t>
            </w:r>
            <w:r>
              <w:t>tirgus daļas lielumu (ziņots 0020.s., izņemot gadījumus, kad ziņojums ir sniegts par citu attiecīgo tirgus līmeni, un tādā gadījumā ir gaidāms attiecīgās tirgus daļas novērtējums).</w:t>
            </w:r>
          </w:p>
          <w:p w14:paraId="7FE1BB2F" w14:textId="77777777" w:rsidR="00952395" w:rsidRDefault="00952395">
            <w:pPr>
              <w:pStyle w:val="TableParagraph"/>
              <w:spacing w:before="108"/>
              <w:rPr>
                <w:rFonts w:ascii="Times New Roman" w:hAnsi="Times New Roman" w:cs="Times New Roman"/>
                <w:color w:val="000000" w:themeColor="text1"/>
                <w:sz w:val="20"/>
                <w:szCs w:val="20"/>
              </w:rPr>
            </w:pPr>
          </w:p>
          <w:p w14:paraId="7FE1BB30"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952395" w:rsidRDefault="0083775C">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952395" w:rsidRDefault="0083775C">
            <w:pPr>
              <w:pStyle w:val="P68B1DB1-TableParagraph14"/>
              <w:spacing w:before="108"/>
              <w:jc w:val="both"/>
              <w:rPr>
                <w:bCs/>
              </w:rPr>
            </w:pPr>
            <w:r>
              <w:t>Tirgus struktūra — tirgus koncentrācija</w:t>
            </w:r>
          </w:p>
          <w:p w14:paraId="7FE1BB34" w14:textId="77777777" w:rsidR="00952395" w:rsidRDefault="0083775C">
            <w:pPr>
              <w:pStyle w:val="P68B1DB1-TableParagraph13"/>
              <w:spacing w:before="108"/>
            </w:pPr>
            <w:r>
              <w:t xml:space="preserve">Tirgus koncentrācija, ko mēra pēc pašlaik darbojošos konkurentu skaita </w:t>
            </w:r>
          </w:p>
          <w:p w14:paraId="7FE1BB35" w14:textId="77777777" w:rsidR="00952395" w:rsidRDefault="0083775C">
            <w:pPr>
              <w:pStyle w:val="P68B1DB1-TableParagraph13"/>
              <w:spacing w:before="108"/>
            </w:pPr>
            <w:r>
              <w:t xml:space="preserve">līdzīgas ekonomiskās funkcijas un/vai līdzīgu pakalpojumu piedāvāšana ar vienādiem noteikumiem (t. i., </w:t>
            </w:r>
          </w:p>
          <w:p w14:paraId="7FE1BB36" w14:textId="77777777" w:rsidR="00952395" w:rsidRDefault="0083775C">
            <w:pPr>
              <w:pStyle w:val="P68B1DB1-TableParagraph13"/>
              <w:spacing w:before="108"/>
            </w:pPr>
            <w:r>
              <w:t xml:space="preserve">salīdzināms apjoms un kvalitāte un ar salīdzināmām izmaksām), kas, iespējams, pārņem </w:t>
            </w:r>
          </w:p>
          <w:p w14:paraId="7FE1BB37" w14:textId="77777777" w:rsidR="00952395" w:rsidRDefault="0083775C">
            <w:pPr>
              <w:pStyle w:val="P68B1DB1-TableParagraph13"/>
              <w:spacing w:before="108"/>
            </w:pPr>
            <w:r>
              <w:t xml:space="preserve">pārskatu sniedzēja uzņēmuma klienti un/vai uzņēmējdarbība (vai to daļa) saprātīgā termiņā. </w:t>
            </w:r>
          </w:p>
          <w:p w14:paraId="7FE1BB38" w14:textId="77777777" w:rsidR="00952395" w:rsidRDefault="0083775C">
            <w:pPr>
              <w:pStyle w:val="P68B1DB1-TableParagraph13"/>
              <w:spacing w:before="108"/>
            </w:pPr>
            <w:r>
              <w:t xml:space="preserve">Tas jāuzrāda kopās, kas ir vienādas katrai apakšfunkcijai. </w:t>
            </w:r>
          </w:p>
          <w:p w14:paraId="6E06F623" w14:textId="77777777" w:rsidR="00952395" w:rsidRDefault="0083775C">
            <w:pPr>
              <w:pStyle w:val="P68B1DB1-ListParagraph32"/>
              <w:numPr>
                <w:ilvl w:val="0"/>
                <w:numId w:val="277"/>
              </w:numPr>
              <w:jc w:val="both"/>
            </w:pPr>
            <w:r>
              <w:t xml:space="preserve">&gt; 20 konkurenti; </w:t>
            </w:r>
          </w:p>
          <w:p w14:paraId="1C1D9521" w14:textId="77777777" w:rsidR="00952395" w:rsidRDefault="0083775C">
            <w:pPr>
              <w:pStyle w:val="P68B1DB1-ListParagraph32"/>
              <w:numPr>
                <w:ilvl w:val="0"/>
                <w:numId w:val="277"/>
              </w:numPr>
              <w:jc w:val="both"/>
            </w:pPr>
            <w:r>
              <w:t xml:space="preserve">11–20 konkurenti; </w:t>
            </w:r>
          </w:p>
          <w:p w14:paraId="35EEC292" w14:textId="77777777" w:rsidR="00952395" w:rsidRDefault="0083775C">
            <w:pPr>
              <w:pStyle w:val="P68B1DB1-ListParagraph32"/>
              <w:numPr>
                <w:ilvl w:val="0"/>
                <w:numId w:val="277"/>
              </w:numPr>
              <w:jc w:val="both"/>
            </w:pPr>
            <w:r>
              <w:t xml:space="preserve">5–10 konkurenti, </w:t>
            </w:r>
          </w:p>
          <w:p w14:paraId="23AB1BA1" w14:textId="77777777" w:rsidR="00952395" w:rsidRDefault="0083775C">
            <w:pPr>
              <w:pStyle w:val="P68B1DB1-ListParagraph32"/>
              <w:numPr>
                <w:ilvl w:val="0"/>
                <w:numId w:val="277"/>
              </w:numPr>
              <w:jc w:val="both"/>
              <w:rPr>
                <w:b/>
                <w:bCs/>
                <w:color w:val="000000" w:themeColor="text1"/>
              </w:rPr>
            </w:pPr>
            <w:r>
              <w:t>&amp;5 konkurenti</w:t>
            </w:r>
          </w:p>
          <w:p w14:paraId="7FE1BB3C" w14:textId="356BF98D" w:rsidR="00952395" w:rsidRDefault="00952395">
            <w:pPr>
              <w:jc w:val="both"/>
              <w:rPr>
                <w:rFonts w:ascii="Times New Roman" w:hAnsi="Times New Roman"/>
                <w:color w:val="000000" w:themeColor="text1"/>
                <w:sz w:val="20"/>
                <w:szCs w:val="20"/>
              </w:rPr>
            </w:pPr>
          </w:p>
        </w:tc>
      </w:tr>
      <w:tr w:rsidR="00952395"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952395" w:rsidRDefault="0083775C">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952395" w:rsidRDefault="0083775C">
            <w:pPr>
              <w:pStyle w:val="P68B1DB1-TableParagraph14"/>
              <w:spacing w:before="108"/>
              <w:jc w:val="both"/>
              <w:rPr>
                <w:bCs/>
              </w:rPr>
            </w:pPr>
            <w:r>
              <w:t>Laiks — paredzamais aizstāšanas laiks</w:t>
            </w:r>
          </w:p>
          <w:p w14:paraId="7FE1BB40" w14:textId="77777777" w:rsidR="00952395" w:rsidRDefault="0083775C">
            <w:pPr>
              <w:pStyle w:val="P68B1DB1-TableParagraph13"/>
              <w:spacing w:before="108"/>
            </w:pPr>
            <w:r>
              <w:t>Aplēst laiku, kas nepieciešams ziņojuma sniegtajai ekonomiskajai funkcijai</w:t>
            </w:r>
          </w:p>
          <w:p w14:paraId="7FE1BB41" w14:textId="77777777" w:rsidR="00952395" w:rsidRDefault="0083775C">
            <w:pPr>
              <w:pStyle w:val="P68B1DB1-TableParagraph13"/>
              <w:spacing w:before="108"/>
            </w:pPr>
            <w:r>
              <w:t xml:space="preserve">vienība, kas krīzes situācijā jāapgūst tirgū. Tas ietver: </w:t>
            </w:r>
          </w:p>
          <w:p w14:paraId="7FE1BB42" w14:textId="77777777" w:rsidR="00952395" w:rsidRDefault="0083775C">
            <w:pPr>
              <w:pStyle w:val="P68B1DB1-ListParagraph38"/>
              <w:numPr>
                <w:ilvl w:val="0"/>
                <w:numId w:val="274"/>
              </w:numPr>
              <w:jc w:val="both"/>
            </w:pPr>
            <w:r>
              <w:t xml:space="preserve">paredzamais laiks, kas vienam vai vairākiem konkurentiem vajadzīgs, lai veiktu juridiskos un tehniskos pasākumus funkcijas pārņemšanai; kā arī  </w:t>
            </w:r>
          </w:p>
          <w:p w14:paraId="7FE1BB43" w14:textId="77777777" w:rsidR="00952395" w:rsidRDefault="0083775C">
            <w:pPr>
              <w:pStyle w:val="P68B1DB1-ListParagraph38"/>
              <w:numPr>
                <w:ilvl w:val="0"/>
                <w:numId w:val="274"/>
              </w:numPr>
              <w:jc w:val="both"/>
            </w:pPr>
            <w:r>
              <w:t xml:space="preserve">laiks, kas pakalpojuma lietotājiem vajadzīgs, lai pārceltos pie cita pakalpojumu sniedzēja. </w:t>
            </w:r>
          </w:p>
          <w:p w14:paraId="7FE1BB44" w14:textId="77777777" w:rsidR="00952395" w:rsidRDefault="00952395">
            <w:pPr>
              <w:pStyle w:val="TableParagraph"/>
              <w:spacing w:before="108"/>
              <w:rPr>
                <w:rFonts w:ascii="Times New Roman" w:hAnsi="Times New Roman" w:cs="Times New Roman"/>
                <w:color w:val="000000" w:themeColor="text1"/>
                <w:sz w:val="20"/>
                <w:szCs w:val="20"/>
              </w:rPr>
            </w:pPr>
          </w:p>
          <w:p w14:paraId="7FE1BB45" w14:textId="77777777" w:rsidR="00952395" w:rsidRDefault="0083775C">
            <w:pPr>
              <w:pStyle w:val="P68B1DB1-TableParagraph13"/>
              <w:spacing w:before="108"/>
            </w:pPr>
            <w:r>
              <w:t xml:space="preserve">Piemēram, attiecībā uz aizdevumiem tas neattiecas uz neatmaksātā portfeļa atlikumu vai šā portfeļa nodošanu potenciālajam pircējam, bet gan uz mājsaimniecību uzņēmumu un valdību spēju saņemt līdzīgus aizdevumus no citiem pakalpojumu sniedzējiem. </w:t>
            </w:r>
          </w:p>
          <w:p w14:paraId="7FE1BB46" w14:textId="77777777" w:rsidR="00952395" w:rsidRDefault="00952395">
            <w:pPr>
              <w:pStyle w:val="TableParagraph"/>
              <w:spacing w:before="108"/>
              <w:rPr>
                <w:rFonts w:ascii="Times New Roman" w:hAnsi="Times New Roman" w:cs="Times New Roman"/>
                <w:color w:val="000000" w:themeColor="text1"/>
                <w:sz w:val="20"/>
                <w:szCs w:val="20"/>
              </w:rPr>
            </w:pPr>
          </w:p>
          <w:p w14:paraId="7FE1BB47" w14:textId="77777777" w:rsidR="00952395" w:rsidRDefault="0083775C">
            <w:pPr>
              <w:pStyle w:val="P68B1DB1-TableParagraph13"/>
              <w:spacing w:before="108"/>
            </w:pPr>
            <w:r>
              <w:t>Kā aizstājēju pirmajam sniegt aplēsi par laiku, kas pārskata sniedzējai vienībai būtu vajadzīgs, lai savā uzņēmējdarbībā (daļēji) pārņemtu citas iestādes sniegtos pakalpojumus par saprātīgām izmaksām krīzes situācijā. Uzrāda aplēsto aizstāšanas laiku veidnē norādītajos intervālos:</w:t>
            </w:r>
          </w:p>
          <w:p w14:paraId="7FE1BB48" w14:textId="77777777" w:rsidR="00952395" w:rsidRDefault="00952395">
            <w:pPr>
              <w:pStyle w:val="TableParagraph"/>
              <w:spacing w:before="108"/>
              <w:rPr>
                <w:rFonts w:ascii="Times New Roman" w:hAnsi="Times New Roman" w:cs="Times New Roman"/>
                <w:color w:val="000000" w:themeColor="text1"/>
                <w:sz w:val="20"/>
                <w:szCs w:val="20"/>
              </w:rPr>
            </w:pPr>
          </w:p>
        </w:tc>
      </w:tr>
      <w:tr w:rsidR="00952395"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952395" w:rsidRDefault="0083775C">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952395" w:rsidRDefault="0083775C">
            <w:pPr>
              <w:pStyle w:val="P68B1DB1-TableParagraph14"/>
              <w:spacing w:before="108"/>
              <w:jc w:val="both"/>
              <w:rPr>
                <w:bCs/>
              </w:rPr>
            </w:pPr>
            <w:r>
              <w:t>Aizvietošanas spēja</w:t>
            </w:r>
          </w:p>
        </w:tc>
      </w:tr>
      <w:tr w:rsidR="00952395"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952395" w:rsidRDefault="0083775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952395" w:rsidRDefault="0083775C">
            <w:pPr>
              <w:pStyle w:val="P68B1DB1-TableParagraph14"/>
              <w:spacing w:before="108"/>
              <w:rPr>
                <w:bCs/>
              </w:rPr>
            </w:pPr>
            <w:r>
              <w:t>Juridiskie šķēršļi ienākšanai tirgū vai paplašināšanai</w:t>
            </w:r>
          </w:p>
          <w:p w14:paraId="7FE1BB4F" w14:textId="77777777" w:rsidR="00952395" w:rsidRDefault="00952395">
            <w:pPr>
              <w:pStyle w:val="TableParagraph"/>
              <w:spacing w:before="108"/>
              <w:rPr>
                <w:rFonts w:ascii="Times New Roman" w:hAnsi="Times New Roman" w:cs="Times New Roman"/>
                <w:color w:val="000000" w:themeColor="text1"/>
                <w:sz w:val="20"/>
                <w:szCs w:val="20"/>
              </w:rPr>
            </w:pPr>
          </w:p>
          <w:p w14:paraId="7FE1BB50" w14:textId="77777777" w:rsidR="00952395" w:rsidRDefault="0083775C">
            <w:pPr>
              <w:pStyle w:val="P68B1DB1-TableParagraph13"/>
              <w:spacing w:before="108"/>
            </w:pPr>
            <w:r>
              <w:t xml:space="preserve">Juridiski šķēršļi, kas liedz konkurentiem piedāvāt pakalpojumu. Juridiskās prasības kredītiestāžu darbības veikšanai (piemēram, banku licences vai kapitāla prasības) nav uzskatāmas par </w:t>
            </w:r>
            <w:r>
              <w:lastRenderedPageBreak/>
              <w:t xml:space="preserve">nepārvaramiem šķēršļiem alternatīvu pakalpojumu sniedzēju klātbūtnē. Šis rādītājs jāuzrāda kopās, kas ir vienādas katrai apakšfunkcijai: </w:t>
            </w:r>
          </w:p>
          <w:p w14:paraId="7FE1BB51" w14:textId="068F91A0" w:rsidR="00952395" w:rsidRDefault="0083775C">
            <w:pPr>
              <w:pStyle w:val="P68B1DB1-ListParagraph39"/>
              <w:numPr>
                <w:ilvl w:val="0"/>
                <w:numId w:val="275"/>
              </w:numPr>
              <w:jc w:val="both"/>
            </w:pPr>
            <w:r>
              <w:t xml:space="preserve">nav būtisku šķēršļu, </w:t>
            </w:r>
          </w:p>
          <w:p w14:paraId="7FE1BB52" w14:textId="6D8354EB" w:rsidR="00952395" w:rsidRDefault="0083775C">
            <w:pPr>
              <w:pStyle w:val="P68B1DB1-ListParagraph39"/>
              <w:numPr>
                <w:ilvl w:val="0"/>
                <w:numId w:val="275"/>
              </w:numPr>
              <w:jc w:val="both"/>
            </w:pPr>
            <w:r>
              <w:t xml:space="preserve">daži šķēršļi, </w:t>
            </w:r>
          </w:p>
          <w:p w14:paraId="7FE1BB53" w14:textId="1BC21AC5" w:rsidR="00952395" w:rsidRDefault="0083775C">
            <w:pPr>
              <w:pStyle w:val="P68B1DB1-ListParagraph39"/>
              <w:numPr>
                <w:ilvl w:val="0"/>
                <w:numId w:val="275"/>
              </w:numPr>
              <w:jc w:val="both"/>
            </w:pPr>
            <w:r>
              <w:t xml:space="preserve">būtiski (bet nepārvarami) šķēršļi, </w:t>
            </w:r>
          </w:p>
          <w:p w14:paraId="7FE1BB55" w14:textId="539429F5" w:rsidR="00952395" w:rsidRDefault="0083775C">
            <w:pPr>
              <w:pStyle w:val="P68B1DB1-ListParagraph8"/>
              <w:numPr>
                <w:ilvl w:val="0"/>
                <w:numId w:val="275"/>
              </w:numPr>
              <w:jc w:val="both"/>
            </w:pPr>
            <w:r>
              <w:t>kritiski (sarežģīti pārvarami) šķēršļi.</w:t>
            </w:r>
          </w:p>
        </w:tc>
      </w:tr>
      <w:tr w:rsidR="00952395"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952395" w:rsidRDefault="0083775C">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952395" w:rsidRDefault="0083775C">
            <w:pPr>
              <w:pStyle w:val="P68B1DB1-TableParagraph14"/>
              <w:spacing w:before="108"/>
              <w:rPr>
                <w:bCs/>
              </w:rPr>
            </w:pPr>
            <w:r>
              <w:t>Ekspluatācijas prasības ieiešanai tirgū vai paplašināšanai</w:t>
            </w:r>
          </w:p>
          <w:p w14:paraId="7FE1BB59" w14:textId="77777777" w:rsidR="00952395" w:rsidRDefault="00952395">
            <w:pPr>
              <w:pStyle w:val="TableParagraph"/>
              <w:spacing w:before="108"/>
              <w:rPr>
                <w:rFonts w:ascii="Times New Roman" w:hAnsi="Times New Roman" w:cs="Times New Roman"/>
                <w:color w:val="000000" w:themeColor="text1"/>
                <w:sz w:val="20"/>
                <w:szCs w:val="20"/>
              </w:rPr>
            </w:pPr>
          </w:p>
          <w:p w14:paraId="7FE1BB5A" w14:textId="7291B555" w:rsidR="00952395" w:rsidRDefault="0083775C">
            <w:pPr>
              <w:pStyle w:val="P68B1DB1-TableParagraph13"/>
              <w:spacing w:before="108"/>
            </w:pPr>
            <w:r>
              <w:t xml:space="preserve">Organizatoriskās, tehniskās un infrastruktūras prasības konkurentiem, lai piedāvātu pakalpojumu. Lai piedāvātu pakalpojumus, kas saistīti ar (apakš)funkciju, pakalpojumu sniedzējiem ir jāiegulda (jaunā vai papildu) infrastruktūrā vai jāmaina savas organizācijas. Novērtēt tirgus spēju absorbēt konkrēto uzņēmējdarbību. </w:t>
            </w:r>
          </w:p>
          <w:p w14:paraId="7FE1BB5B" w14:textId="77777777" w:rsidR="00952395" w:rsidRDefault="0083775C">
            <w:pPr>
              <w:pStyle w:val="P68B1DB1-TableParagraph13"/>
              <w:spacing w:before="108"/>
            </w:pPr>
            <w:r>
              <w:t xml:space="preserve">Šis rādītājs jāuzrāda kopās, kas ir vienādas katrai apakšfunkcijai: </w:t>
            </w:r>
          </w:p>
          <w:p w14:paraId="7FE1BB5C" w14:textId="7C8E68F5" w:rsidR="00952395" w:rsidRDefault="0083775C">
            <w:pPr>
              <w:pStyle w:val="P68B1DB1-ListParagraph39"/>
              <w:numPr>
                <w:ilvl w:val="0"/>
                <w:numId w:val="278"/>
              </w:numPr>
              <w:jc w:val="both"/>
            </w:pPr>
            <w:r>
              <w:t xml:space="preserve">nav būtisku prasību, </w:t>
            </w:r>
          </w:p>
          <w:p w14:paraId="7FE1BB5D" w14:textId="227F4B1C" w:rsidR="00952395" w:rsidRDefault="0083775C">
            <w:pPr>
              <w:pStyle w:val="P68B1DB1-ListParagraph39"/>
              <w:numPr>
                <w:ilvl w:val="0"/>
                <w:numId w:val="278"/>
              </w:numPr>
              <w:jc w:val="both"/>
            </w:pPr>
            <w:r>
              <w:t xml:space="preserve">dažas prasības, </w:t>
            </w:r>
          </w:p>
          <w:p w14:paraId="7FE1BB5E" w14:textId="11C740DB" w:rsidR="00952395" w:rsidRDefault="0083775C">
            <w:pPr>
              <w:pStyle w:val="P68B1DB1-ListParagraph39"/>
              <w:numPr>
                <w:ilvl w:val="0"/>
                <w:numId w:val="278"/>
              </w:numPr>
              <w:jc w:val="both"/>
            </w:pPr>
            <w:r>
              <w:t xml:space="preserve">būtiskas (bet nepārvaramas) prasības, </w:t>
            </w:r>
          </w:p>
          <w:p w14:paraId="7FE1BB5F" w14:textId="701458A3" w:rsidR="00952395" w:rsidRDefault="0083775C">
            <w:pPr>
              <w:pStyle w:val="P68B1DB1-ListParagraph39"/>
              <w:numPr>
                <w:ilvl w:val="0"/>
                <w:numId w:val="278"/>
              </w:numPr>
              <w:jc w:val="both"/>
            </w:pPr>
            <w:r>
              <w:t>kritiskas (sarežģītas) prasības.</w:t>
            </w:r>
          </w:p>
          <w:p w14:paraId="7FE1BB64" w14:textId="7064EEB7" w:rsidR="00952395" w:rsidRDefault="0083775C">
            <w:pPr>
              <w:pStyle w:val="P68B1DB1-TableParagraph40"/>
              <w:spacing w:before="108"/>
              <w:ind w:left="720"/>
              <w:jc w:val="both"/>
              <w:rPr>
                <w:color w:val="000000" w:themeColor="text1"/>
              </w:rPr>
            </w:pPr>
            <w:r>
              <w:t xml:space="preserve"> </w:t>
            </w:r>
          </w:p>
        </w:tc>
      </w:tr>
      <w:tr w:rsidR="00952395"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952395" w:rsidRDefault="0083775C">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952395" w:rsidRDefault="0083775C">
            <w:pPr>
              <w:pStyle w:val="P68B1DB1-TableParagraph14"/>
              <w:spacing w:before="108"/>
              <w:rPr>
                <w:bCs/>
              </w:rPr>
            </w:pPr>
            <w:r>
              <w:t>Kritiskā svarīguma novērtējums</w:t>
            </w:r>
          </w:p>
        </w:tc>
      </w:tr>
      <w:tr w:rsidR="00952395"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952395" w:rsidRDefault="0083775C">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952395" w:rsidRDefault="0083775C">
            <w:pPr>
              <w:pStyle w:val="P68B1DB1-TableParagraph14"/>
              <w:spacing w:before="108"/>
              <w:rPr>
                <w:bCs/>
              </w:rPr>
            </w:pPr>
            <w:r>
              <w:t xml:space="preserve">Ietekme uz tirgu </w:t>
            </w:r>
          </w:p>
          <w:p w14:paraId="7FE1BB6B" w14:textId="77777777" w:rsidR="00952395" w:rsidRDefault="0083775C">
            <w:pPr>
              <w:pStyle w:val="P68B1DB1-TableParagraph13"/>
              <w:spacing w:before="108"/>
            </w:pPr>
            <w:r>
              <w:t>Aplēstā ietekme, ko funkcijas pēkšņa pārtraukšana radītu uz trešajām personām, finanšu tirgiem un reālo ekonomiku, ņemot vērā apmēru, tirgus daļu valstī, ārējās un iekšējās savstarpējās saiknes, sarežģītību un iestādes pārrobežu darbības.</w:t>
            </w:r>
          </w:p>
          <w:p w14:paraId="7FE1BB6C" w14:textId="3006E0F1" w:rsidR="00952395" w:rsidRDefault="0083775C">
            <w:pPr>
              <w:pStyle w:val="P68B1DB1-TableParagraph13"/>
              <w:spacing w:before="108"/>
            </w:pPr>
            <w:r>
              <w:t>Šo novērtējumu kvalitatīvi izsaka kā “augstu”, “vidēji augstu”, “vidēji zemu” vai “zemu”.</w:t>
            </w:r>
          </w:p>
          <w:p w14:paraId="7FE1BB6D" w14:textId="091B1AD9" w:rsidR="00952395" w:rsidRDefault="0083775C">
            <w:pPr>
              <w:pStyle w:val="P68B1DB1-TableParagraph13"/>
              <w:spacing w:before="108"/>
            </w:pPr>
            <w:r>
              <w:t>“Augsta” norāda tad, ja pārtraukšanai ir būtiska ietekme uz valsts tirgu; “VA” — ja ietekme ir ievērojama; “VZ” — ja ietekme ir vērā ņemama, taču ierobežota; un “Zems” — ja ietekme ir zema.</w:t>
            </w:r>
          </w:p>
        </w:tc>
      </w:tr>
      <w:tr w:rsidR="00952395"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952395" w:rsidRDefault="0083775C">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952395" w:rsidRDefault="0083775C">
            <w:pPr>
              <w:pStyle w:val="P68B1DB1-TableParagraph14"/>
              <w:spacing w:before="108"/>
              <w:rPr>
                <w:bCs/>
              </w:rPr>
            </w:pPr>
            <w:r>
              <w:t>Aizstājamība</w:t>
            </w:r>
          </w:p>
          <w:p w14:paraId="7FE1BB71" w14:textId="77777777" w:rsidR="00952395" w:rsidRDefault="0083775C">
            <w:pPr>
              <w:pStyle w:val="P68B1DB1-TableParagraph13"/>
              <w:spacing w:before="108"/>
            </w:pPr>
            <w:r>
              <w:t>Deleģētās regulas (ES) 2016/778 6. panta 3. punkts.</w:t>
            </w:r>
          </w:p>
          <w:p w14:paraId="7FE1BB72" w14:textId="77777777" w:rsidR="00952395" w:rsidRDefault="0083775C">
            <w:pPr>
              <w:pStyle w:val="P68B1DB1-TableParagraph13"/>
              <w:spacing w:before="108"/>
            </w:pPr>
            <w:r>
              <w:t>Funkciju uzskata par aizstājamu, ja to var aizstāt pieņemamā veidā un samērīgā laika posmā, tādējādi novēršot sistēmiskas problēmas reālajā ekonomikā un finanšu tirgos. Ņem vērā:</w:t>
            </w:r>
          </w:p>
          <w:p w14:paraId="7FE1BB73" w14:textId="77777777" w:rsidR="00952395" w:rsidRDefault="0083775C">
            <w:pPr>
              <w:pStyle w:val="P68B1DB1-TableParagraph13"/>
              <w:spacing w:before="108"/>
            </w:pPr>
            <w:r>
              <w:t xml:space="preserve">(a) tirgus struktūru attiecīgajai funkcijai un aizstājējfunkcijas nodrošinātāju pieejamību; </w:t>
            </w:r>
          </w:p>
          <w:p w14:paraId="7FE1BB74" w14:textId="77777777" w:rsidR="00952395" w:rsidRDefault="0083775C">
            <w:pPr>
              <w:pStyle w:val="P68B1DB1-TableParagraph13"/>
              <w:spacing w:before="108"/>
            </w:pPr>
            <w:r>
              <w:t xml:space="preserve">(b) citu pakalpojumu sniedzēju spējas attiecībā uz kapacitāti, funkcijas veikšanas prasības un iespējamos tirgū ienākšanas vai paplašināšanās šķēršļus; </w:t>
            </w:r>
          </w:p>
          <w:p w14:paraId="7FE1BB75" w14:textId="77777777" w:rsidR="00952395" w:rsidRDefault="0083775C">
            <w:pPr>
              <w:pStyle w:val="P68B1DB1-TableParagraph13"/>
              <w:spacing w:before="108"/>
            </w:pPr>
            <w:r>
              <w:t xml:space="preserve">(c) citu pakalpojumu sniedzēju stimulu uzņemties šādu darbību veikšanu; </w:t>
            </w:r>
          </w:p>
          <w:p w14:paraId="7FE1BB76" w14:textId="77777777" w:rsidR="00952395" w:rsidRDefault="0083775C">
            <w:pPr>
              <w:pStyle w:val="P68B1DB1-TableParagraph13"/>
              <w:spacing w:before="108"/>
            </w:pPr>
            <w:r>
              <w:t>(d) laiku, kas pakalpojuma lietotājiem nepieciešams, lai pārietu pie jaunā pakalpojumu sniedzēja, un šādas darbības izmaksas, laiku, kas citiem konkurentiem nepieciešams, lai pārņemtu konkrētās funkcijas, un tas, vai ir pietiekami daudz laika, lai novērstu būtisku darbības pārtraukšanu atkarībā no pakalpojuma veida.</w:t>
            </w:r>
          </w:p>
          <w:p w14:paraId="7FE1BB77" w14:textId="34C328B6" w:rsidR="00952395" w:rsidRDefault="0083775C">
            <w:pPr>
              <w:pStyle w:val="P68B1DB1-TableParagraph13"/>
              <w:spacing w:before="108"/>
            </w:pPr>
            <w:r>
              <w:t xml:space="preserve">Sniedz vispārēju novērtējumu par katras funkcijas paredzamo aizstājamības pakāpi, ņemot vērā iepriekš novērtētās dažādās dimensijas (tirgus daļu, tirgus koncentrāciju, aizstāšanas laiku, juridiskos šķēršļus un darbības prasības ienākšanai tirgū vai paplašināšanai). Šo novērtējumu kvalitatīvi izsaka kā “augstu”, “vidēji augstu”, “vidēji zemu” vai “zemu”. </w:t>
            </w:r>
          </w:p>
          <w:p w14:paraId="7FE1BB78" w14:textId="70240340" w:rsidR="00952395" w:rsidRDefault="0083775C">
            <w:pPr>
              <w:pStyle w:val="P68B1DB1-TableParagraph13"/>
              <w:spacing w:before="108"/>
            </w:pPr>
            <w:r>
              <w:t>“A” norāda, ja cita banka var viegli nodrošināt funkciju ar salīdzināmiem nosacījumiem un samērīgā laika posmā;</w:t>
            </w:r>
          </w:p>
          <w:p w14:paraId="7FE1BB79" w14:textId="3DFD8C4F" w:rsidR="00952395" w:rsidRDefault="0083775C">
            <w:pPr>
              <w:pStyle w:val="P68B1DB1-TableParagraph13"/>
              <w:spacing w:before="108"/>
            </w:pPr>
            <w:r>
              <w:lastRenderedPageBreak/>
              <w:t xml:space="preserve">“Z” — ja funkciju nevar vienkārši vai ātri aizstāt; </w:t>
            </w:r>
          </w:p>
          <w:p w14:paraId="7FE1BB7A" w14:textId="4DB7815A" w:rsidR="00952395" w:rsidRDefault="0083775C">
            <w:pPr>
              <w:pStyle w:val="P68B1DB1-TableParagraph13"/>
              <w:spacing w:before="108"/>
            </w:pPr>
            <w:r>
              <w:t>“VA” un “VZ” — pārējos gadījumos, ņemot vērā dažādus aspektus (piem., tirgus daļu, tirgus koncentrāciju, laiku aizstāšanai, kā arī juridiskos šķēršļus un darbības prasības ienākšanai vai izvēršanai).</w:t>
            </w:r>
          </w:p>
        </w:tc>
      </w:tr>
      <w:tr w:rsidR="00952395"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952395" w:rsidRDefault="0083775C">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952395" w:rsidRDefault="0083775C">
            <w:pPr>
              <w:pStyle w:val="P68B1DB1-TableParagraph14"/>
              <w:spacing w:before="108"/>
              <w:rPr>
                <w:bCs/>
              </w:rPr>
            </w:pPr>
            <w:r>
              <w:t>Kritiski svarīga funkcija</w:t>
            </w:r>
          </w:p>
          <w:p w14:paraId="7FE1BB7E" w14:textId="77777777" w:rsidR="00952395" w:rsidRDefault="0083775C">
            <w:pPr>
              <w:pStyle w:val="P68B1DB1-TableParagraph13"/>
              <w:spacing w:before="108"/>
            </w:pPr>
            <w:r>
              <w:t>Šajā slejā norāda, vai, ņemot vērā ietekmes un aizvietošanas analīzi, ko veicis iestāde, ekonomiskā funkcija tiek uzskatīta par kritiski svarīgu attiecīgās valsts tirgū.</w:t>
            </w:r>
          </w:p>
          <w:p w14:paraId="7FE1BB7F" w14:textId="77777777" w:rsidR="00952395" w:rsidRDefault="0083775C">
            <w:pPr>
              <w:pStyle w:val="P68B1DB1-TableParagraph13"/>
              <w:spacing w:before="108"/>
            </w:pPr>
            <w:r>
              <w:t>Norādīt “Jā” vai “Nē”.</w:t>
            </w:r>
          </w:p>
        </w:tc>
      </w:tr>
      <w:tr w:rsidR="00952395"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952395" w:rsidRDefault="0083775C">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952395" w:rsidRDefault="0083775C">
            <w:pPr>
              <w:pStyle w:val="P68B1DB1-TableParagraph14"/>
              <w:spacing w:before="108"/>
              <w:rPr>
                <w:bCs/>
              </w:rPr>
            </w:pPr>
            <w:r>
              <w:t>Grupas komentāri</w:t>
            </w:r>
          </w:p>
          <w:p w14:paraId="7FE1BB83" w14:textId="77777777" w:rsidR="00952395" w:rsidRDefault="0083775C">
            <w:pPr>
              <w:pStyle w:val="P68B1DB1-TableParagraph13"/>
              <w:spacing w:before="108"/>
            </w:pPr>
            <w:r>
              <w:t>Šis lauks ļauj pārskatu sniedzošajai vienībai paskaidrot visus pieņēmumus, kas izmantoti, lai novērtētu paziņotās(-o) funkcijas(-u) kritiskumu.</w:t>
            </w:r>
          </w:p>
        </w:tc>
      </w:tr>
    </w:tbl>
    <w:p w14:paraId="7FE1BB85" w14:textId="77777777" w:rsidR="00952395" w:rsidRDefault="00952395">
      <w:pPr>
        <w:rPr>
          <w:rFonts w:ascii="Times New Roman" w:hAnsi="Times New Roman" w:cs="Times New Roman"/>
          <w:color w:val="000000" w:themeColor="text1"/>
          <w:sz w:val="20"/>
          <w:szCs w:val="20"/>
        </w:rPr>
      </w:pPr>
    </w:p>
    <w:p w14:paraId="7FE1BB86" w14:textId="61485090" w:rsidR="00952395" w:rsidRDefault="0083775C">
      <w:pPr>
        <w:pStyle w:val="P68B1DB1-Instructionsberschrift25"/>
        <w:numPr>
          <w:ilvl w:val="1"/>
          <w:numId w:val="49"/>
        </w:numPr>
        <w:ind w:left="357" w:hanging="357"/>
      </w:pPr>
      <w:bookmarkStart w:id="117" w:name="_Toc208244957"/>
      <w:r>
        <w:t>Z 07.01.3 FUNC 1 ALGA</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52395"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952395" w:rsidRDefault="0083775C">
            <w:pPr>
              <w:pStyle w:val="P68B1DB1-TableParagraph17"/>
              <w:spacing w:before="108"/>
              <w:ind w:left="85"/>
              <w:jc w:val="both"/>
            </w:pPr>
            <w:r>
              <w:t>Slejas</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952395" w:rsidRDefault="0083775C">
            <w:pPr>
              <w:pStyle w:val="P68B1DB1-TableParagraph17"/>
              <w:spacing w:before="108"/>
              <w:ind w:left="85" w:right="1"/>
              <w:jc w:val="both"/>
            </w:pPr>
            <w:r>
              <w:t>Norādījumi</w:t>
            </w:r>
          </w:p>
        </w:tc>
      </w:tr>
      <w:tr w:rsidR="00952395"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952395" w:rsidRDefault="0083775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952395" w:rsidRDefault="0083775C">
            <w:pPr>
              <w:pStyle w:val="P68B1DB1-TableParagraph14"/>
              <w:spacing w:before="108"/>
              <w:ind w:left="85"/>
              <w:jc w:val="both"/>
              <w:rPr>
                <w:bCs/>
              </w:rPr>
            </w:pPr>
            <w:r>
              <w:t>Ekonomiskās funkcijas apraksts</w:t>
            </w:r>
          </w:p>
          <w:p w14:paraId="7FE1BB94" w14:textId="56901CA7" w:rsidR="00952395" w:rsidRDefault="0083775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Ja saimnieciskā funkcija ir “Cita” (Z</w:t>
            </w:r>
            <w:r>
              <w:t>07.01.3. FUNC 1 PAY r0220 līdz</w:t>
            </w:r>
            <w:r>
              <w:rPr>
                <w:rFonts w:ascii="Times New Roman" w:eastAsia="Cambria" w:hAnsi="Times New Roman" w:cs="Times New Roman"/>
                <w:color w:val="000000" w:themeColor="text1"/>
                <w:sz w:val="20"/>
                <w:szCs w:val="20"/>
              </w:rPr>
              <w:t xml:space="preserve">r0240), sniedz šīs funkcijas aprakstu. </w:t>
            </w:r>
          </w:p>
        </w:tc>
      </w:tr>
      <w:tr w:rsidR="00952395"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952395" w:rsidRDefault="0083775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952395" w:rsidRDefault="0083775C">
            <w:pPr>
              <w:pStyle w:val="P68B1DB1-TableParagraph14"/>
              <w:spacing w:before="108"/>
              <w:ind w:left="85"/>
              <w:jc w:val="both"/>
              <w:rPr>
                <w:bCs/>
              </w:rPr>
            </w:pPr>
            <w:r>
              <w:t xml:space="preserve">Tirgus daļa </w:t>
            </w:r>
          </w:p>
          <w:p w14:paraId="7FE1BB98" w14:textId="71A825FB" w:rsidR="00952395" w:rsidRDefault="0083775C">
            <w:pPr>
              <w:pStyle w:val="P68B1DB1-TableParagraph17"/>
              <w:spacing w:before="108"/>
              <w:ind w:left="85"/>
            </w:pPr>
            <w:r>
              <w:t>Iestādes vai grupas aplēstā tirgus daļa ekonomiskajai funkcijai attiecīgajā valstī vai ģeogrāfiskajā reģionā. Kā procentuālā daļa no kopējā tirgus monetāras summas izteiksmē. Tas atbilst darījumu vērtībai attiecībā uz maksājumu pakalpojumiem MFI un ne-MFI, atvērto pozīciju vērtībai CCP tīrvērtes pakalpojumiem un glabāšanā esošo aktīvu vērtībai attiecībā uz turēšanas pakalpojumiem.</w:t>
            </w:r>
          </w:p>
        </w:tc>
      </w:tr>
      <w:tr w:rsidR="00952395"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952395" w:rsidRDefault="0083775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952395" w:rsidRDefault="0083775C">
            <w:pPr>
              <w:pStyle w:val="P68B1DB1-TableParagraph14"/>
              <w:spacing w:before="108"/>
              <w:rPr>
                <w:bCs/>
              </w:rPr>
            </w:pPr>
            <w:r>
              <w:t>Darījumu vērtība</w:t>
            </w:r>
          </w:p>
          <w:p w14:paraId="7FE1BB9C" w14:textId="77777777" w:rsidR="00952395" w:rsidRDefault="0083775C">
            <w:pPr>
              <w:pStyle w:val="P68B1DB1-TableParagraph17"/>
              <w:spacing w:before="108"/>
            </w:pPr>
            <w:r>
              <w:t>Principā pārskatu iesniedz par ikdienas darījumu vidējo vērtību gada laikā. Ja tā nav pieejama, pārskatā var norādīt vidējo vērtību īsākā posmā (piem., dažos mēnešos).</w:t>
            </w:r>
          </w:p>
          <w:p w14:paraId="7FE1BB9D" w14:textId="32F9B039" w:rsidR="00952395" w:rsidRDefault="0083775C">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Maksājumu pakalpojumi (funkcijas ID 3.1 un 3.2): Nosūtīto darījumu vērtība.</w:t>
            </w:r>
            <w:r>
              <w:t xml:space="preserve"> </w:t>
            </w:r>
            <w:r>
              <w:rPr>
                <w:rFonts w:ascii="Times New Roman" w:eastAsia="Cambria" w:hAnsi="Times New Roman" w:cs="Times New Roman"/>
                <w:color w:val="000000" w:themeColor="text1"/>
                <w:sz w:val="20"/>
                <w:szCs w:val="20"/>
              </w:rPr>
              <w:t>Atsauces: Direktīvas (ES) 2015/2366 par maksājumu pakalpojumiem iekšējā tirgū 4. panta 5. punkts; Eiropas Centrālās bankas Regula (ES) 2020/2011, ar ko groza Regulu (ES) Nr. 1409/2013 par maksājumu statistiku (ECB/2020/59)</w:t>
            </w:r>
          </w:p>
          <w:p w14:paraId="7FE1BB9E" w14:textId="77777777" w:rsidR="00952395" w:rsidRDefault="0083775C">
            <w:pPr>
              <w:pStyle w:val="P68B1DB1-TableParagraph17"/>
              <w:spacing w:before="108"/>
            </w:pPr>
            <w:r>
              <w:t>Skaidras naudas pakalpojumi (funkcijas ID 3.3): ATM darījumu, kas veikti bankomātos, ziņošanas vērtība</w:t>
            </w:r>
          </w:p>
          <w:p w14:paraId="7FE1BB9F" w14:textId="34BA0294" w:rsidR="00952395" w:rsidRDefault="0083775C">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iestāde, kā definēts Eiropas Centrālās bankas Regulas (ES) Nr. 1409/2013 par maksājumu statistiku</w:t>
            </w:r>
            <w:r>
              <w:rPr>
                <w:rFonts w:ascii="Times New Roman" w:hAnsi="Times New Roman" w:cs="Times New Roman"/>
                <w:b/>
              </w:rPr>
              <w:t xml:space="preserve"> </w:t>
            </w:r>
            <w:r>
              <w:rPr>
                <w:rFonts w:ascii="Times New Roman" w:eastAsia="Cambria" w:hAnsi="Times New Roman" w:cs="Times New Roman"/>
                <w:color w:val="000000" w:themeColor="text1"/>
              </w:rPr>
              <w:t xml:space="preserve"> (ECB/2013/43) 5.a tabulā, kā arī ārpusbiržas skaidra nauda</w:t>
            </w:r>
          </w:p>
          <w:p w14:paraId="7FE1BBA0" w14:textId="0D8555C2" w:rsidR="00952395" w:rsidRDefault="0083775C">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atsaukšana pārskatu sniedzējas iestādes filiālēs, kā definēts ECB/2014/15</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tabulā</w:t>
            </w:r>
          </w:p>
          <w:p w14:paraId="7FE1BBA1" w14:textId="77777777" w:rsidR="00952395" w:rsidRDefault="0083775C">
            <w:pPr>
              <w:pStyle w:val="P68B1DB1-TableParagraph17"/>
              <w:spacing w:before="108"/>
            </w:pPr>
            <w:r>
              <w:t>Vērtspapīru norēķinu pakalpojumi (funkcijas ID 3.4): Apstrādāto vērtspapīru pārvedumu vērtība</w:t>
            </w:r>
          </w:p>
          <w:p w14:paraId="7FE1BBA2" w14:textId="77777777" w:rsidR="00952395" w:rsidRDefault="0083775C">
            <w:pPr>
              <w:pStyle w:val="P68B1DB1-TableParagraph17"/>
              <w:spacing w:before="108"/>
            </w:pPr>
            <w:r>
              <w:lastRenderedPageBreak/>
              <w:t>klientu vārdā Tas ietver darījumus, par kuriem norēķinās ar vērtspapīru norēķiniem.</w:t>
            </w:r>
          </w:p>
          <w:p w14:paraId="7FE1BBA3" w14:textId="77777777" w:rsidR="00952395" w:rsidRDefault="0083775C">
            <w:pPr>
              <w:pStyle w:val="P68B1DB1-TableParagraph17"/>
              <w:spacing w:before="108"/>
            </w:pPr>
            <w:r>
              <w:t>sistēma vai pārskatu sniedzēju struktūru iekšējie norēķini un “bezmaksas”</w:t>
            </w:r>
          </w:p>
          <w:p w14:paraId="7FE1BBA4" w14:textId="77777777" w:rsidR="00952395" w:rsidRDefault="0083775C">
            <w:pPr>
              <w:pStyle w:val="P68B1DB1-TableParagraph17"/>
              <w:spacing w:before="108"/>
            </w:pPr>
            <w:r>
              <w:t>apstrādei. Norādiet tikai nosūtīto darījumu vērtību.</w:t>
            </w:r>
          </w:p>
        </w:tc>
      </w:tr>
      <w:tr w:rsidR="00952395"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952395" w:rsidRDefault="0083775C">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952395" w:rsidRDefault="0083775C">
            <w:pPr>
              <w:pStyle w:val="P68B1DB1-TableParagraph14"/>
              <w:spacing w:before="108"/>
              <w:rPr>
                <w:bCs/>
              </w:rPr>
            </w:pPr>
            <w:r>
              <w:t>To darījumu vērtība, kas atkārtojas</w:t>
            </w:r>
          </w:p>
          <w:p w14:paraId="7FE1BBA8" w14:textId="484D97FA" w:rsidR="00952395" w:rsidRDefault="0083775C">
            <w:pPr>
              <w:pStyle w:val="P68B1DB1-TableParagraph17"/>
              <w:spacing w:before="108"/>
            </w:pPr>
            <w:r>
              <w:t>To darījumu vērtība, kas uzrādīti (0030) periodisko maksājumu pakalpojumu kontā.  Regulārie maksājumu pakalpojumu konti ir maksājumu pakalpojumu konti, kuros konts ir debetēts vai kreditēts ar vidēji 5 mēneša darījumiem sešu mēnešu laikā pirms robeždatuma, izņemot gada tarifus, citus maksājumus un procentu maksājumus, kas saistīti ar kontu.</w:t>
            </w:r>
            <w:r>
              <w:tab/>
            </w:r>
            <w:r>
              <w:tab/>
            </w:r>
            <w:r>
              <w:tab/>
            </w:r>
            <w:r>
              <w:tab/>
            </w:r>
            <w:r>
              <w:tab/>
            </w:r>
            <w:r>
              <w:tab/>
            </w:r>
            <w:r>
              <w:tab/>
            </w:r>
            <w:r>
              <w:tab/>
            </w:r>
          </w:p>
        </w:tc>
      </w:tr>
      <w:tr w:rsidR="00952395"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952395" w:rsidRDefault="0083775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952395" w:rsidRDefault="0083775C">
            <w:pPr>
              <w:pStyle w:val="P68B1DB1-Normal42"/>
              <w:rPr>
                <w:bCs/>
              </w:rPr>
            </w:pPr>
            <w:r>
              <w:t>Atvērto pozīciju vērtība</w:t>
            </w:r>
          </w:p>
          <w:p w14:paraId="7FE1BBAC" w14:textId="77777777" w:rsidR="00952395" w:rsidRDefault="0083775C">
            <w:pPr>
              <w:pStyle w:val="P68B1DB1-TableParagraph17"/>
              <w:spacing w:before="108"/>
              <w:jc w:val="both"/>
            </w:pPr>
            <w:r>
              <w:t>Ziņo tikai par funkciju ID 3.5 “CCP tīrvērtes pakalpojumi”: pozīcijas (ekspozīcija), kuras:</w:t>
            </w:r>
          </w:p>
          <w:p w14:paraId="7FE1BBAD" w14:textId="77777777" w:rsidR="00952395" w:rsidRDefault="0083775C">
            <w:pPr>
              <w:pStyle w:val="P68B1DB1-TableParagraph17"/>
              <w:spacing w:before="108"/>
              <w:jc w:val="both"/>
            </w:pPr>
            <w:r>
              <w:t>CCP, kuru dalībniece ir iestāde, tās vārdā rīkojas ar iestādi</w:t>
            </w:r>
          </w:p>
          <w:p w14:paraId="7FE1BBAE" w14:textId="63CC2224" w:rsidR="00952395" w:rsidRDefault="0083775C">
            <w:pPr>
              <w:pStyle w:val="P68B1DB1-TableParagraph17"/>
              <w:spacing w:before="108"/>
              <w:jc w:val="both"/>
            </w:pPr>
            <w:r>
              <w:t>klienti. Norāda vidējo dienas vērtību atklātajām pozīcijām saistībā ar klienta darbību CDP.</w:t>
            </w:r>
          </w:p>
          <w:p w14:paraId="7FE1BBAF" w14:textId="77777777" w:rsidR="00952395" w:rsidRDefault="0083775C">
            <w:pPr>
              <w:pStyle w:val="P68B1DB1-TableParagraph17"/>
              <w:spacing w:before="108"/>
              <w:jc w:val="both"/>
            </w:pPr>
            <w:r>
              <w:t>CCP. Ja tā nav pieejama, pārskatā var norādīt vidējās vērtības īsākā posmā (piem., dažos mēnešos).</w:t>
            </w:r>
          </w:p>
          <w:p w14:paraId="7FE1BBB0" w14:textId="77777777" w:rsidR="00952395" w:rsidRDefault="0083775C">
            <w:pPr>
              <w:pStyle w:val="P68B1DB1-TableParagraph17"/>
              <w:spacing w:before="108"/>
              <w:jc w:val="both"/>
            </w:pPr>
            <w:r>
              <w:t>vai atvērtas pozīcijas gada beigās.</w:t>
            </w:r>
          </w:p>
        </w:tc>
      </w:tr>
      <w:tr w:rsidR="00952395"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952395" w:rsidRDefault="0083775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952395" w:rsidRDefault="0083775C">
            <w:pPr>
              <w:pStyle w:val="P68B1DB1-Normal42"/>
              <w:rPr>
                <w:bCs/>
              </w:rPr>
            </w:pPr>
            <w:r>
              <w:t>Glabāšanā esošu aktīvu vērtība</w:t>
            </w:r>
          </w:p>
          <w:p w14:paraId="7FE1BBB4" w14:textId="77777777" w:rsidR="00952395" w:rsidRDefault="0083775C">
            <w:pPr>
              <w:pStyle w:val="P68B1DB1-TableParagraph13"/>
              <w:spacing w:before="108"/>
              <w:jc w:val="both"/>
            </w:pPr>
            <w:r>
              <w:t>Ziņo tikai par funkciju ID 3.6 “Pārraudzības pakalpojumi”: pārvaldīto aktīvu apjoms;</w:t>
            </w:r>
          </w:p>
          <w:p w14:paraId="7FE1BBB5" w14:textId="77777777" w:rsidR="00952395" w:rsidRDefault="0083775C">
            <w:pPr>
              <w:pStyle w:val="P68B1DB1-TableParagraph13"/>
              <w:spacing w:before="108"/>
              <w:jc w:val="both"/>
            </w:pPr>
            <w:r>
              <w:t>patiesās vērtības izmantošana. Ja patiesā vērtība nav pieejama, drīkst izmantot citu novērtējuma bāzi, tostarp nominālvērtību.</w:t>
            </w:r>
          </w:p>
          <w:p w14:paraId="7FE1BBB6" w14:textId="77777777" w:rsidR="00952395" w:rsidRDefault="0083775C">
            <w:pPr>
              <w:pStyle w:val="P68B1DB1-TableParagraph13"/>
              <w:spacing w:before="108"/>
              <w:jc w:val="both"/>
            </w:pPr>
            <w:r>
              <w:t>vērtība nav pieejama. Gadījumos, kad iestāde sniedz pakalpojumus vienībām</w:t>
            </w:r>
          </w:p>
          <w:p w14:paraId="7FE1BBB7" w14:textId="77777777" w:rsidR="00952395" w:rsidRDefault="0083775C">
            <w:pPr>
              <w:pStyle w:val="P68B1DB1-TableParagraph13"/>
              <w:spacing w:before="108"/>
              <w:jc w:val="both"/>
            </w:pPr>
            <w:r>
              <w:t>piemēram, kolektīvo ieguldījumu uzņēmumi vai pensiju fondi, attiecīgie aktīvi var:</w:t>
            </w:r>
          </w:p>
          <w:p w14:paraId="7FE1BBB8" w14:textId="77777777" w:rsidR="00952395" w:rsidRDefault="0083775C">
            <w:pPr>
              <w:pStyle w:val="P68B1DB1-TableParagraph13"/>
              <w:spacing w:before="108"/>
              <w:jc w:val="both"/>
            </w:pPr>
            <w:r>
              <w:t>jāuzrāda vērtība, par kādu šie uzņēmumi uzrāda aktīvus savā bilancē.</w:t>
            </w:r>
          </w:p>
          <w:p w14:paraId="7FE1BBB9" w14:textId="77777777" w:rsidR="00952395" w:rsidRDefault="0083775C">
            <w:pPr>
              <w:pStyle w:val="P68B1DB1-TableParagraph13"/>
              <w:spacing w:before="108"/>
              <w:jc w:val="both"/>
              <w:rPr>
                <w:b/>
                <w:bCs/>
              </w:rPr>
            </w:pPr>
            <w:r>
              <w:t>Uzrādāmajās summās attiecīgā gadījumā iekļauj uzkrātos procentus.</w:t>
            </w:r>
          </w:p>
        </w:tc>
      </w:tr>
      <w:tr w:rsidR="00952395"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952395" w:rsidRDefault="0083775C">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952395" w:rsidRDefault="0083775C">
            <w:pPr>
              <w:pStyle w:val="P68B1DB1-TableParagraph14"/>
              <w:spacing w:before="108"/>
              <w:ind w:left="85"/>
              <w:jc w:val="both"/>
              <w:rPr>
                <w:bCs/>
              </w:rPr>
            </w:pPr>
            <w:r>
              <w:t>Pārrobežu vērtība</w:t>
            </w:r>
          </w:p>
          <w:p w14:paraId="7FE1BBBD" w14:textId="77777777" w:rsidR="00952395" w:rsidRDefault="0083775C">
            <w:pPr>
              <w:pStyle w:val="P68B1DB1-TableParagraph13"/>
              <w:spacing w:before="108"/>
              <w:ind w:left="85"/>
              <w:jc w:val="both"/>
            </w:pPr>
            <w:r>
              <w:t>Nosūtīto darījumu gadījumā, lai izvairītos no dubultas uzskaites, pārrobežu darījumi ir:</w:t>
            </w:r>
          </w:p>
          <w:p w14:paraId="7FE1BBBE" w14:textId="77777777" w:rsidR="00952395" w:rsidRDefault="0083775C">
            <w:pPr>
              <w:pStyle w:val="P68B1DB1-TableParagraph13"/>
              <w:spacing w:before="108"/>
              <w:ind w:left="85"/>
              <w:jc w:val="both"/>
              <w:rPr>
                <w:b/>
                <w:bCs/>
              </w:rPr>
            </w:pPr>
            <w:r>
              <w:t>uzskaita valstī, kurā ir darījuma sākumpunkts.</w:t>
            </w:r>
          </w:p>
        </w:tc>
      </w:tr>
      <w:tr w:rsidR="00952395"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952395" w:rsidRDefault="0083775C">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952395" w:rsidRDefault="0083775C">
            <w:pPr>
              <w:pStyle w:val="P68B1DB1-Normal42"/>
              <w:rPr>
                <w:bCs/>
              </w:rPr>
            </w:pPr>
            <w:r>
              <w:t>Izlases lielums</w:t>
            </w:r>
          </w:p>
          <w:p w14:paraId="7FE1BBC2" w14:textId="18871174" w:rsidR="00952395" w:rsidRDefault="0083775C">
            <w:pPr>
              <w:pStyle w:val="P68B1DB1-TableParagraph16"/>
              <w:spacing w:before="108"/>
              <w:jc w:val="both"/>
            </w:pPr>
            <w:r>
              <w:t xml:space="preserve">Parasti uzrāda vidējo dienas darījumu skaitu gada laikā, kas atbilst vērtībām, kuras uzrādītas funkcijas ID 3.1–3.4. rindā 0160–0190, 0030. slejā. Ja tā nav pieejama, pārskatā var norādīt vidējo vērtību īsākā posmā (piem., dažos mēnešos). Īpaši attiecībā uz dažādām funkcijām izmanto tālāk norādītos mērus. </w:t>
            </w:r>
          </w:p>
          <w:p w14:paraId="7FE1BBC3" w14:textId="77777777" w:rsidR="00952395" w:rsidRDefault="0083775C">
            <w:pPr>
              <w:pStyle w:val="P68B1DB1-TableParagraph16"/>
              <w:spacing w:before="108"/>
              <w:jc w:val="both"/>
            </w:pPr>
            <w:r>
              <w:t xml:space="preserve">Maksājumu pakalpojumi (ID 3.1.–3.2.): Nosūtīto darījumu skaits. Atsauces: ES Direktīva par maksājumu pakalpojumiem iekšējā tirgū (2015/2366), 4. panta 5. punkts; ECB Regula par maksājumu statistiku (ECB/2013/43). </w:t>
            </w:r>
          </w:p>
          <w:p w14:paraId="7FE1BBC4" w14:textId="176A1AD0" w:rsidR="00952395" w:rsidRDefault="0083775C">
            <w:pPr>
              <w:pStyle w:val="P68B1DB1-TableParagraph16"/>
              <w:spacing w:before="108"/>
              <w:jc w:val="both"/>
            </w:pPr>
            <w:r>
              <w:t xml:space="preserve">Skaidras naudas pakalpojumi (ID 3.3): Bankomāta darījumu skaits, kā definēts ECB/2021/16 5.a tabulā, kā arī skaidras naudas izņemšana filiālēs, kā noteikts ECB/2014/15 4. tabulā. </w:t>
            </w:r>
          </w:p>
          <w:p w14:paraId="7FE1BBC5" w14:textId="77777777" w:rsidR="00952395" w:rsidRDefault="0083775C">
            <w:pPr>
              <w:pStyle w:val="P68B1DB1-TableParagraph16"/>
              <w:spacing w:before="108"/>
              <w:jc w:val="both"/>
              <w:rPr>
                <w:b/>
                <w:bCs/>
                <w:color w:val="000000" w:themeColor="text1"/>
                <w:sz w:val="20"/>
                <w:szCs w:val="20"/>
              </w:rPr>
            </w:pPr>
            <w:r>
              <w:t>Vērtspapīru norēķinu pakalpojumi (ID 3.4): Klientu vārdā apstrādāto vērtspapīru darījumu skaits. Tas ietver darījumus, kas veikti, izmantojot vērtspapīru norēķinu sistēmu, vai darījumus, ko pārskatu sniedzošās iestādes veikušas iekšēji, un “bezmaksas” darījumus.</w:t>
            </w:r>
          </w:p>
        </w:tc>
      </w:tr>
      <w:tr w:rsidR="00952395"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952395" w:rsidRDefault="0083775C">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952395" w:rsidRDefault="0083775C">
            <w:pPr>
              <w:pStyle w:val="P68B1DB1-TableParagraph14"/>
              <w:spacing w:before="108"/>
              <w:ind w:left="85"/>
              <w:jc w:val="both"/>
              <w:rPr>
                <w:bCs/>
              </w:rPr>
            </w:pPr>
            <w:r>
              <w:t>Klientu skaits</w:t>
            </w:r>
          </w:p>
          <w:p w14:paraId="7FE1BBC9" w14:textId="5C934B58" w:rsidR="00952395" w:rsidRDefault="0083775C">
            <w:pPr>
              <w:pStyle w:val="P68B1DB1-TableParagraph13"/>
              <w:spacing w:before="108"/>
              <w:ind w:left="85"/>
              <w:jc w:val="both"/>
            </w:pPr>
            <w:r>
              <w:lastRenderedPageBreak/>
              <w:t>Klientu (rezidentu un nerezidentu) skaits, kuriem tiek sniegts pakalpojums. Ja viens klients izmanto pakalpojumu apakšfunkcijas ietvaros vairāk nekā vienu reizi, klientu skaita tikai vienu reizi.</w:t>
            </w:r>
          </w:p>
        </w:tc>
      </w:tr>
      <w:tr w:rsidR="00952395"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952395" w:rsidRDefault="0083775C">
            <w:pPr>
              <w:pStyle w:val="P68B1DB1-TableParagraph17"/>
              <w:spacing w:before="108"/>
              <w:jc w:val="both"/>
            </w:pPr>
            <w:r>
              <w:lastRenderedPageBreak/>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952395" w:rsidRDefault="0083775C">
            <w:pPr>
              <w:pStyle w:val="P68B1DB1-TableParagraph14"/>
              <w:spacing w:before="108"/>
              <w:jc w:val="both"/>
              <w:rPr>
                <w:bCs/>
              </w:rPr>
            </w:pPr>
            <w:r>
              <w:t>Ietekmes un aizstājamības analīze</w:t>
            </w:r>
          </w:p>
          <w:p w14:paraId="7FE1BBD0" w14:textId="77777777" w:rsidR="00952395" w:rsidRDefault="0083775C">
            <w:pPr>
              <w:pStyle w:val="P68B1DB1-TableParagraph13"/>
              <w:spacing w:before="108"/>
              <w:jc w:val="both"/>
            </w:pPr>
            <w:r>
              <w:t>Novērtēšanas kritēriji attiecībā uz ietekmi uz trešām personām ietver šādus elementus saskaņā ar Komisijas Deleģēto regulu (ES) 2016/778 par kritiski svarīgām funkcijām:</w:t>
            </w:r>
          </w:p>
          <w:p w14:paraId="7FE1BBD1" w14:textId="77777777" w:rsidR="00952395" w:rsidRDefault="0083775C">
            <w:pPr>
              <w:pStyle w:val="P68B1DB1-ListParagraph38"/>
              <w:numPr>
                <w:ilvl w:val="0"/>
                <w:numId w:val="131"/>
              </w:numPr>
              <w:spacing w:line="276" w:lineRule="auto"/>
            </w:pPr>
            <w:r>
              <w:t>darbības veids un tvērums, globālais, valsts vai reģionālais mērogs, darījumu apjoms un skaits; klientu un darījumu partneru skaits; klientu skaits, kuriem iestāde ir vienīgais vai galvenais bankas partneris.</w:t>
            </w:r>
          </w:p>
          <w:p w14:paraId="7FE1BBD2" w14:textId="77777777" w:rsidR="00952395" w:rsidRDefault="0083775C">
            <w:pPr>
              <w:pStyle w:val="P68B1DB1-ListParagraph38"/>
              <w:numPr>
                <w:ilvl w:val="0"/>
                <w:numId w:val="131"/>
              </w:numPr>
              <w:spacing w:line="276" w:lineRule="auto"/>
            </w:pPr>
            <w:r>
              <w:t>iestādes nozīmīgums vietējā, reģionālā, valsts vai Eiropas līmenī attiecīgi konkrētajam tirgum. Iestādes nozīmīgumu var novērtēt, pamatojoties uz tirgus daļu, savstarpējo saikni, sarežģītību un pārrobežu darbībām;</w:t>
            </w:r>
          </w:p>
          <w:p w14:paraId="7FE1BBD3" w14:textId="77777777" w:rsidR="00952395" w:rsidRDefault="0083775C">
            <w:pPr>
              <w:pStyle w:val="P68B1DB1-ListParagraph38"/>
              <w:numPr>
                <w:ilvl w:val="0"/>
                <w:numId w:val="131"/>
              </w:numPr>
              <w:spacing w:line="276" w:lineRule="auto"/>
            </w:pPr>
            <w:r>
              <w:t xml:space="preserve">funkcijas skarto klientu un ieinteresēto personu raksturojums, kas citstarp ietver privātos klientus, korporatīvos klientus, starpbanku klientus, centrālās mijieskaita darījumu starpniekiestādes un publiskas struktūras; </w:t>
            </w:r>
          </w:p>
          <w:p w14:paraId="7FE1BBD4" w14:textId="77777777" w:rsidR="00952395" w:rsidRDefault="0083775C">
            <w:pPr>
              <w:pStyle w:val="P68B1DB1-ListParagraph38"/>
              <w:numPr>
                <w:ilvl w:val="0"/>
                <w:numId w:val="131"/>
              </w:numPr>
              <w:spacing w:line="276" w:lineRule="auto"/>
            </w:pPr>
            <w:r>
              <w:t>iespējamais funkcijas darbības pārtraukums tirgiem, infrastruktūrām, klientiem un publiskajiem pakalpojumiem. Novērtējumā jo īpaši var iekļaut ietekmi uz attiecīgo tirgu likviditāti, klientu darījumdarbības traucējumu ietekmi un apmēru un īstermiņa likviditātes vajadzības; uztveramība darījumu partneriem, klientiem un sabiedrībai; klientu reakcijas jauda un ātrums; atbilstība citu tirgu darbībai; ietekme uz cita tirgus likviditāti, operācijām, struktūru; ietekme uz citiem darījumu partneriem, kas saistīti a</w:t>
            </w:r>
            <w:r>
              <w:t>r galvenajiem klientiem, un funkcijas saistība ar citiem pakalpojumiem.</w:t>
            </w:r>
          </w:p>
          <w:p w14:paraId="7FE1BBD5"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952395" w:rsidRDefault="0083775C">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952395" w:rsidRDefault="0083775C">
            <w:pPr>
              <w:pStyle w:val="P68B1DB1-TableParagraph14"/>
              <w:spacing w:before="108"/>
              <w:jc w:val="both"/>
              <w:rPr>
                <w:bCs/>
              </w:rPr>
            </w:pPr>
            <w:r>
              <w:t xml:space="preserve">Daba un sasniedzamība </w:t>
            </w:r>
          </w:p>
          <w:p w14:paraId="7FE1BBD9" w14:textId="77777777" w:rsidR="00952395" w:rsidRDefault="0083775C">
            <w:pPr>
              <w:pStyle w:val="P68B1DB1-TableParagraph13"/>
              <w:spacing w:before="108"/>
              <w:jc w:val="both"/>
            </w:pPr>
            <w:r>
              <w:t>Globālais, valsts vai reģionālais mērogs, darījumu apjoms un skaits; klientu un darījumu partneru skaits; klientu skaits, kuriem iestāde ir vienīgais vai galvenais bankas partneris.</w:t>
            </w:r>
          </w:p>
        </w:tc>
      </w:tr>
      <w:tr w:rsidR="00952395"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952395" w:rsidRDefault="0083775C">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952395" w:rsidRDefault="0083775C">
            <w:pPr>
              <w:pStyle w:val="P68B1DB1-TableParagraph14"/>
              <w:spacing w:before="108"/>
              <w:jc w:val="both"/>
              <w:rPr>
                <w:bCs/>
              </w:rPr>
            </w:pPr>
            <w:r>
              <w:t>Lieluma rādītājs Nr. 1</w:t>
            </w:r>
          </w:p>
          <w:p w14:paraId="0D530995" w14:textId="77777777" w:rsidR="00952395" w:rsidRDefault="0083775C">
            <w:pPr>
              <w:pStyle w:val="P68B1DB1-Normal31"/>
              <w:spacing w:line="276" w:lineRule="auto"/>
              <w:jc w:val="both"/>
            </w:pPr>
            <w:r>
              <w:t>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mainīgos lielumus, piemēram, IKP, iedzīvotāju skaitu (noguldījumiem, aizdevumiem, maksājumiem, skaidras naudas, norēķinu, tīrvērtes un uzskaites pakalpojumiem) vai tirgus lielumu (kapitāla tirgiem un vairumtirdzni</w:t>
            </w:r>
            <w:r>
              <w:t xml:space="preserve">ecības finansējumam) kā kritēriju šim kvalitatīvajam novērtējumam. </w:t>
            </w:r>
          </w:p>
          <w:p w14:paraId="7FE1BBDD" w14:textId="31D8226E" w:rsidR="00952395" w:rsidRDefault="00952395">
            <w:pPr>
              <w:pStyle w:val="TableParagraph"/>
              <w:spacing w:before="108"/>
              <w:jc w:val="both"/>
              <w:rPr>
                <w:rFonts w:ascii="Times New Roman" w:hAnsi="Times New Roman" w:cs="Times New Roman"/>
                <w:color w:val="000000" w:themeColor="text1"/>
                <w:sz w:val="20"/>
                <w:szCs w:val="20"/>
              </w:rPr>
            </w:pPr>
          </w:p>
          <w:p w14:paraId="7FE1BBDE" w14:textId="19F9153D" w:rsidR="00952395" w:rsidRDefault="0083775C">
            <w:pPr>
              <w:pStyle w:val="P68B1DB1-ListParagraph32"/>
              <w:numPr>
                <w:ilvl w:val="0"/>
                <w:numId w:val="300"/>
              </w:numPr>
              <w:spacing w:line="276" w:lineRule="auto"/>
            </w:pPr>
            <w:r>
              <w:t xml:space="preserve">Ekspertu slēdziens par darījumu </w:t>
            </w:r>
            <w:r>
              <w:rPr>
                <w:b/>
              </w:rPr>
              <w:t>vērtības</w:t>
            </w:r>
            <w:r>
              <w:t xml:space="preserve"> lielumu (0030.s. attiecībā uz ID 3.1., 3.2., 3.3. un 3.4. funkciju); atvērtas pozīcijas (0050 attiecībā uz ID 3.5); vai kopējie glabāšanā esošie aktīvi (0060. c. attiecībā uz ID 3.6) no </w:t>
            </w:r>
            <w:r>
              <w:rPr>
                <w:b/>
              </w:rPr>
              <w:t>ES</w:t>
            </w:r>
            <w:r>
              <w:t xml:space="preserve"> perspektīvas [par</w:t>
            </w:r>
            <w:r>
              <w:rPr>
                <w:i/>
              </w:rPr>
              <w:t>vienu līmeni augstāks nekā konkrētais tirgus]</w:t>
            </w:r>
            <w:r>
              <w:t xml:space="preserve">: </w:t>
            </w:r>
          </w:p>
          <w:p w14:paraId="7FE1BBDF" w14:textId="77777777" w:rsidR="00952395" w:rsidRDefault="0083775C">
            <w:pPr>
              <w:pStyle w:val="P68B1DB1-ListParagraph32"/>
              <w:numPr>
                <w:ilvl w:val="0"/>
                <w:numId w:val="126"/>
              </w:numPr>
              <w:spacing w:line="276" w:lineRule="auto"/>
            </w:pPr>
            <w:r>
              <w:t xml:space="preserve">No ES viedokļa raugoties, cik liela, jūsuprāt, ir jūsu bankas apstrādāto darījumu vērtība </w:t>
            </w:r>
            <w:r>
              <w:rPr>
                <w:i/>
              </w:rPr>
              <w:t>vai</w:t>
            </w:r>
            <w:r>
              <w:t xml:space="preserve"> jūsu bankas klientu atvērtās pozīcijas CCP, </w:t>
            </w:r>
            <w:r>
              <w:rPr>
                <w:i/>
              </w:rPr>
              <w:t>vai</w:t>
            </w:r>
            <w:r>
              <w:t xml:space="preserve"> kopējie aktīvi, ko jūsu iestāde glabā savu klientu labā?</w:t>
            </w:r>
          </w:p>
        </w:tc>
      </w:tr>
      <w:tr w:rsidR="00952395"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952395" w:rsidRDefault="0083775C">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952395" w:rsidRDefault="0083775C">
            <w:pPr>
              <w:pStyle w:val="P68B1DB1-TableParagraph14"/>
              <w:spacing w:before="108"/>
              <w:jc w:val="both"/>
              <w:rPr>
                <w:bCs/>
              </w:rPr>
            </w:pPr>
            <w:r>
              <w:t>Lieluma rādītājs Nr. 2</w:t>
            </w:r>
          </w:p>
          <w:p w14:paraId="7D6A05E9" w14:textId="77777777" w:rsidR="00952395" w:rsidRDefault="0083775C">
            <w:pPr>
              <w:pStyle w:val="P68B1DB1-Normal31"/>
              <w:spacing w:line="276" w:lineRule="auto"/>
              <w:jc w:val="both"/>
            </w:pPr>
            <w:r>
              <w:t xml:space="preserve">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w:t>
            </w:r>
            <w:r>
              <w:lastRenderedPageBreak/>
              <w:t xml:space="preserve">mainīgos lielumus, piemēram, IKP, iedzīvotāju skaitu (noguldījumiem, aizdevumiem, maksājumiem, skaidras naudas, norēķinu, tīrvērtes un uzskaites pakalpojumiem) vai tirgus lielumu (kapitāla tirgiem un vairumtirdzniecības finansējumam) kā kritēriju šim kvalitatīvajam novērtējumam. </w:t>
            </w:r>
          </w:p>
          <w:p w14:paraId="7FE1BBE3" w14:textId="27BCCC99" w:rsidR="00952395" w:rsidRDefault="0083775C">
            <w:pPr>
              <w:pStyle w:val="P68B1DB1-TableParagraph13"/>
              <w:spacing w:before="108"/>
              <w:jc w:val="both"/>
            </w:pPr>
            <w:r>
              <w:t xml:space="preserve"> </w:t>
            </w:r>
          </w:p>
          <w:p w14:paraId="7FE1BBE4" w14:textId="0FB26117" w:rsidR="00952395" w:rsidRDefault="0083775C">
            <w:pPr>
              <w:pStyle w:val="P68B1DB1-ListParagraph32"/>
              <w:numPr>
                <w:ilvl w:val="0"/>
                <w:numId w:val="120"/>
              </w:numPr>
              <w:spacing w:line="276" w:lineRule="auto"/>
            </w:pPr>
            <w:r>
              <w:t xml:space="preserve">Ekspertu slēdziens par darījumu </w:t>
            </w:r>
            <w:r>
              <w:rPr>
                <w:b/>
              </w:rPr>
              <w:t>skaitu</w:t>
            </w:r>
            <w:r>
              <w:t xml:space="preserve"> (0100. attiecībā uz ID 3.1., 3.2., 3.3. un 3.4. funkciju); vai klientu skaits (c0110 ID 3.5 un 3.6) no </w:t>
            </w:r>
            <w:r>
              <w:rPr>
                <w:b/>
              </w:rPr>
              <w:t>valsts</w:t>
            </w:r>
            <w:r>
              <w:t xml:space="preserve"> perspektīvas</w:t>
            </w:r>
            <w:r>
              <w:rPr>
                <w:i/>
              </w:rPr>
              <w:t>[konkrētā tirgus līmenī</w:t>
            </w:r>
            <w:r>
              <w:t>]:</w:t>
            </w:r>
          </w:p>
          <w:p w14:paraId="7FE1BBE5" w14:textId="77777777" w:rsidR="00952395" w:rsidRDefault="0083775C">
            <w:pPr>
              <w:pStyle w:val="P68B1DB1-ListParagraph32"/>
              <w:numPr>
                <w:ilvl w:val="1"/>
                <w:numId w:val="124"/>
              </w:numPr>
              <w:spacing w:line="276" w:lineRule="auto"/>
            </w:pPr>
            <w:r>
              <w:t>Cik liels, raugoties no valsts perspektīvas, ir aplēstais kopējais darījumu skaits</w:t>
            </w:r>
            <w:r>
              <w:rPr>
                <w:i/>
              </w:rPr>
              <w:t xml:space="preserve"> vai</w:t>
            </w:r>
            <w:r>
              <w:t xml:space="preserve"> aplēstais jūsu iestādes klientu skaits?</w:t>
            </w:r>
          </w:p>
          <w:p w14:paraId="7FE1BBE6" w14:textId="77777777" w:rsidR="00952395" w:rsidRDefault="00952395">
            <w:pPr>
              <w:spacing w:line="276" w:lineRule="auto"/>
              <w:rPr>
                <w:rFonts w:ascii="Times New Roman" w:hAnsi="Times New Roman"/>
                <w:color w:val="000000" w:themeColor="text1"/>
                <w:sz w:val="20"/>
                <w:szCs w:val="20"/>
              </w:rPr>
            </w:pPr>
          </w:p>
        </w:tc>
      </w:tr>
      <w:tr w:rsidR="00952395"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952395" w:rsidRDefault="0083775C">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952395" w:rsidRDefault="0083775C">
            <w:pPr>
              <w:pStyle w:val="P68B1DB1-TableParagraph14"/>
              <w:spacing w:before="108"/>
              <w:jc w:val="both"/>
              <w:rPr>
                <w:bCs/>
              </w:rPr>
            </w:pPr>
            <w:r>
              <w:t>Pārrobežu rādītājs</w:t>
            </w:r>
          </w:p>
          <w:p w14:paraId="7FE1BBEA" w14:textId="77777777" w:rsidR="00952395" w:rsidRDefault="0083775C">
            <w:pPr>
              <w:pStyle w:val="P68B1DB1-TableParagraph13"/>
              <w:spacing w:before="108"/>
              <w:jc w:val="both"/>
            </w:pPr>
            <w:r>
              <w:t>Novērtēt pārrobežu darbību relatīvo nozīmi dažādajās ekonomiskajās funkcijās.</w:t>
            </w:r>
          </w:p>
          <w:p w14:paraId="7FE1BBEB" w14:textId="77777777" w:rsidR="00952395" w:rsidRDefault="0083775C">
            <w:pPr>
              <w:pStyle w:val="P68B1DB1-TableParagraph13"/>
              <w:spacing w:before="108"/>
              <w:jc w:val="both"/>
            </w:pPr>
            <w:r>
              <w:t xml:space="preserve">Tas nav jānovērtē ziņojumos, kuros konkrētais tirgus tiek uzskatīts par reģionālu. </w:t>
            </w:r>
          </w:p>
          <w:p w14:paraId="31893031" w14:textId="17F40C8B" w:rsidR="00952395" w:rsidRDefault="0083775C">
            <w:pPr>
              <w:pStyle w:val="P68B1DB1-TableParagraph33"/>
              <w:spacing w:before="108"/>
              <w:jc w:val="both"/>
            </w:pPr>
            <w:r>
              <w:t xml:space="preserve">To ES valstu skaits, kurās pārskatu sniedzošā uzņēmuma tirgus daļa pārsniedz 2 % (izteikta kā maksājumu, vērtspapīru vai skaidras naudas darījumu vērtība vai atvērtas klientu pozīcijas CCP, vai kopējie glabāšanā esošie aktīvi). Ziņojums: </w:t>
            </w:r>
          </w:p>
          <w:p w14:paraId="58BCAA6E" w14:textId="090336B0" w:rsidR="00952395" w:rsidRDefault="0083775C">
            <w:pPr>
              <w:pStyle w:val="P68B1DB1-TableParagraph33"/>
              <w:numPr>
                <w:ilvl w:val="0"/>
                <w:numId w:val="282"/>
              </w:numPr>
              <w:spacing w:before="108"/>
              <w:jc w:val="both"/>
            </w:pPr>
            <w:r>
              <w:t xml:space="preserve">≤ 1 valsts; </w:t>
            </w:r>
          </w:p>
          <w:p w14:paraId="5B55A7F9" w14:textId="6B3C23F3" w:rsidR="00952395" w:rsidRDefault="0083775C">
            <w:pPr>
              <w:pStyle w:val="P68B1DB1-TableParagraph33"/>
              <w:numPr>
                <w:ilvl w:val="0"/>
                <w:numId w:val="282"/>
              </w:numPr>
              <w:spacing w:before="108"/>
              <w:jc w:val="both"/>
            </w:pPr>
            <w:r>
              <w:t>2–3 valstis</w:t>
            </w:r>
          </w:p>
          <w:p w14:paraId="6A334CED" w14:textId="15F946E0" w:rsidR="00952395" w:rsidRDefault="0083775C">
            <w:pPr>
              <w:pStyle w:val="P68B1DB1-TableParagraph33"/>
              <w:numPr>
                <w:ilvl w:val="0"/>
                <w:numId w:val="282"/>
              </w:numPr>
              <w:spacing w:before="108"/>
              <w:jc w:val="both"/>
            </w:pPr>
            <w:r>
              <w:t xml:space="preserve">4–5 valstis; </w:t>
            </w:r>
          </w:p>
          <w:p w14:paraId="4D1B0AB8" w14:textId="03F4FDF2" w:rsidR="00952395" w:rsidRDefault="0083775C">
            <w:pPr>
              <w:pStyle w:val="P68B1DB1-TableParagraph33"/>
              <w:numPr>
                <w:ilvl w:val="0"/>
                <w:numId w:val="282"/>
              </w:numPr>
              <w:spacing w:before="108"/>
              <w:jc w:val="both"/>
            </w:pPr>
            <w:r>
              <w:t xml:space="preserve">&gt; 5 valstis, </w:t>
            </w:r>
          </w:p>
          <w:p w14:paraId="7FE1BBED" w14:textId="6A2A41A1" w:rsidR="00952395" w:rsidRDefault="0083775C">
            <w:pPr>
              <w:pStyle w:val="P68B1DB1-TableParagraph33"/>
              <w:spacing w:before="108"/>
              <w:jc w:val="both"/>
              <w:rPr>
                <w:rFonts w:cs="Times New Roman"/>
                <w:color w:val="000000" w:themeColor="text1"/>
              </w:rPr>
            </w:pPr>
            <w:r>
              <w:t xml:space="preserve"> </w:t>
            </w:r>
          </w:p>
        </w:tc>
      </w:tr>
      <w:tr w:rsidR="00952395"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952395" w:rsidRDefault="0083775C">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952395" w:rsidRDefault="0083775C">
            <w:pPr>
              <w:pStyle w:val="P68B1DB1-TableParagraph14"/>
              <w:spacing w:before="108"/>
              <w:jc w:val="both"/>
              <w:rPr>
                <w:bCs/>
              </w:rPr>
            </w:pPr>
            <w:r>
              <w:t xml:space="preserve">Atbilstība — </w:t>
            </w:r>
          </w:p>
          <w:p w14:paraId="7FE1BBF1" w14:textId="77777777" w:rsidR="00952395" w:rsidRDefault="0083775C">
            <w:pPr>
              <w:pStyle w:val="P68B1DB1-TableParagraph13"/>
              <w:spacing w:before="108"/>
              <w:jc w:val="both"/>
            </w:pPr>
            <w:r>
              <w:t>Vietējā, reģionālā, valsts vai Eiropas līmenī attiecīgi konkrētajam tirgum. Iestādes nozīmīgumu var novērtēt, pamatojoties uz tirgus daļu, savstarpējo saikni, sarežģītību un pārrobežu darbībām;</w:t>
            </w:r>
          </w:p>
          <w:p w14:paraId="7FE1BBF2" w14:textId="77777777" w:rsidR="00952395" w:rsidRDefault="0083775C">
            <w:pPr>
              <w:pStyle w:val="P68B1DB1-TableParagraph14"/>
              <w:spacing w:before="108"/>
              <w:jc w:val="both"/>
              <w:rPr>
                <w:bCs/>
              </w:rPr>
            </w:pPr>
            <w:r>
              <w:t>Tirgus daļa</w:t>
            </w:r>
          </w:p>
          <w:p w14:paraId="30AC503F" w14:textId="77777777" w:rsidR="00952395" w:rsidRDefault="0083775C">
            <w:pPr>
              <w:pStyle w:val="P68B1DB1-Normal31"/>
              <w:spacing w:line="276" w:lineRule="auto"/>
              <w:jc w:val="both"/>
            </w:pPr>
            <w:r>
              <w:t xml:space="preserve">Novērtē, cik svarīga ir pārskatu sniedzošās sabiedrības tirgus daļa salīdzinājumā ar valsts vai citu attiecīgo tirgu, kā norādīts veidnē. Šis novērtējums ir kvalitatīvs kā </w:t>
            </w:r>
          </w:p>
          <w:p w14:paraId="5D8F45F8" w14:textId="77777777" w:rsidR="00952395" w:rsidRDefault="0083775C">
            <w:pPr>
              <w:pStyle w:val="P68B1DB1-ListParagraph32"/>
              <w:numPr>
                <w:ilvl w:val="0"/>
                <w:numId w:val="276"/>
              </w:numPr>
              <w:spacing w:line="276" w:lineRule="auto"/>
              <w:jc w:val="both"/>
            </w:pPr>
            <w:r>
              <w:t>Liela, ja tirgus daļa ir liela</w:t>
            </w:r>
          </w:p>
          <w:p w14:paraId="5C7C2710" w14:textId="77777777" w:rsidR="00952395" w:rsidRDefault="0083775C">
            <w:pPr>
              <w:pStyle w:val="P68B1DB1-ListParagraph32"/>
              <w:numPr>
                <w:ilvl w:val="0"/>
                <w:numId w:val="276"/>
              </w:numPr>
              <w:spacing w:line="276" w:lineRule="auto"/>
              <w:jc w:val="both"/>
            </w:pPr>
            <w:r>
              <w:t>Vidējs, ja tirgus daļa ir vidēja</w:t>
            </w:r>
          </w:p>
          <w:p w14:paraId="21F38734" w14:textId="77777777" w:rsidR="00952395" w:rsidRDefault="0083775C">
            <w:pPr>
              <w:pStyle w:val="P68B1DB1-ListParagraph32"/>
              <w:numPr>
                <w:ilvl w:val="0"/>
                <w:numId w:val="276"/>
              </w:numPr>
              <w:spacing w:line="276" w:lineRule="auto"/>
              <w:jc w:val="both"/>
            </w:pPr>
            <w:r>
              <w:t xml:space="preserve">Vidējs-zems, ja tirgus daļa ir maza vai </w:t>
            </w:r>
          </w:p>
          <w:p w14:paraId="16968912" w14:textId="77777777" w:rsidR="00952395" w:rsidRDefault="0083775C">
            <w:pPr>
              <w:pStyle w:val="P68B1DB1-ListParagraph32"/>
              <w:numPr>
                <w:ilvl w:val="0"/>
                <w:numId w:val="276"/>
              </w:numPr>
              <w:spacing w:line="276" w:lineRule="auto"/>
              <w:jc w:val="both"/>
            </w:pPr>
            <w:r>
              <w:t xml:space="preserve">Maza, ja tirgus daļa ir nenozīmīga. </w:t>
            </w:r>
          </w:p>
          <w:p w14:paraId="7FE1BBF7" w14:textId="3931B1D9" w:rsidR="00952395" w:rsidRDefault="00952395">
            <w:pPr>
              <w:pStyle w:val="ListParagraph"/>
              <w:spacing w:line="276" w:lineRule="auto"/>
              <w:jc w:val="both"/>
              <w:rPr>
                <w:rFonts w:ascii="Times New Roman" w:eastAsiaTheme="minorHAnsi" w:hAnsi="Times New Roman"/>
                <w:color w:val="000000" w:themeColor="text1"/>
                <w:sz w:val="20"/>
                <w:szCs w:val="20"/>
              </w:rPr>
            </w:pPr>
          </w:p>
          <w:p w14:paraId="7FE1BBF8" w14:textId="77777777" w:rsidR="00952395" w:rsidRDefault="0083775C">
            <w:pPr>
              <w:pStyle w:val="P68B1DB1-TableParagraph13"/>
              <w:spacing w:before="108"/>
              <w:jc w:val="both"/>
            </w:pPr>
            <w:r>
              <w:t xml:space="preserve">Šajā novērtējumā ņem vērā pārskatu sniedzējas sabiedrības valsts (vai cita attiecīgā tirgus) tirgus struktūru un daļēji uzrādītās tirgus daļas. </w:t>
            </w:r>
          </w:p>
          <w:p w14:paraId="7FE1BBF9" w14:textId="77777777" w:rsidR="00952395" w:rsidRDefault="0083775C">
            <w:pPr>
              <w:pStyle w:val="P68B1DB1-TableParagraph13"/>
              <w:spacing w:before="108"/>
              <w:jc w:val="both"/>
            </w:pPr>
            <w:r>
              <w:t>2.Kvantitatīvie dati:</w:t>
            </w:r>
          </w:p>
          <w:p w14:paraId="7FE1BBFA" w14:textId="77777777" w:rsidR="00952395" w:rsidRDefault="0083775C">
            <w:pPr>
              <w:pStyle w:val="P68B1DB1-ListParagraph32"/>
              <w:numPr>
                <w:ilvl w:val="0"/>
                <w:numId w:val="117"/>
              </w:numPr>
              <w:jc w:val="both"/>
              <w:rPr>
                <w:i/>
                <w:iCs/>
              </w:rPr>
            </w:pPr>
            <w:r>
              <w:t xml:space="preserve">Ekspertu slēdziens par </w:t>
            </w:r>
            <w:r>
              <w:rPr>
                <w:b/>
              </w:rPr>
              <w:t xml:space="preserve">valsts </w:t>
            </w:r>
            <w:r>
              <w:t>tirgus daļas lielumu (ziņots 0020.s., izņemot gadījumus, kad ziņojums ir sniegts par citu attiecīgo tirgus līmeni, un tādā gadījumā ir gaidāms attiecīgās tirgus daļas novērtējums).</w:t>
            </w:r>
          </w:p>
          <w:p w14:paraId="7FE1BBFB"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BFC"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952395" w:rsidRDefault="0083775C">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952395" w:rsidRDefault="0083775C">
            <w:pPr>
              <w:pStyle w:val="P68B1DB1-TableParagraph14"/>
              <w:spacing w:before="108"/>
              <w:jc w:val="both"/>
              <w:rPr>
                <w:bCs/>
              </w:rPr>
            </w:pPr>
            <w:r>
              <w:t>Tirgus struktūra — tirgus koncentrācija</w:t>
            </w:r>
          </w:p>
          <w:p w14:paraId="7FE1BC00" w14:textId="77777777" w:rsidR="00952395" w:rsidRDefault="0083775C">
            <w:pPr>
              <w:pStyle w:val="P68B1DB1-TableParagraph13"/>
              <w:spacing w:before="108"/>
              <w:jc w:val="both"/>
            </w:pPr>
            <w:r>
              <w:t xml:space="preserve">Tirgus koncentrācija, ko mēra pēc pašlaik darbojošos konkurentu skaita </w:t>
            </w:r>
          </w:p>
          <w:p w14:paraId="7FE1BC01" w14:textId="77777777" w:rsidR="00952395" w:rsidRDefault="0083775C">
            <w:pPr>
              <w:pStyle w:val="P68B1DB1-TableParagraph13"/>
              <w:spacing w:before="108"/>
              <w:jc w:val="both"/>
            </w:pPr>
            <w:r>
              <w:lastRenderedPageBreak/>
              <w:t xml:space="preserve">līdzīgas ekonomiskās funkcijas un/vai līdzīgu pakalpojumu piedāvāšana ar vienādiem noteikumiem (t. i., </w:t>
            </w:r>
          </w:p>
          <w:p w14:paraId="7FE1BC02" w14:textId="77777777" w:rsidR="00952395" w:rsidRDefault="0083775C">
            <w:pPr>
              <w:pStyle w:val="P68B1DB1-TableParagraph13"/>
              <w:spacing w:before="108"/>
              <w:jc w:val="both"/>
            </w:pPr>
            <w:r>
              <w:t xml:space="preserve">salīdzināms apjoms un kvalitāte un ar salīdzināmām izmaksām), kas, iespējams, pārņem </w:t>
            </w:r>
          </w:p>
          <w:p w14:paraId="7FE1BC03" w14:textId="77777777" w:rsidR="00952395" w:rsidRDefault="0083775C">
            <w:pPr>
              <w:pStyle w:val="P68B1DB1-TableParagraph13"/>
              <w:spacing w:before="108"/>
              <w:jc w:val="both"/>
            </w:pPr>
            <w:r>
              <w:t xml:space="preserve">pārskatu sniedzēja uzņēmuma klienti un/vai uzņēmējdarbība (vai to daļa) saprātīgā termiņā. </w:t>
            </w:r>
          </w:p>
          <w:p w14:paraId="7FE1BC04" w14:textId="77777777" w:rsidR="00952395" w:rsidRDefault="0083775C">
            <w:pPr>
              <w:pStyle w:val="P68B1DB1-TableParagraph13"/>
              <w:spacing w:before="108"/>
              <w:jc w:val="both"/>
            </w:pPr>
            <w:r>
              <w:t xml:space="preserve">Tas jāuzrāda kopās, kas ir vienādas katrai apakšfunkcijai. </w:t>
            </w:r>
          </w:p>
          <w:p w14:paraId="4C2F14CB" w14:textId="77777777" w:rsidR="00952395" w:rsidRDefault="0083775C">
            <w:pPr>
              <w:pStyle w:val="P68B1DB1-ListParagraph32"/>
              <w:numPr>
                <w:ilvl w:val="0"/>
                <w:numId w:val="277"/>
              </w:numPr>
              <w:jc w:val="both"/>
            </w:pPr>
            <w:r>
              <w:t xml:space="preserve">&gt; 20 konkurenti; </w:t>
            </w:r>
          </w:p>
          <w:p w14:paraId="453D853E" w14:textId="77777777" w:rsidR="00952395" w:rsidRDefault="0083775C">
            <w:pPr>
              <w:pStyle w:val="P68B1DB1-ListParagraph32"/>
              <w:numPr>
                <w:ilvl w:val="0"/>
                <w:numId w:val="277"/>
              </w:numPr>
              <w:jc w:val="both"/>
            </w:pPr>
            <w:r>
              <w:t xml:space="preserve">11–20 konkurenti; </w:t>
            </w:r>
          </w:p>
          <w:p w14:paraId="642D6421" w14:textId="77777777" w:rsidR="00952395" w:rsidRDefault="0083775C">
            <w:pPr>
              <w:pStyle w:val="P68B1DB1-ListParagraph32"/>
              <w:numPr>
                <w:ilvl w:val="0"/>
                <w:numId w:val="277"/>
              </w:numPr>
              <w:jc w:val="both"/>
            </w:pPr>
            <w:r>
              <w:t xml:space="preserve">5–10 konkurenti, </w:t>
            </w:r>
          </w:p>
          <w:p w14:paraId="3C672034" w14:textId="77777777" w:rsidR="00952395" w:rsidRDefault="0083775C">
            <w:pPr>
              <w:pStyle w:val="P68B1DB1-ListParagraph32"/>
              <w:numPr>
                <w:ilvl w:val="0"/>
                <w:numId w:val="277"/>
              </w:numPr>
              <w:jc w:val="both"/>
              <w:rPr>
                <w:b/>
                <w:bCs/>
                <w:color w:val="000000" w:themeColor="text1"/>
              </w:rPr>
            </w:pPr>
            <w:r>
              <w:t>&amp;5 konkurenti</w:t>
            </w:r>
          </w:p>
          <w:p w14:paraId="7FE1BC08" w14:textId="3B09659F" w:rsidR="00952395" w:rsidRDefault="00952395">
            <w:pPr>
              <w:jc w:val="both"/>
              <w:rPr>
                <w:rFonts w:ascii="Times New Roman" w:hAnsi="Times New Roman"/>
                <w:color w:val="000000" w:themeColor="text1"/>
                <w:sz w:val="20"/>
                <w:szCs w:val="20"/>
              </w:rPr>
            </w:pPr>
          </w:p>
        </w:tc>
      </w:tr>
      <w:tr w:rsidR="00952395"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952395" w:rsidRDefault="0083775C">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952395" w:rsidRDefault="0083775C">
            <w:pPr>
              <w:pStyle w:val="P68B1DB1-TableParagraph14"/>
              <w:spacing w:before="108"/>
              <w:jc w:val="both"/>
              <w:rPr>
                <w:bCs/>
              </w:rPr>
            </w:pPr>
            <w:r>
              <w:t>Laiks — paredzamais aizstāšanas laiks</w:t>
            </w:r>
          </w:p>
          <w:p w14:paraId="7FE1BC0C" w14:textId="77777777" w:rsidR="00952395" w:rsidRDefault="0083775C">
            <w:pPr>
              <w:pStyle w:val="P68B1DB1-TableParagraph13"/>
              <w:spacing w:before="108"/>
              <w:jc w:val="both"/>
            </w:pPr>
            <w:r>
              <w:t>Aplēst laiku, kas nepieciešams ziņojuma sniegtajai ekonomiskajai funkcijai</w:t>
            </w:r>
          </w:p>
          <w:p w14:paraId="7FE1BC0D" w14:textId="77777777" w:rsidR="00952395" w:rsidRDefault="0083775C">
            <w:pPr>
              <w:pStyle w:val="P68B1DB1-TableParagraph13"/>
              <w:spacing w:before="108"/>
              <w:jc w:val="both"/>
            </w:pPr>
            <w:r>
              <w:t xml:space="preserve">vienība, kas krīzes situācijā jāapgūst tirgū. Tas ietver: </w:t>
            </w:r>
          </w:p>
          <w:p w14:paraId="7FE1BC0E" w14:textId="77777777" w:rsidR="00952395" w:rsidRDefault="0083775C">
            <w:pPr>
              <w:pStyle w:val="P68B1DB1-ListParagraph38"/>
              <w:numPr>
                <w:ilvl w:val="0"/>
                <w:numId w:val="274"/>
              </w:numPr>
              <w:jc w:val="both"/>
            </w:pPr>
            <w:r>
              <w:t xml:space="preserve">paredzamais laiks, kas vienam vai vairākiem konkurentiem vajadzīgs, lai veiktu juridiskos un tehniskos pasākumus funkcijas pārņemšanai; kā arī  </w:t>
            </w:r>
          </w:p>
          <w:p w14:paraId="7FE1BC0F" w14:textId="77777777" w:rsidR="00952395" w:rsidRDefault="0083775C">
            <w:pPr>
              <w:pStyle w:val="P68B1DB1-ListParagraph38"/>
              <w:numPr>
                <w:ilvl w:val="0"/>
                <w:numId w:val="274"/>
              </w:numPr>
              <w:jc w:val="both"/>
            </w:pPr>
            <w:r>
              <w:t xml:space="preserve">laiks, kas pakalpojuma lietotājiem vajadzīgs, lai pārceltos pie cita pakalpojumu sniedzēja. </w:t>
            </w:r>
          </w:p>
          <w:p w14:paraId="7FE1BC10"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C11" w14:textId="77777777" w:rsidR="00952395" w:rsidRDefault="0083775C">
            <w:pPr>
              <w:pStyle w:val="P68B1DB1-TableParagraph13"/>
              <w:spacing w:before="108"/>
              <w:jc w:val="both"/>
            </w:pPr>
            <w:r>
              <w:t>Kā aizstājēju pirmajam sniegt aplēsi par laiku, kas pārskata sniedzējai vienībai būtu vajadzīgs, lai savā uzņēmējdarbībā (daļēji) pārņemtu citas iestādes sniegtos pakalpojumus par saprātīgām izmaksām krīzes situācijā. Uzrāda aplēsto aizstāšanas laiku veidnē norādītajos intervālos:</w:t>
            </w:r>
          </w:p>
          <w:p w14:paraId="7FE1BC12" w14:textId="77777777" w:rsidR="00952395" w:rsidRDefault="00952395">
            <w:pPr>
              <w:jc w:val="both"/>
              <w:rPr>
                <w:rFonts w:ascii="Times New Roman" w:eastAsia="Times New Roman" w:hAnsi="Times New Roman" w:cs="Times New Roman"/>
                <w:sz w:val="20"/>
                <w:szCs w:val="20"/>
              </w:rPr>
            </w:pPr>
          </w:p>
          <w:p w14:paraId="7FE1BC13" w14:textId="77777777" w:rsidR="00952395" w:rsidRDefault="0083775C">
            <w:pPr>
              <w:pStyle w:val="P68B1DB1-Normal31"/>
              <w:jc w:val="both"/>
            </w:pPr>
            <w:bookmarkStart w:id="118" w:name="_Hlk194476081"/>
            <w:r>
              <w:t xml:space="preserve">Intervāli: </w:t>
            </w:r>
          </w:p>
          <w:p w14:paraId="7FE1BC14" w14:textId="728C4DE4" w:rsidR="00952395" w:rsidRDefault="0083775C">
            <w:pPr>
              <w:pStyle w:val="P68B1DB1-ListParagraph32"/>
              <w:numPr>
                <w:ilvl w:val="0"/>
                <w:numId w:val="284"/>
              </w:numPr>
              <w:jc w:val="both"/>
            </w:pPr>
            <w:r>
              <w:t xml:space="preserve">&amp; 1 diena; </w:t>
            </w:r>
          </w:p>
          <w:p w14:paraId="7FE1BC15" w14:textId="15883A0D" w:rsidR="00952395" w:rsidRDefault="0083775C">
            <w:pPr>
              <w:pStyle w:val="P68B1DB1-ListParagraph32"/>
              <w:numPr>
                <w:ilvl w:val="0"/>
                <w:numId w:val="284"/>
              </w:numPr>
              <w:jc w:val="both"/>
            </w:pPr>
            <w:r>
              <w:t xml:space="preserve">1–2 dienas; </w:t>
            </w:r>
          </w:p>
          <w:p w14:paraId="7FE1BC16" w14:textId="0B950876" w:rsidR="00952395" w:rsidRDefault="0083775C">
            <w:pPr>
              <w:pStyle w:val="P68B1DB1-ListParagraph32"/>
              <w:numPr>
                <w:ilvl w:val="0"/>
                <w:numId w:val="284"/>
              </w:numPr>
              <w:jc w:val="both"/>
            </w:pPr>
            <w:r>
              <w:t xml:space="preserve">&gt; 2 dienas ≤ 1 nedēļa, </w:t>
            </w:r>
          </w:p>
          <w:p w14:paraId="7FE1BC17" w14:textId="0973D87D" w:rsidR="00952395" w:rsidRDefault="0083775C">
            <w:pPr>
              <w:pStyle w:val="P68B1DB1-ListParagraph32"/>
              <w:numPr>
                <w:ilvl w:val="0"/>
                <w:numId w:val="284"/>
              </w:numPr>
              <w:jc w:val="both"/>
            </w:pPr>
            <w:r>
              <w:t xml:space="preserve">&gt; 1 nedēļa </w:t>
            </w:r>
          </w:p>
          <w:bookmarkEnd w:id="118"/>
          <w:p w14:paraId="7FE1BC18"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952395" w:rsidRDefault="0083775C">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952395" w:rsidRDefault="0083775C">
            <w:pPr>
              <w:pStyle w:val="P68B1DB1-TableParagraph14"/>
              <w:spacing w:before="108"/>
              <w:jc w:val="both"/>
              <w:rPr>
                <w:bCs/>
              </w:rPr>
            </w:pPr>
            <w:r>
              <w:t>Aizvietošanas spēja</w:t>
            </w:r>
          </w:p>
        </w:tc>
      </w:tr>
      <w:tr w:rsidR="00952395"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952395" w:rsidRDefault="0083775C">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952395" w:rsidRDefault="0083775C">
            <w:pPr>
              <w:pStyle w:val="P68B1DB1-TableParagraph14"/>
              <w:spacing w:before="108"/>
              <w:jc w:val="both"/>
              <w:rPr>
                <w:bCs/>
              </w:rPr>
            </w:pPr>
            <w:r>
              <w:t>Juridiskie šķēršļi ienākšanai tirgū vai paplašināšanai</w:t>
            </w:r>
          </w:p>
          <w:p w14:paraId="7FE1BC1F"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C20" w14:textId="77777777" w:rsidR="00952395" w:rsidRDefault="0083775C">
            <w:pPr>
              <w:pStyle w:val="P68B1DB1-TableParagraph13"/>
              <w:spacing w:before="108"/>
              <w:jc w:val="both"/>
            </w:pPr>
            <w:r>
              <w:t xml:space="preserve">Juridiski šķēršļi, kas liedz konkurentiem piedāvāt pakalpojumu. Juridiskās prasības kredītiestāžu darbības veikšanai (piemēram, banku licences vai kapitāla prasības) nav uzskatāmas par nepārvaramiem šķēršļiem alternatīvu pakalpojumu sniedzēju klātbūtnē. Šis rādītājs jāuzrāda kopās, kas ir vienādas katrai apakšfunkcijai: </w:t>
            </w:r>
          </w:p>
          <w:p w14:paraId="7FE1BC21" w14:textId="474C67C3" w:rsidR="00952395" w:rsidRDefault="0083775C">
            <w:pPr>
              <w:pStyle w:val="P68B1DB1-ListParagraph39"/>
              <w:numPr>
                <w:ilvl w:val="0"/>
                <w:numId w:val="275"/>
              </w:numPr>
              <w:jc w:val="both"/>
            </w:pPr>
            <w:r>
              <w:t xml:space="preserve">nav būtisku šķēršļu, </w:t>
            </w:r>
          </w:p>
          <w:p w14:paraId="7FE1BC22" w14:textId="2597009C" w:rsidR="00952395" w:rsidRDefault="0083775C">
            <w:pPr>
              <w:pStyle w:val="P68B1DB1-ListParagraph39"/>
              <w:numPr>
                <w:ilvl w:val="0"/>
                <w:numId w:val="275"/>
              </w:numPr>
              <w:jc w:val="both"/>
            </w:pPr>
            <w:r>
              <w:t xml:space="preserve">daži šķēršļi, </w:t>
            </w:r>
          </w:p>
          <w:p w14:paraId="7FE1BC23" w14:textId="78601E46" w:rsidR="00952395" w:rsidRDefault="0083775C">
            <w:pPr>
              <w:pStyle w:val="P68B1DB1-ListParagraph39"/>
              <w:numPr>
                <w:ilvl w:val="0"/>
                <w:numId w:val="275"/>
              </w:numPr>
              <w:jc w:val="both"/>
            </w:pPr>
            <w:r>
              <w:t xml:space="preserve">būtiski (bet nepārvarami) šķēršļi, </w:t>
            </w:r>
          </w:p>
          <w:p w14:paraId="7FE1BC25" w14:textId="12D666ED" w:rsidR="00952395" w:rsidRDefault="0083775C">
            <w:pPr>
              <w:pStyle w:val="P68B1DB1-ListParagraph8"/>
              <w:numPr>
                <w:ilvl w:val="0"/>
                <w:numId w:val="275"/>
              </w:numPr>
              <w:jc w:val="both"/>
            </w:pPr>
            <w:r>
              <w:t>kritiski (sarežģīti pārvarami) šķēršļi.</w:t>
            </w:r>
          </w:p>
        </w:tc>
      </w:tr>
      <w:tr w:rsidR="00952395"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952395" w:rsidRDefault="0083775C">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952395" w:rsidRDefault="0083775C">
            <w:pPr>
              <w:pStyle w:val="P68B1DB1-TableParagraph14"/>
              <w:spacing w:before="108"/>
              <w:jc w:val="both"/>
              <w:rPr>
                <w:bCs/>
              </w:rPr>
            </w:pPr>
            <w:r>
              <w:t>Ekspluatācijas prasības ieiešanai tirgū vai paplašināšanai</w:t>
            </w:r>
          </w:p>
          <w:p w14:paraId="7FE1BC29"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C2A" w14:textId="46374DD1" w:rsidR="00952395" w:rsidRDefault="0083775C">
            <w:pPr>
              <w:pStyle w:val="P68B1DB1-TableParagraph13"/>
              <w:spacing w:before="108"/>
              <w:jc w:val="both"/>
            </w:pPr>
            <w:r>
              <w:t xml:space="preserve">Organizatoriskās, tehniskās un infrastruktūras prasības konkurentiem, lai piedāvātu pakalpojumu. Lai piedāvātu pakalpojumus, kas saistīti ar (apakš)funkciju, pakalpojumu sniedzējiem ir jāiegulda (jaunā vai papildu) infrastruktūrā vai jāmaina savas organizācijas. Novērtēt tirgus spēju absorbēt konkrēto uzņēmējdarbību, piemēram, kapitāla prasību ziņā. </w:t>
            </w:r>
          </w:p>
          <w:p w14:paraId="7FE1BC2B" w14:textId="77777777" w:rsidR="00952395" w:rsidRDefault="0083775C">
            <w:pPr>
              <w:pStyle w:val="P68B1DB1-TableParagraph13"/>
              <w:spacing w:before="108"/>
              <w:jc w:val="both"/>
            </w:pPr>
            <w:r>
              <w:t xml:space="preserve">Šis rādītājs jāuzrāda kopās, kas ir vienādas katrai apakšfunkcijai: </w:t>
            </w:r>
          </w:p>
          <w:p w14:paraId="7FE1BC2C" w14:textId="59F4E6B2" w:rsidR="00952395" w:rsidRDefault="0083775C">
            <w:pPr>
              <w:pStyle w:val="P68B1DB1-ListParagraph39"/>
              <w:numPr>
                <w:ilvl w:val="0"/>
                <w:numId w:val="278"/>
              </w:numPr>
              <w:jc w:val="both"/>
            </w:pPr>
            <w:r>
              <w:lastRenderedPageBreak/>
              <w:t xml:space="preserve">nav būtisku prasību, </w:t>
            </w:r>
          </w:p>
          <w:p w14:paraId="7FE1BC2D" w14:textId="17A47EF8" w:rsidR="00952395" w:rsidRDefault="0083775C">
            <w:pPr>
              <w:pStyle w:val="P68B1DB1-ListParagraph39"/>
              <w:numPr>
                <w:ilvl w:val="0"/>
                <w:numId w:val="278"/>
              </w:numPr>
              <w:jc w:val="both"/>
            </w:pPr>
            <w:r>
              <w:t xml:space="preserve">dažas prasības, </w:t>
            </w:r>
          </w:p>
          <w:p w14:paraId="7FE1BC2E" w14:textId="6B2B459E" w:rsidR="00952395" w:rsidRDefault="0083775C">
            <w:pPr>
              <w:pStyle w:val="P68B1DB1-ListParagraph39"/>
              <w:numPr>
                <w:ilvl w:val="0"/>
                <w:numId w:val="278"/>
              </w:numPr>
              <w:jc w:val="both"/>
            </w:pPr>
            <w:r>
              <w:t xml:space="preserve">būtiskas (bet nepārvaramas) prasības, </w:t>
            </w:r>
          </w:p>
          <w:p w14:paraId="7FE1BC2F" w14:textId="79851C7C" w:rsidR="00952395" w:rsidRDefault="0083775C">
            <w:pPr>
              <w:pStyle w:val="P68B1DB1-ListParagraph39"/>
              <w:numPr>
                <w:ilvl w:val="0"/>
                <w:numId w:val="278"/>
              </w:numPr>
              <w:jc w:val="both"/>
            </w:pPr>
            <w:r>
              <w:t>kritiskas (sarežģītas) prasības.</w:t>
            </w:r>
          </w:p>
          <w:p w14:paraId="7FE1BC30"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952395" w:rsidRDefault="0083775C">
            <w:pPr>
              <w:pStyle w:val="P68B1DB1-TableParagraph17"/>
              <w:spacing w:before="108"/>
              <w:jc w:val="both"/>
            </w:pPr>
            <w:r>
              <w:lastRenderedPageBreak/>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952395" w:rsidRDefault="0083775C">
            <w:pPr>
              <w:pStyle w:val="P68B1DB1-TableParagraph14"/>
              <w:spacing w:before="108"/>
              <w:jc w:val="both"/>
              <w:rPr>
                <w:bCs/>
              </w:rPr>
            </w:pPr>
            <w:r>
              <w:t>Iekāpšanas jauda</w:t>
            </w:r>
          </w:p>
        </w:tc>
      </w:tr>
      <w:tr w:rsidR="00952395"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952395" w:rsidRDefault="0083775C">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952395" w:rsidRDefault="0083775C">
            <w:pPr>
              <w:pStyle w:val="P68B1DB1-TableParagraph14"/>
              <w:spacing w:before="108"/>
              <w:rPr>
                <w:bCs/>
              </w:rPr>
            </w:pPr>
            <w:r>
              <w:t>Uzņemšanas jauda — jaunu klientu pieteikumu skaits vienas darbdienas laikā (skaits)</w:t>
            </w:r>
          </w:p>
          <w:p w14:paraId="2BBAFCB8" w14:textId="77777777" w:rsidR="00952395" w:rsidRDefault="0083775C">
            <w:pPr>
              <w:pStyle w:val="P68B1DB1-TableParagraph13"/>
              <w:spacing w:before="108"/>
            </w:pPr>
            <w:r>
              <w:t>Iestādēm jāiesniedz vislielākais pieteikumu skaits, ja iestāde ir apstiprinājusi bankas pakalpojuma pieprasījumu.</w:t>
            </w:r>
          </w:p>
          <w:p w14:paraId="3F7DDDEF"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5AB7F16A" w14:textId="77777777" w:rsidR="00952395" w:rsidRDefault="0083775C">
            <w:pPr>
              <w:pStyle w:val="P68B1DB1-TableParagraph13"/>
              <w:spacing w:before="108"/>
              <w:jc w:val="both"/>
              <w:rPr>
                <w:b/>
                <w:bCs/>
              </w:rPr>
            </w:pPr>
            <w:r>
              <w:t xml:space="preserve">MFI maksājumu pakalpojumu, maksājumu pakalpojumu ne-MFI un skaidras naudas pakalpojumu piesaistīšanas spēja jaunu kontu skaita izteiksmē ir izteikta vienas darbdienas laikā. </w:t>
            </w:r>
          </w:p>
          <w:p w14:paraId="10BCF6A2" w14:textId="77777777" w:rsidR="00952395" w:rsidRDefault="0083775C">
            <w:pPr>
              <w:pStyle w:val="P68B1DB1-TableParagraph13"/>
              <w:spacing w:before="108"/>
              <w:jc w:val="both"/>
              <w:rPr>
                <w:b/>
                <w:bCs/>
              </w:rPr>
            </w:pPr>
            <w:r>
              <w:t>Iestādēm ir jāņem vērā jaunu klientu piesaistīšanas termiņš, jo jauns klients ir pieteicies bankas pakalpojumam.</w:t>
            </w:r>
          </w:p>
          <w:p w14:paraId="54138520" w14:textId="77777777" w:rsidR="00952395" w:rsidRDefault="00952395">
            <w:pPr>
              <w:pStyle w:val="TableParagraph"/>
              <w:spacing w:before="108"/>
              <w:rPr>
                <w:rFonts w:ascii="Times New Roman" w:hAnsi="Times New Roman" w:cs="Times New Roman"/>
                <w:b/>
                <w:bCs/>
                <w:color w:val="000000" w:themeColor="text1"/>
                <w:sz w:val="20"/>
                <w:szCs w:val="20"/>
              </w:rPr>
            </w:pPr>
          </w:p>
        </w:tc>
      </w:tr>
      <w:tr w:rsidR="00952395"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952395" w:rsidRDefault="0083775C">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952395" w:rsidRDefault="0083775C">
            <w:pPr>
              <w:pStyle w:val="P68B1DB1-TableParagraph14"/>
              <w:spacing w:before="108"/>
              <w:rPr>
                <w:bCs/>
              </w:rPr>
            </w:pPr>
            <w:r>
              <w:t>Uzņemšanas jauda — jaunu klientu pieteikumu skaits 7 darbdienās (skaits)</w:t>
            </w:r>
          </w:p>
          <w:p w14:paraId="6C6045B8" w14:textId="77777777" w:rsidR="00952395" w:rsidRDefault="0083775C">
            <w:pPr>
              <w:pStyle w:val="P68B1DB1-TableParagraph13"/>
              <w:spacing w:before="108"/>
            </w:pPr>
            <w:r>
              <w:t>Iestādēm jāiesniedz vislielākais pieteikumu skaits, ja iestāde ir apstiprinājusi bankas pakalpojuma pieprasījumu.</w:t>
            </w:r>
          </w:p>
          <w:p w14:paraId="59CBAFC9" w14:textId="77777777" w:rsidR="00952395" w:rsidRDefault="0083775C">
            <w:pPr>
              <w:pStyle w:val="P68B1DB1-TableParagraph13"/>
              <w:spacing w:before="108"/>
              <w:jc w:val="both"/>
            </w:pPr>
            <w:r>
              <w:t>Vērtspapīru norēķinu pakalpojumu, CCP tīrvērtes pakalpojumu un norēķinu pakalpojumu piesaistīšanas spēja jaunu kontu skaita izteiksmē ir izteikta 7 darbdienu laikā.</w:t>
            </w:r>
          </w:p>
          <w:p w14:paraId="7623A7E1" w14:textId="77777777" w:rsidR="00952395" w:rsidRDefault="0083775C">
            <w:pPr>
              <w:pStyle w:val="P68B1DB1-TableParagraph13"/>
              <w:spacing w:before="108"/>
              <w:jc w:val="both"/>
              <w:rPr>
                <w:b/>
                <w:bCs/>
              </w:rPr>
            </w:pPr>
            <w:r>
              <w:t>Iestādēm ir jāņem vērā jaunu klientu piesaistīšanas termiņš, jo jauns klients ir pieteicies bankas pakalpojumam.</w:t>
            </w:r>
          </w:p>
          <w:p w14:paraId="6541ECB8" w14:textId="7269F4A9" w:rsidR="00952395" w:rsidRDefault="00952395">
            <w:pPr>
              <w:pStyle w:val="TableParagraph"/>
              <w:spacing w:before="108"/>
              <w:rPr>
                <w:rFonts w:ascii="Times New Roman" w:hAnsi="Times New Roman" w:cs="Times New Roman"/>
                <w:b/>
                <w:bCs/>
                <w:color w:val="000000" w:themeColor="text1"/>
                <w:sz w:val="20"/>
                <w:szCs w:val="20"/>
              </w:rPr>
            </w:pPr>
          </w:p>
        </w:tc>
      </w:tr>
      <w:tr w:rsidR="00952395"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952395" w:rsidRDefault="0083775C">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952395" w:rsidRDefault="0083775C">
            <w:pPr>
              <w:pStyle w:val="P68B1DB1-TableParagraph14"/>
              <w:spacing w:before="108"/>
              <w:rPr>
                <w:bCs/>
              </w:rPr>
            </w:pPr>
            <w:r>
              <w:t>Kritiskā svarīguma novērtējums</w:t>
            </w:r>
          </w:p>
        </w:tc>
      </w:tr>
      <w:tr w:rsidR="00952395"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952395" w:rsidRDefault="0083775C">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952395" w:rsidRDefault="0083775C">
            <w:pPr>
              <w:pStyle w:val="P68B1DB1-TableParagraph13"/>
              <w:spacing w:before="108"/>
            </w:pPr>
            <w:r>
              <w:t xml:space="preserve">Ietekme uz tirgu </w:t>
            </w:r>
          </w:p>
          <w:p w14:paraId="7FE1BC42" w14:textId="77777777" w:rsidR="00952395" w:rsidRDefault="0083775C">
            <w:pPr>
              <w:pStyle w:val="P68B1DB1-TableParagraph13"/>
              <w:spacing w:before="108"/>
            </w:pPr>
            <w:r>
              <w:t>Aplēstā ietekme, ko funkcijas pēkšņa pārtraukšana radītu uz trešajām personām, finanšu tirgiem un reālo ekonomiku, ņemot vērā apmēru, tirgus daļu valstī, ārējās un iekšējās savstarpējās saiknes, sarežģītību un iestādes pārrobežu darbības.</w:t>
            </w:r>
          </w:p>
          <w:p w14:paraId="7FE1BC43" w14:textId="46266FB9" w:rsidR="00952395" w:rsidRDefault="0083775C">
            <w:pPr>
              <w:pStyle w:val="P68B1DB1-TableParagraph13"/>
              <w:spacing w:before="108"/>
            </w:pPr>
            <w:r>
              <w:t>Šo novērtējumu kvalitatīvi izsaka kā “augstu”, “vidēji augstu”, “vidēji zemu” vai “zemu”.</w:t>
            </w:r>
          </w:p>
          <w:p w14:paraId="7FE1BC44" w14:textId="7CCB4614" w:rsidR="00952395" w:rsidRDefault="0083775C">
            <w:pPr>
              <w:pStyle w:val="P68B1DB1-TableParagraph13"/>
              <w:spacing w:before="108"/>
            </w:pPr>
            <w:r>
              <w:t>“Augsta” norāda tad, ja pārtraukšanai ir būtiska ietekme uz valsts tirgu; “VA” — ja ietekme ir ievērojama; “VZ” — ja ietekme ir vērā ņemama, taču ierobežota; un “Zems” — ja ietekme ir zema.</w:t>
            </w:r>
          </w:p>
        </w:tc>
      </w:tr>
      <w:tr w:rsidR="00952395"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952395" w:rsidRDefault="0083775C">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952395" w:rsidRDefault="0083775C">
            <w:pPr>
              <w:pStyle w:val="P68B1DB1-TableParagraph14"/>
              <w:spacing w:before="108"/>
              <w:rPr>
                <w:bCs/>
              </w:rPr>
            </w:pPr>
            <w:r>
              <w:t>Aizstājamība</w:t>
            </w:r>
          </w:p>
          <w:p w14:paraId="7FE1BC48" w14:textId="77777777" w:rsidR="00952395" w:rsidRDefault="0083775C">
            <w:pPr>
              <w:pStyle w:val="P68B1DB1-TableParagraph13"/>
              <w:spacing w:before="108"/>
            </w:pPr>
            <w:r>
              <w:t>Deleģētās regulas (ES) 2016/778 6. panta 3. punkts.</w:t>
            </w:r>
          </w:p>
          <w:p w14:paraId="7FE1BC49" w14:textId="77777777" w:rsidR="00952395" w:rsidRDefault="0083775C">
            <w:pPr>
              <w:pStyle w:val="P68B1DB1-TableParagraph13"/>
              <w:spacing w:before="108"/>
            </w:pPr>
            <w:r>
              <w:t>Funkciju uzskata par aizstājamu, ja to var aizstāt pieņemamā veidā un samērīgā laika posmā, tādējādi novēršot sistēmiskas problēmas reālajā ekonomikā un finanšu tirgos. Ņem vērā:</w:t>
            </w:r>
          </w:p>
          <w:p w14:paraId="7FE1BC4A" w14:textId="77777777" w:rsidR="00952395" w:rsidRDefault="0083775C">
            <w:pPr>
              <w:pStyle w:val="P68B1DB1-TableParagraph13"/>
              <w:spacing w:before="108"/>
            </w:pPr>
            <w:r>
              <w:t xml:space="preserve">(a) tirgus struktūru attiecīgajai funkcijai un aizstājējfunkcijas nodrošinātāju pieejamību; </w:t>
            </w:r>
          </w:p>
          <w:p w14:paraId="7FE1BC4B" w14:textId="77777777" w:rsidR="00952395" w:rsidRDefault="0083775C">
            <w:pPr>
              <w:pStyle w:val="P68B1DB1-TableParagraph13"/>
              <w:spacing w:before="108"/>
            </w:pPr>
            <w:r>
              <w:t xml:space="preserve">(b) citu pakalpojumu sniedzēju spējas attiecībā uz kapacitāti, funkcijas veikšanas prasības un iespējamos tirgū ienākšanas vai paplašināšanās šķēršļus; </w:t>
            </w:r>
          </w:p>
          <w:p w14:paraId="7FE1BC4C" w14:textId="77777777" w:rsidR="00952395" w:rsidRDefault="0083775C">
            <w:pPr>
              <w:pStyle w:val="P68B1DB1-TableParagraph13"/>
              <w:spacing w:before="108"/>
            </w:pPr>
            <w:r>
              <w:t xml:space="preserve">(c) citu pakalpojumu sniedzēju stimulu uzņemties šādu darbību veikšanu; </w:t>
            </w:r>
          </w:p>
          <w:p w14:paraId="7FE1BC4D" w14:textId="77777777" w:rsidR="00952395" w:rsidRDefault="0083775C">
            <w:pPr>
              <w:pStyle w:val="P68B1DB1-TableParagraph13"/>
              <w:spacing w:before="108"/>
            </w:pPr>
            <w:r>
              <w:t xml:space="preserve">(d) laiku, kas pakalpojuma lietotājiem nepieciešams, lai pārietu pie jaunā pakalpojumu sniedzēja, </w:t>
            </w:r>
            <w:r>
              <w:lastRenderedPageBreak/>
              <w:t>un šādas darbības izmaksas, laiku, kas citiem konkurentiem nepieciešams, lai pārņemtu konkrētās funkcijas, un tas, vai ir pietiekami daudz laika, lai novērstu būtisku darbības pārtraukšanu atkarībā no pakalpojuma veida.</w:t>
            </w:r>
          </w:p>
          <w:p w14:paraId="7FE1BC4E" w14:textId="5259F9E9" w:rsidR="00952395" w:rsidRDefault="0083775C">
            <w:pPr>
              <w:pStyle w:val="P68B1DB1-TableParagraph13"/>
              <w:spacing w:before="108"/>
            </w:pPr>
            <w:r>
              <w:t xml:space="preserve">Sniedz vispārēju novērtējumu par katras funkcijas paredzamo aizstājamības pakāpi, ņemot vērā iepriekš novērtētās dažādās dimensijas (tirgus daļu, tirgus koncentrāciju, aizstāšanas laiku, juridiskos šķēršļus un darbības prasības ienākšanai tirgū vai paplašināšanai). Šo novērtējumu kvalitatīvi izsaka kā “augstu”, “vidēji augstu”, “vidēji zemu” vai “zemu”. </w:t>
            </w:r>
          </w:p>
          <w:p w14:paraId="7FE1BC4F" w14:textId="2848C2C9" w:rsidR="00952395" w:rsidRDefault="0083775C">
            <w:pPr>
              <w:pStyle w:val="P68B1DB1-TableParagraph13"/>
              <w:spacing w:before="108"/>
            </w:pPr>
            <w:r>
              <w:t>“A” norāda, ja cita banka var viegli nodrošināt funkciju ar salīdzināmiem nosacījumiem un samērīgā laika posmā;</w:t>
            </w:r>
          </w:p>
          <w:p w14:paraId="7FE1BC50" w14:textId="60D54ED6" w:rsidR="00952395" w:rsidRDefault="0083775C">
            <w:pPr>
              <w:pStyle w:val="P68B1DB1-TableParagraph13"/>
              <w:spacing w:before="108"/>
            </w:pPr>
            <w:r>
              <w:t xml:space="preserve">“Z” — ja funkciju nevar vienkārši vai ātri aizstāt; </w:t>
            </w:r>
          </w:p>
          <w:p w14:paraId="7FE1BC51" w14:textId="0F9A1660" w:rsidR="00952395" w:rsidRDefault="0083775C">
            <w:pPr>
              <w:pStyle w:val="P68B1DB1-TableParagraph13"/>
              <w:spacing w:before="108"/>
            </w:pPr>
            <w:r>
              <w:t>“VA” un “VZ” — pārējos gadījumos, ņemot vērā dažādus aspektus (piem., tirgus daļu, tirgus koncentrāciju, laiku aizstāšanai, kā arī juridiskos šķēršļus un darbības prasības ienākšanai vai izvēršanai).</w:t>
            </w:r>
          </w:p>
        </w:tc>
      </w:tr>
      <w:tr w:rsidR="00952395"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952395" w:rsidRDefault="0083775C">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952395" w:rsidRDefault="0083775C">
            <w:pPr>
              <w:pStyle w:val="P68B1DB1-TableParagraph14"/>
              <w:spacing w:before="108"/>
              <w:rPr>
                <w:bCs/>
              </w:rPr>
            </w:pPr>
            <w:r>
              <w:t>Kritiski svarīga funkcija</w:t>
            </w:r>
          </w:p>
          <w:p w14:paraId="7FE1BC55" w14:textId="77777777" w:rsidR="00952395" w:rsidRDefault="0083775C">
            <w:pPr>
              <w:pStyle w:val="P68B1DB1-TableParagraph13"/>
              <w:spacing w:before="108"/>
            </w:pPr>
            <w:r>
              <w:t>Šajā slejā norāda, vai, ņemot vērā ietekmes un aizvietošanas analīzi, ko veicis iestāde, ekonomiskā funkcija tiek uzskatīta par kritiski svarīgu attiecīgās valsts tirgū.</w:t>
            </w:r>
          </w:p>
          <w:p w14:paraId="7FE1BC56" w14:textId="77777777" w:rsidR="00952395" w:rsidRDefault="0083775C">
            <w:pPr>
              <w:pStyle w:val="P68B1DB1-TableParagraph13"/>
              <w:spacing w:before="108"/>
            </w:pPr>
            <w:r>
              <w:t>Norādīt “Jā” vai “Nē”.</w:t>
            </w:r>
          </w:p>
        </w:tc>
      </w:tr>
      <w:tr w:rsidR="00952395"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952395" w:rsidRDefault="0083775C">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952395" w:rsidRDefault="0083775C">
            <w:pPr>
              <w:pStyle w:val="P68B1DB1-TableParagraph14"/>
              <w:spacing w:before="108"/>
              <w:rPr>
                <w:bCs/>
              </w:rPr>
            </w:pPr>
            <w:r>
              <w:t>Grupas komentāri</w:t>
            </w:r>
          </w:p>
          <w:p w14:paraId="7FE1BC5A" w14:textId="77777777" w:rsidR="00952395" w:rsidRDefault="0083775C">
            <w:pPr>
              <w:pStyle w:val="P68B1DB1-TableParagraph13"/>
              <w:spacing w:before="108"/>
            </w:pPr>
            <w:r>
              <w:t>Šis lauks ļauj pārskatu sniedzošajai vienībai paskaidrot visus pieņēmumus, kas izmantoti, lai novērtētu paziņotās(-o) funkcijas(-u) kritiskumu.</w:t>
            </w:r>
          </w:p>
        </w:tc>
      </w:tr>
    </w:tbl>
    <w:p w14:paraId="7FE1BC5C" w14:textId="77777777" w:rsidR="00952395" w:rsidRDefault="00952395">
      <w:pPr>
        <w:pStyle w:val="Instructionsberschrift2"/>
        <w:rPr>
          <w:rFonts w:ascii="Times New Roman" w:hAnsi="Times New Roman" w:cs="Times New Roman"/>
        </w:rPr>
      </w:pPr>
    </w:p>
    <w:p w14:paraId="7FE1BC5D" w14:textId="5C971E12" w:rsidR="00952395" w:rsidRDefault="0083775C">
      <w:pPr>
        <w:pStyle w:val="P68B1DB1-Instructionsberschrift25"/>
      </w:pPr>
      <w:bookmarkStart w:id="119" w:name="_Toc208244958"/>
      <w:r>
        <w:t>II.13.</w:t>
      </w:r>
      <w:r>
        <w:tab/>
        <w:t>Z 07.01.4 FUNC 1 CM</w:t>
      </w:r>
      <w:bookmarkEnd w:id="119"/>
    </w:p>
    <w:p w14:paraId="7FE1BC65" w14:textId="77777777" w:rsidR="00952395" w:rsidRDefault="0095239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52395"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952395" w:rsidRDefault="0083775C">
            <w:pPr>
              <w:pStyle w:val="P68B1DB1-TableParagraph17"/>
              <w:spacing w:before="108"/>
              <w:ind w:left="85"/>
              <w:jc w:val="both"/>
            </w:pPr>
            <w:r>
              <w:t>Slejas</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952395" w:rsidRDefault="0083775C">
            <w:pPr>
              <w:pStyle w:val="P68B1DB1-TableParagraph17"/>
              <w:spacing w:before="108"/>
              <w:ind w:left="85" w:right="1"/>
              <w:jc w:val="both"/>
            </w:pPr>
            <w:r>
              <w:t>Norādījumi</w:t>
            </w:r>
          </w:p>
        </w:tc>
      </w:tr>
      <w:tr w:rsidR="00952395"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952395" w:rsidRDefault="0083775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952395" w:rsidRDefault="0083775C">
            <w:pPr>
              <w:pStyle w:val="P68B1DB1-TableParagraph14"/>
              <w:spacing w:before="108"/>
              <w:ind w:left="85"/>
              <w:jc w:val="both"/>
              <w:rPr>
                <w:bCs/>
              </w:rPr>
            </w:pPr>
            <w:r>
              <w:t>Ekonomiskās funkcijas apraksts</w:t>
            </w:r>
          </w:p>
          <w:p w14:paraId="7FE1BC6B" w14:textId="673475F1" w:rsidR="00952395" w:rsidRDefault="0083775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Ja saimnieciskā funkcija ir “Cita” (Z</w:t>
            </w:r>
            <w:r>
              <w:t xml:space="preserve">07.01.4 FUNC 1 </w:t>
            </w:r>
            <w:r>
              <w:rPr>
                <w:rFonts w:ascii="Times New Roman" w:eastAsia="Cambria" w:hAnsi="Times New Roman" w:cs="Times New Roman"/>
                <w:color w:val="000000" w:themeColor="text1"/>
                <w:sz w:val="20"/>
                <w:szCs w:val="20"/>
              </w:rPr>
              <w:t xml:space="preserve">CM r0290 līdz r0310), sniedz šīs funkcijas aprakstu. </w:t>
            </w:r>
          </w:p>
        </w:tc>
      </w:tr>
      <w:tr w:rsidR="00952395"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952395" w:rsidRDefault="0083775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952395" w:rsidRDefault="0083775C">
            <w:pPr>
              <w:pStyle w:val="P68B1DB1-TableParagraph14"/>
              <w:spacing w:before="108"/>
              <w:ind w:left="85"/>
              <w:jc w:val="both"/>
              <w:rPr>
                <w:bCs/>
              </w:rPr>
            </w:pPr>
            <w:r>
              <w:t xml:space="preserve">Tirgus daļa </w:t>
            </w:r>
          </w:p>
          <w:p w14:paraId="7FE1BC6F" w14:textId="629D801B" w:rsidR="00952395" w:rsidRDefault="0083775C">
            <w:pPr>
              <w:pStyle w:val="P68B1DB1-TableParagraph17"/>
              <w:spacing w:before="108"/>
              <w:ind w:left="85"/>
            </w:pPr>
            <w:r>
              <w:t>Iestādes vai grupas aplēstā tirgus daļa ekonomiskajai funkcijai attiecīgajā valstī vai ģeogrāfiskajā reģionā. Procentuālā daļa no kopējā tirgus atvasināto instrumentu nosacītās summas izteiksmē; uzskaites vērtība otrreizējiem tirgiem un ienākumi no maksām primārajos tirgos.</w:t>
            </w:r>
          </w:p>
        </w:tc>
      </w:tr>
      <w:tr w:rsidR="00952395"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952395" w:rsidRDefault="0083775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952395" w:rsidRDefault="0083775C">
            <w:pPr>
              <w:pStyle w:val="P68B1DB1-TableParagraph14"/>
              <w:spacing w:before="108"/>
              <w:rPr>
                <w:bCs/>
              </w:rPr>
            </w:pPr>
            <w:r>
              <w:t>Nosacītā summa</w:t>
            </w:r>
          </w:p>
          <w:p w14:paraId="7FE1BC73" w14:textId="77777777" w:rsidR="00952395" w:rsidRDefault="0083775C">
            <w:pPr>
              <w:pStyle w:val="P68B1DB1-TableParagraph17"/>
              <w:spacing w:before="108"/>
            </w:pPr>
            <w:r>
              <w:t xml:space="preserve">bruto nosacītā summa visiem darījumiem, kas noslēgti, bet vēl nav veikti atsauces datumā. </w:t>
            </w:r>
          </w:p>
          <w:p w14:paraId="7FE1BC74" w14:textId="77777777" w:rsidR="00952395" w:rsidRDefault="0083775C">
            <w:pPr>
              <w:pStyle w:val="P68B1DB1-TableParagraph17"/>
              <w:spacing w:before="108"/>
            </w:pPr>
            <w:r>
              <w:t>Atsauces FINREP V pielikums, 2. daļas 133. punkts definīcijai; datiem:FINREP III, IV un V pielikums.</w:t>
            </w:r>
          </w:p>
          <w:p w14:paraId="7FE1BC75" w14:textId="77777777" w:rsidR="00952395" w:rsidRDefault="0083775C">
            <w:pPr>
              <w:pStyle w:val="P68B1DB1-TableParagraph17"/>
              <w:spacing w:before="108"/>
            </w:pPr>
            <w:r>
              <w:t>— Atvasinātie instrumenti kopā (4.1.–4.2.): Veidne F 10.00, 030. sleja, 290. rinda.</w:t>
            </w:r>
          </w:p>
          <w:p w14:paraId="7FE1BC76" w14:textId="77777777" w:rsidR="00952395" w:rsidRDefault="0083775C">
            <w:pPr>
              <w:pStyle w:val="P68B1DB1-TableParagraph17"/>
              <w:spacing w:before="108"/>
            </w:pPr>
            <w:r>
              <w:t>— Ārpusbiržas atvasinātie instrumenti (4.1.): Veidne F 10.00, 030. sleja, 300. + 310.+ 320. rinda.</w:t>
            </w:r>
          </w:p>
        </w:tc>
      </w:tr>
      <w:tr w:rsidR="00952395"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952395" w:rsidRDefault="0083775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952395" w:rsidRDefault="0083775C">
            <w:pPr>
              <w:pStyle w:val="P68B1DB1-TableParagraph14"/>
              <w:spacing w:before="108"/>
              <w:rPr>
                <w:bCs/>
              </w:rPr>
            </w:pPr>
            <w:r>
              <w:t>Uzskaites vērtība</w:t>
            </w:r>
          </w:p>
          <w:p w14:paraId="7FE1BC7A" w14:textId="77777777" w:rsidR="00952395" w:rsidRDefault="0083775C">
            <w:pPr>
              <w:pStyle w:val="P68B1DB1-TableParagraph17"/>
              <w:spacing w:before="108"/>
            </w:pPr>
            <w:r>
              <w:t xml:space="preserve">Uzskaites vērtības aktīvi — uzskaites vērtība, kas jānorāda bilances aktīvu daļā, tostarp uzkrātie procenti [FINREP: V pielikuma 1. daļas 27. punkts] kapitāla vērtspapīru instrumentiem un parāda </w:t>
            </w:r>
            <w:r>
              <w:lastRenderedPageBreak/>
              <w:t>vērtspapīriem [FINREP: V pielikuma 1. daļas 31. punkts], klasificēti kā “turēti tirdzniecības nolūkā” [FINREP: V pielikuma 1. daļas 15. punkta a) apakšpunkts un 16. punkta a) apakšpunkts].</w:t>
            </w:r>
          </w:p>
          <w:p w14:paraId="7FE1BC7B" w14:textId="77777777" w:rsidR="00952395" w:rsidRDefault="0083775C">
            <w:pPr>
              <w:pStyle w:val="P68B1DB1-TableParagraph17"/>
              <w:spacing w:before="108"/>
            </w:pPr>
            <w:r>
              <w:t>Atsauce: FINREP: III pielikums, veidne F 04.01, 010. sleja, 010. + 060.+ 120. rinda.</w:t>
            </w:r>
          </w:p>
        </w:tc>
      </w:tr>
      <w:tr w:rsidR="00952395"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952395" w:rsidRDefault="0083775C">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952395" w:rsidRDefault="0083775C">
            <w:pPr>
              <w:pStyle w:val="P68B1DB1-TableParagraph14"/>
              <w:spacing w:before="108"/>
              <w:jc w:val="both"/>
              <w:rPr>
                <w:bCs/>
              </w:rPr>
            </w:pPr>
            <w:r>
              <w:t>Ienākumi no maksām</w:t>
            </w:r>
          </w:p>
          <w:p w14:paraId="7FE1BC7F" w14:textId="77777777" w:rsidR="00952395" w:rsidRDefault="0083775C">
            <w:pPr>
              <w:pStyle w:val="P68B1DB1-TableParagraph13"/>
              <w:spacing w:before="108"/>
              <w:jc w:val="both"/>
            </w:pPr>
            <w:r>
              <w:t>Maksas un komisijas nauda, kas saņemtas par iesaisti to vērtspapīru iniciēšanā vai emisijā, kurus nav iniciējusi vai emitējusi attiecīgā iestāde.</w:t>
            </w:r>
          </w:p>
          <w:p w14:paraId="7FE1BC80" w14:textId="77777777" w:rsidR="00952395" w:rsidRDefault="0083775C">
            <w:pPr>
              <w:pStyle w:val="P68B1DB1-TableParagraph13"/>
              <w:spacing w:before="108"/>
              <w:jc w:val="both"/>
            </w:pPr>
            <w:r>
              <w:t>Atsauce: FINREP: III, IV pielikums, veidne F 22.01, 010. sleja, 030.+ 180. rinda.</w:t>
            </w:r>
          </w:p>
        </w:tc>
      </w:tr>
      <w:tr w:rsidR="00952395"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952395" w:rsidRDefault="0083775C">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952395" w:rsidRDefault="0083775C">
            <w:pPr>
              <w:pStyle w:val="P68B1DB1-TableParagraph14"/>
              <w:spacing w:before="108"/>
              <w:jc w:val="both"/>
              <w:rPr>
                <w:bCs/>
              </w:rPr>
            </w:pPr>
            <w:r>
              <w:t>Pārrobežu vērtība</w:t>
            </w:r>
          </w:p>
          <w:p w14:paraId="7FE1BC84" w14:textId="4F4878AE" w:rsidR="00952395" w:rsidRDefault="0083775C">
            <w:pPr>
              <w:pStyle w:val="P68B1DB1-TableParagraph13"/>
              <w:spacing w:before="108"/>
              <w:jc w:val="both"/>
            </w:pPr>
            <w:r>
              <w:t xml:space="preserve">Atvasinātie instrumenti: nenomaksātā nosacītā summa ārpus piederības valsts vai attiecīgās valsts. </w:t>
            </w:r>
          </w:p>
          <w:p w14:paraId="7FE1BC85" w14:textId="77777777" w:rsidR="00952395" w:rsidRDefault="0083775C">
            <w:pPr>
              <w:pStyle w:val="P68B1DB1-TableParagraph13"/>
              <w:spacing w:before="108"/>
              <w:jc w:val="both"/>
            </w:pPr>
            <w:r>
              <w:t>Sekundārie tirgi: bruto nenomaksātā uzskaites vērtība ārpus piederības valsts vai attiecīgās valsts. Vispārīga atsauce: FINREP III pielikuma 20.04. tabulas 011. slejas 040.+ 080. rinda, visas valstis, izņemot piederības valsti vai attiecīgo valsti.</w:t>
            </w:r>
          </w:p>
          <w:p w14:paraId="7FE1BC86" w14:textId="68837303" w:rsidR="00952395" w:rsidRDefault="0083775C">
            <w:pPr>
              <w:pStyle w:val="P68B1DB1-TableParagraph13"/>
              <w:spacing w:before="108"/>
              <w:jc w:val="both"/>
            </w:pPr>
            <w:r>
              <w:t>Primārie tirgi: ienākumi no maksām, kas gūti ārpus piederības valsts vai attiecīgās valsts.</w:t>
            </w:r>
          </w:p>
        </w:tc>
      </w:tr>
      <w:tr w:rsidR="00952395"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952395" w:rsidRDefault="0083775C">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952395" w:rsidRDefault="0083775C">
            <w:pPr>
              <w:pStyle w:val="P68B1DB1-TableParagraph14"/>
              <w:spacing w:before="108"/>
              <w:jc w:val="both"/>
              <w:rPr>
                <w:bCs/>
              </w:rPr>
            </w:pPr>
            <w:r>
              <w:t>Darījumu partneru vai darījumu skaits.</w:t>
            </w:r>
          </w:p>
          <w:p w14:paraId="7FE1BC8A" w14:textId="77777777" w:rsidR="00952395" w:rsidRDefault="0083775C">
            <w:pPr>
              <w:pStyle w:val="P68B1DB1-TableParagraph13"/>
              <w:spacing w:before="108"/>
              <w:jc w:val="both"/>
              <w:rPr>
                <w:b/>
                <w:bCs/>
              </w:rPr>
            </w:pPr>
            <w:r>
              <w:t>Attiecībā uz atvasinātajiem instrumentiem un sekundārajiem tirgiem — darījumu partneru kopskaits. Primārajiem tirgiem — parakstīto darījumu kopējais skaits.</w:t>
            </w:r>
          </w:p>
        </w:tc>
      </w:tr>
      <w:tr w:rsidR="00952395"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952395" w:rsidRDefault="0083775C">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952395" w:rsidRDefault="0083775C">
            <w:pPr>
              <w:pStyle w:val="P68B1DB1-TableParagraph14"/>
              <w:spacing w:before="108"/>
              <w:jc w:val="both"/>
              <w:rPr>
                <w:bCs/>
              </w:rPr>
            </w:pPr>
            <w:r>
              <w:t>Ietekmes un aizstājamības analīze</w:t>
            </w:r>
          </w:p>
          <w:p w14:paraId="7FE1BC8E" w14:textId="77777777" w:rsidR="00952395" w:rsidRDefault="0083775C">
            <w:pPr>
              <w:pStyle w:val="P68B1DB1-TableParagraph13"/>
              <w:spacing w:before="108"/>
              <w:jc w:val="both"/>
            </w:pPr>
            <w:r>
              <w:t>Novērtēšanas kritēriji attiecībā uz ietekmi uz trešām personām ietver šādus elementus saskaņā ar Komisijas Deleģēto regulu (ES) 2016/778 par kritiski svarīgām funkcijām:</w:t>
            </w:r>
          </w:p>
          <w:p w14:paraId="7FE1BC8F" w14:textId="77777777" w:rsidR="00952395" w:rsidRDefault="0083775C">
            <w:pPr>
              <w:pStyle w:val="P68B1DB1-ListParagraph38"/>
              <w:numPr>
                <w:ilvl w:val="0"/>
                <w:numId w:val="131"/>
              </w:numPr>
              <w:spacing w:line="276" w:lineRule="auto"/>
            </w:pPr>
            <w:r>
              <w:t>darbības veids un tvērums, globālais, valsts vai reģionālais mērogs, darījumu apjoms un skaits; klientu un darījumu partneru skaits; klientu skaits, kuriem iestāde ir vienīgais vai galvenais bankas partneris.</w:t>
            </w:r>
          </w:p>
          <w:p w14:paraId="7FE1BC90" w14:textId="77777777" w:rsidR="00952395" w:rsidRDefault="0083775C">
            <w:pPr>
              <w:pStyle w:val="P68B1DB1-ListParagraph38"/>
              <w:numPr>
                <w:ilvl w:val="0"/>
                <w:numId w:val="131"/>
              </w:numPr>
              <w:spacing w:line="276" w:lineRule="auto"/>
            </w:pPr>
            <w:r>
              <w:t>iestādes nozīmīgums vietējā, reģionālā, valsts vai Eiropas līmenī attiecīgi konkrētajam tirgum. Iestādes nozīmīgumu var novērtēt, pamatojoties uz tirgus daļu, savstarpējo saikni, sarežģītību un pārrobežu darbībām;</w:t>
            </w:r>
          </w:p>
          <w:p w14:paraId="7FE1BC91" w14:textId="77777777" w:rsidR="00952395" w:rsidRDefault="0083775C">
            <w:pPr>
              <w:pStyle w:val="P68B1DB1-ListParagraph38"/>
              <w:numPr>
                <w:ilvl w:val="0"/>
                <w:numId w:val="131"/>
              </w:numPr>
              <w:spacing w:line="276" w:lineRule="auto"/>
            </w:pPr>
            <w:r>
              <w:t xml:space="preserve">funkcijas skarto klientu un ieinteresēto personu raksturojums, kas citstarp ietver privātos klientus, korporatīvos klientus, starpbanku klientus, centrālās mijieskaita darījumu starpniekiestādes un publiskas struktūras; </w:t>
            </w:r>
          </w:p>
          <w:p w14:paraId="7FE1BC92" w14:textId="77777777" w:rsidR="00952395" w:rsidRDefault="0083775C">
            <w:pPr>
              <w:pStyle w:val="P68B1DB1-ListParagraph38"/>
              <w:numPr>
                <w:ilvl w:val="0"/>
                <w:numId w:val="131"/>
              </w:numPr>
              <w:spacing w:line="276" w:lineRule="auto"/>
            </w:pPr>
            <w:r>
              <w:t>iespējamais funkcijas darbības pārtraukums tirgiem, infrastruktūrām, klientiem un publiskajiem pakalpojumiem. Novērtējumā jo īpaši var iekļaut ietekmi uz attiecīgo tirgu likviditāti, klientu darījumdarbības traucējumu ietekmi un apmēru un īstermiņa likviditātes vajadzības; uztveramība darījumu partneriem, klientiem un sabiedrībai; klientu reakcijas jauda un ātrums; atbilstība citu tirgu darbībai; ietekme uz cita tirgus likviditāti, operācijām, struktūru; ietekme uz citiem darījumu partneriem, kas saistīti a</w:t>
            </w:r>
            <w:r>
              <w:t>r galvenajiem klientiem, un funkcijas saistība ar citiem pakalpojumiem.</w:t>
            </w:r>
          </w:p>
          <w:p w14:paraId="7FE1BC93"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952395" w:rsidRDefault="0083775C">
            <w:pPr>
              <w:pStyle w:val="P68B1DB1-TableParagraph17"/>
              <w:spacing w:before="108"/>
              <w:ind w:left="85"/>
              <w:jc w:val="both"/>
            </w:pPr>
            <w:r>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952395" w:rsidRDefault="0083775C">
            <w:pPr>
              <w:pStyle w:val="P68B1DB1-TableParagraph14"/>
              <w:spacing w:before="108"/>
              <w:jc w:val="both"/>
              <w:rPr>
                <w:bCs/>
              </w:rPr>
            </w:pPr>
            <w:r>
              <w:t xml:space="preserve">Daba un sasniedzamība </w:t>
            </w:r>
          </w:p>
          <w:p w14:paraId="7FE1BC97" w14:textId="77777777" w:rsidR="00952395" w:rsidRDefault="0083775C">
            <w:pPr>
              <w:pStyle w:val="P68B1DB1-TableParagraph13"/>
              <w:spacing w:before="108"/>
              <w:jc w:val="both"/>
            </w:pPr>
            <w:r>
              <w:t>Globālais, valsts vai reģionālais mērogs, darījumu apjoms un skaits; klientu un darījumu partneru skaits; klientu skaits, kuriem iestāde ir vienīgais vai galvenais bankas partneris.</w:t>
            </w:r>
          </w:p>
        </w:tc>
      </w:tr>
      <w:tr w:rsidR="00952395"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952395" w:rsidRDefault="0083775C">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952395" w:rsidRDefault="0083775C">
            <w:pPr>
              <w:pStyle w:val="P68B1DB1-TableParagraph14"/>
              <w:spacing w:before="108"/>
              <w:jc w:val="both"/>
              <w:rPr>
                <w:bCs/>
              </w:rPr>
            </w:pPr>
            <w:r>
              <w:t>Lieluma rādītājs Nr. 1</w:t>
            </w:r>
          </w:p>
          <w:p w14:paraId="4965F0DF" w14:textId="77777777" w:rsidR="00952395" w:rsidRDefault="0083775C">
            <w:pPr>
              <w:pStyle w:val="P68B1DB1-Normal31"/>
              <w:spacing w:line="276" w:lineRule="auto"/>
              <w:jc w:val="both"/>
            </w:pPr>
            <w:r>
              <w:t xml:space="preserve">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w:t>
            </w:r>
            <w:r>
              <w:lastRenderedPageBreak/>
              <w:t xml:space="preserve">mainīgos lielumus, piemēram, IKP, iedzīvotāju skaitu (noguldījumiem, aizdevumiem, maksājumiem, skaidras naudas, norēķinu, tīrvērtes un uzskaites pakalpojumiem) vai tirgus lielumu (kapitāla tirgiem un vairumtirdzniecības finansējumam) kā kritēriju šim kvalitatīvajam novērtējumam. </w:t>
            </w:r>
          </w:p>
          <w:p w14:paraId="7FE1BC9B" w14:textId="478A7B58" w:rsidR="00952395" w:rsidRDefault="0083775C">
            <w:pPr>
              <w:pStyle w:val="P68B1DB1-TableParagraph13"/>
              <w:spacing w:before="108"/>
              <w:jc w:val="both"/>
            </w:pPr>
            <w:r>
              <w:t xml:space="preserve"> </w:t>
            </w:r>
          </w:p>
          <w:p w14:paraId="7FE1BC9C" w14:textId="3823487E" w:rsidR="00952395" w:rsidRDefault="0083775C">
            <w:pPr>
              <w:pStyle w:val="P68B1DB1-ListParagraph32"/>
              <w:numPr>
                <w:ilvl w:val="0"/>
                <w:numId w:val="126"/>
              </w:numPr>
              <w:spacing w:line="276" w:lineRule="auto"/>
            </w:pPr>
            <w:r>
              <w:t xml:space="preserve">Eksperta slēdziens par nenomaksātās nosacītās summas </w:t>
            </w:r>
            <w:r>
              <w:rPr>
                <w:b/>
              </w:rPr>
              <w:t>vērtību</w:t>
            </w:r>
            <w:r>
              <w:t xml:space="preserve"> (0030. c. funkcijai ID 4.1 un 4.2.); uzskaites vērtība (0040 attiecībā uz ID 4.3); vai radītie ienākumi no maksām (0050. apl. attiecībā uz ID 4.4.) </w:t>
            </w:r>
            <w:r>
              <w:rPr>
                <w:b/>
              </w:rPr>
              <w:t>globālā</w:t>
            </w:r>
            <w:r>
              <w:t xml:space="preserve"> perspektīvā</w:t>
            </w:r>
            <w:r>
              <w:rPr>
                <w:i/>
              </w:rPr>
              <w:t>[par vienu līmeni augstāks nekā konkrētais tirgus. Ja konkrētais tirgus ir globāls, tad 1. lielums kļūst lieks un par to nav jāziņo]</w:t>
            </w:r>
            <w:r>
              <w:t>:</w:t>
            </w:r>
          </w:p>
          <w:p w14:paraId="7FE1BC9D" w14:textId="77777777" w:rsidR="00952395" w:rsidRDefault="0083775C">
            <w:pPr>
              <w:pStyle w:val="P68B1DB1-TableParagraph33"/>
              <w:spacing w:before="108"/>
              <w:jc w:val="both"/>
              <w:rPr>
                <w:rFonts w:cs="Times New Roman"/>
                <w:color w:val="000000" w:themeColor="text1"/>
              </w:rPr>
            </w:pPr>
            <w:r>
              <w:t>Cik liela, jūsuprāt, ir kopējā nosacītā neatmaksātā summa vai uzkrātā uzskaites vērtība vai maksu ienākumi no globālā viedokļa?</w:t>
            </w:r>
          </w:p>
        </w:tc>
      </w:tr>
      <w:tr w:rsidR="00952395"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952395" w:rsidRDefault="0083775C">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952395" w:rsidRDefault="0083775C">
            <w:pPr>
              <w:pStyle w:val="P68B1DB1-TableParagraph14"/>
              <w:spacing w:before="108"/>
              <w:jc w:val="both"/>
              <w:rPr>
                <w:bCs/>
              </w:rPr>
            </w:pPr>
            <w:r>
              <w:t>Lieluma rādītājs Nr. 2</w:t>
            </w:r>
          </w:p>
          <w:p w14:paraId="419C7762" w14:textId="77777777" w:rsidR="00952395" w:rsidRDefault="0083775C">
            <w:pPr>
              <w:pStyle w:val="P68B1DB1-Normal31"/>
              <w:spacing w:line="276" w:lineRule="auto"/>
              <w:jc w:val="both"/>
            </w:pPr>
            <w:r>
              <w:t>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mainīgos lielumus, piemēram, IKP, iedzīvotāju skaitu (noguldījumiem, aizdevumiem, maksājumiem, skaidras naudas, norēķinu, tīrvērtes un uzskaites pakalpojumiem) vai tirgus lielumu (kapitāla tirgiem un vairumtirdzni</w:t>
            </w:r>
            <w:r>
              <w:t xml:space="preserve">ecības finansējumam) kā kritēriju šim kvalitatīvajam novērtējumam. </w:t>
            </w:r>
          </w:p>
          <w:p w14:paraId="7FE1BCA1" w14:textId="7FB998B3" w:rsidR="00952395" w:rsidRDefault="0083775C">
            <w:pPr>
              <w:pStyle w:val="P68B1DB1-TableParagraph13"/>
              <w:spacing w:before="108"/>
              <w:jc w:val="both"/>
            </w:pPr>
            <w:r>
              <w:t xml:space="preserve"> </w:t>
            </w:r>
          </w:p>
          <w:p w14:paraId="3C42A32E" w14:textId="77777777" w:rsidR="00952395" w:rsidRDefault="0083775C">
            <w:pPr>
              <w:pStyle w:val="P68B1DB1-ListParagraph32"/>
              <w:numPr>
                <w:ilvl w:val="0"/>
                <w:numId w:val="124"/>
              </w:numPr>
              <w:spacing w:line="276" w:lineRule="auto"/>
            </w:pPr>
            <w:r>
              <w:t xml:space="preserve">Ekspertu slēdziens par darījuma partneru skaitu (0090. c. funkcijai ID 4,1, 4.2., 4.3.) vai sākotnēji parakstīto darījumu </w:t>
            </w:r>
            <w:r>
              <w:rPr>
                <w:b/>
              </w:rPr>
              <w:t>skaitu</w:t>
            </w:r>
            <w:r>
              <w:t xml:space="preserve"> (0100. c. ID 4.4.) no </w:t>
            </w:r>
            <w:r>
              <w:rPr>
                <w:b/>
              </w:rPr>
              <w:t>valsts</w:t>
            </w:r>
            <w:r>
              <w:t xml:space="preserve"> perspektīvas [</w:t>
            </w:r>
            <w:r>
              <w:rPr>
                <w:i/>
              </w:rPr>
              <w:t>konkrētā tirgus līmenī</w:t>
            </w:r>
            <w:r>
              <w:t>]:</w:t>
            </w:r>
          </w:p>
          <w:p w14:paraId="7FE1BCA3" w14:textId="77777777" w:rsidR="00952395" w:rsidRDefault="0083775C">
            <w:pPr>
              <w:pStyle w:val="P68B1DB1-ListParagraph32"/>
              <w:numPr>
                <w:ilvl w:val="1"/>
                <w:numId w:val="124"/>
              </w:numPr>
              <w:spacing w:line="276" w:lineRule="auto"/>
            </w:pPr>
            <w:r>
              <w:t>Cik liels, raugoties no valsts perspektīvas, ir jūsu iestādes aplēstais darījumu partneru</w:t>
            </w:r>
            <w:r>
              <w:rPr>
                <w:i/>
              </w:rPr>
              <w:t xml:space="preserve"> vai</w:t>
            </w:r>
            <w:r>
              <w:t xml:space="preserve"> sākotnēji parakstīto darījumu skaits?</w:t>
            </w:r>
          </w:p>
          <w:p w14:paraId="7FE1BCA4"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952395" w:rsidRDefault="0083775C">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952395" w:rsidRDefault="0083775C">
            <w:pPr>
              <w:pStyle w:val="P68B1DB1-TableParagraph14"/>
              <w:spacing w:before="108"/>
              <w:jc w:val="both"/>
              <w:rPr>
                <w:bCs/>
              </w:rPr>
            </w:pPr>
            <w:r>
              <w:t>Pārrobežu rādītājs</w:t>
            </w:r>
          </w:p>
          <w:p w14:paraId="7FE1BCA8" w14:textId="77777777" w:rsidR="00952395" w:rsidRDefault="0083775C">
            <w:pPr>
              <w:pStyle w:val="P68B1DB1-TableParagraph13"/>
              <w:spacing w:before="108"/>
              <w:jc w:val="both"/>
            </w:pPr>
            <w:r>
              <w:t>Novērtēt pārrobežu darbību relatīvo nozīmi dažādajās ekonomiskajās funkcijās.</w:t>
            </w:r>
          </w:p>
          <w:p w14:paraId="7FE1BCA9" w14:textId="77777777" w:rsidR="00952395" w:rsidRDefault="0083775C">
            <w:pPr>
              <w:pStyle w:val="P68B1DB1-TableParagraph13"/>
              <w:spacing w:before="108"/>
              <w:jc w:val="both"/>
            </w:pPr>
            <w:r>
              <w:t xml:space="preserve">Tas nav jānovērtē ziņojumos, kuros konkrētais tirgus tiek uzskatīts par reģionālu. </w:t>
            </w:r>
          </w:p>
          <w:p w14:paraId="7FE1BCAA" w14:textId="77777777" w:rsidR="00952395" w:rsidRDefault="0083775C">
            <w:pPr>
              <w:pStyle w:val="P68B1DB1-ListParagraph32"/>
              <w:numPr>
                <w:ilvl w:val="0"/>
                <w:numId w:val="118"/>
              </w:numPr>
              <w:rPr>
                <w:i/>
                <w:iCs/>
              </w:rPr>
            </w:pPr>
            <w:r>
              <w:t xml:space="preserve">Pārskatu sniedzēja uzņēmuma starpjurisdikciju darbības daļa procentos no kopējās vērtības, izteikta nosacītās summās (atvasinātie instrumenti), uzskaites vērtībā (sekundārie tirgi), maksu ienākumi no ārvalstu klientiem (primārie tirgi). Ziņojums: </w:t>
            </w:r>
          </w:p>
          <w:p w14:paraId="7FE1BCAB" w14:textId="7D11D6B0" w:rsidR="00952395" w:rsidRDefault="0083775C">
            <w:pPr>
              <w:pStyle w:val="P68B1DB1-ListParagraph32"/>
              <w:numPr>
                <w:ilvl w:val="1"/>
                <w:numId w:val="118"/>
              </w:numPr>
              <w:rPr>
                <w:i/>
                <w:iCs/>
              </w:rPr>
            </w:pPr>
            <w:bookmarkStart w:id="120" w:name="_Hlk194476322"/>
            <w:r>
              <w:t xml:space="preserve">&amp;5 %; </w:t>
            </w:r>
          </w:p>
          <w:p w14:paraId="7FE1BCAC" w14:textId="35A9186D" w:rsidR="00952395" w:rsidRDefault="0083775C">
            <w:pPr>
              <w:pStyle w:val="P68B1DB1-ListParagraph32"/>
              <w:numPr>
                <w:ilvl w:val="1"/>
                <w:numId w:val="118"/>
              </w:numPr>
              <w:rPr>
                <w:i/>
                <w:iCs/>
              </w:rPr>
            </w:pPr>
            <w:r>
              <w:t xml:space="preserve">5–15 %; </w:t>
            </w:r>
          </w:p>
          <w:p w14:paraId="7FE1BCAD" w14:textId="54C07240" w:rsidR="00952395" w:rsidRDefault="0083775C">
            <w:pPr>
              <w:pStyle w:val="P68B1DB1-ListParagraph32"/>
              <w:numPr>
                <w:ilvl w:val="1"/>
                <w:numId w:val="118"/>
              </w:numPr>
              <w:rPr>
                <w:i/>
                <w:iCs/>
              </w:rPr>
            </w:pPr>
            <w:r>
              <w:t xml:space="preserve">16–25 %, </w:t>
            </w:r>
          </w:p>
          <w:p w14:paraId="7FE1BCAE" w14:textId="34AC2F5B" w:rsidR="00952395" w:rsidRDefault="0083775C">
            <w:pPr>
              <w:pStyle w:val="P68B1DB1-ListParagraph32"/>
              <w:numPr>
                <w:ilvl w:val="1"/>
                <w:numId w:val="118"/>
              </w:numPr>
              <w:rPr>
                <w:i/>
                <w:iCs/>
              </w:rPr>
            </w:pPr>
            <w:r>
              <w:t xml:space="preserve">&gt; 25 %. </w:t>
            </w:r>
          </w:p>
          <w:bookmarkEnd w:id="120"/>
          <w:p w14:paraId="7FE1BCAF"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952395" w:rsidRDefault="0083775C">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952395" w:rsidRDefault="0083775C">
            <w:pPr>
              <w:pStyle w:val="P68B1DB1-TableParagraph14"/>
              <w:spacing w:before="108"/>
              <w:jc w:val="both"/>
              <w:rPr>
                <w:bCs/>
              </w:rPr>
            </w:pPr>
            <w:r>
              <w:t xml:space="preserve">Atbilstība — </w:t>
            </w:r>
          </w:p>
          <w:p w14:paraId="7FE1BCB3" w14:textId="77777777" w:rsidR="00952395" w:rsidRDefault="0083775C">
            <w:pPr>
              <w:pStyle w:val="P68B1DB1-TableParagraph13"/>
              <w:spacing w:before="108"/>
              <w:jc w:val="both"/>
            </w:pPr>
            <w:r>
              <w:t>Vietējā, reģionālā, valsts vai Eiropas līmenī attiecīgi konkrētajam tirgum. Iestādes nozīmīgumu var novērtēt, pamatojoties uz tirgus daļu, savstarpējo saikni, sarežģītību un pārrobežu darbībām;</w:t>
            </w:r>
          </w:p>
          <w:p w14:paraId="7FE1BCB4" w14:textId="77777777" w:rsidR="00952395" w:rsidRDefault="0083775C">
            <w:pPr>
              <w:pStyle w:val="P68B1DB1-TableParagraph14"/>
              <w:spacing w:before="108"/>
              <w:jc w:val="both"/>
              <w:rPr>
                <w:bCs/>
              </w:rPr>
            </w:pPr>
            <w:r>
              <w:t>Tirgus daļa</w:t>
            </w:r>
          </w:p>
          <w:p w14:paraId="7FE1BCB5" w14:textId="77777777" w:rsidR="00952395" w:rsidRDefault="0083775C">
            <w:pPr>
              <w:pStyle w:val="P68B1DB1-TableParagraph13"/>
              <w:spacing w:before="108"/>
              <w:jc w:val="both"/>
            </w:pPr>
            <w:r>
              <w:t xml:space="preserve">Novērtē, cik svarīga ir pārskatu sniedzošās sabiedrības tirgus daļa salīdzinājumā ar valsts vai citu attiecīgo tirgu, kā norādīts veidnē. Šis novērtējums ir kvalitatīvs kā </w:t>
            </w:r>
          </w:p>
          <w:p w14:paraId="7FE1BCB6" w14:textId="3D988DC8" w:rsidR="00952395" w:rsidRDefault="0083775C">
            <w:pPr>
              <w:pStyle w:val="P68B1DB1-ListParagraph38"/>
              <w:numPr>
                <w:ilvl w:val="0"/>
                <w:numId w:val="276"/>
              </w:numPr>
              <w:spacing w:line="276" w:lineRule="auto"/>
              <w:jc w:val="both"/>
            </w:pPr>
            <w:r>
              <w:t>Liela, ja tirgus daļa ir liela</w:t>
            </w:r>
          </w:p>
          <w:p w14:paraId="7FE1BCB7" w14:textId="2084195C" w:rsidR="00952395" w:rsidRDefault="0083775C">
            <w:pPr>
              <w:pStyle w:val="P68B1DB1-ListParagraph38"/>
              <w:numPr>
                <w:ilvl w:val="0"/>
                <w:numId w:val="276"/>
              </w:numPr>
              <w:spacing w:line="276" w:lineRule="auto"/>
              <w:jc w:val="both"/>
            </w:pPr>
            <w:r>
              <w:lastRenderedPageBreak/>
              <w:t>Vidējs, ja tirgus daļa ir vidēja</w:t>
            </w:r>
          </w:p>
          <w:p w14:paraId="7FE1BCB8" w14:textId="06CDA0E3" w:rsidR="00952395" w:rsidRDefault="0083775C">
            <w:pPr>
              <w:pStyle w:val="P68B1DB1-ListParagraph38"/>
              <w:numPr>
                <w:ilvl w:val="0"/>
                <w:numId w:val="276"/>
              </w:numPr>
              <w:spacing w:line="276" w:lineRule="auto"/>
              <w:jc w:val="both"/>
            </w:pPr>
            <w:r>
              <w:t xml:space="preserve">Vidējs-zems, ja tirgus daļa ir maza vai </w:t>
            </w:r>
          </w:p>
          <w:p w14:paraId="7FE1BCB9" w14:textId="19A1DC5D" w:rsidR="00952395" w:rsidRDefault="0083775C">
            <w:pPr>
              <w:pStyle w:val="P68B1DB1-ListParagraph38"/>
              <w:numPr>
                <w:ilvl w:val="0"/>
                <w:numId w:val="276"/>
              </w:numPr>
              <w:spacing w:line="276" w:lineRule="auto"/>
              <w:jc w:val="both"/>
            </w:pPr>
            <w:r>
              <w:t xml:space="preserve">Maza”, ja tirgus daļa ir nenozīmīga. </w:t>
            </w:r>
          </w:p>
          <w:p w14:paraId="7FE1BCBA" w14:textId="77777777" w:rsidR="00952395" w:rsidRDefault="0083775C">
            <w:pPr>
              <w:pStyle w:val="P68B1DB1-TableParagraph13"/>
              <w:spacing w:before="108"/>
              <w:jc w:val="both"/>
            </w:pPr>
            <w:r>
              <w:t xml:space="preserve">Šajā novērtējumā ņem vērā pārskatu sniedzējas sabiedrības valsts (vai cita attiecīgā tirgus) tirgus struktūru un daļēji uzrādītās tirgus daļas. </w:t>
            </w:r>
          </w:p>
          <w:p w14:paraId="7FE1BCBB" w14:textId="77777777" w:rsidR="00952395" w:rsidRDefault="0083775C">
            <w:pPr>
              <w:pStyle w:val="P68B1DB1-TableParagraph13"/>
              <w:spacing w:before="108"/>
              <w:jc w:val="both"/>
            </w:pPr>
            <w:r>
              <w:t>2.Kvantitatīvie dati:</w:t>
            </w:r>
          </w:p>
          <w:p w14:paraId="7FE1BCBC" w14:textId="77777777" w:rsidR="00952395" w:rsidRDefault="0083775C">
            <w:pPr>
              <w:pStyle w:val="P68B1DB1-ListParagraph32"/>
              <w:numPr>
                <w:ilvl w:val="0"/>
                <w:numId w:val="117"/>
              </w:numPr>
              <w:jc w:val="both"/>
              <w:rPr>
                <w:i/>
                <w:iCs/>
              </w:rPr>
            </w:pPr>
            <w:r>
              <w:t xml:space="preserve">Ekspertu slēdziens par </w:t>
            </w:r>
            <w:r>
              <w:rPr>
                <w:b/>
              </w:rPr>
              <w:t xml:space="preserve">valsts </w:t>
            </w:r>
            <w:r>
              <w:t>tirgus daļas lielumu (ziņots 0020.s., izņemot gadījumus, kad ziņojums ir sniegts par citu attiecīgo tirgus līmeni, un tādā gadījumā ir gaidāms attiecīgās tirgus daļas novērtējums).</w:t>
            </w:r>
          </w:p>
          <w:p w14:paraId="7FE1BCBD"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CBE"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952395" w:rsidRDefault="0083775C">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952395" w:rsidRDefault="0083775C">
            <w:pPr>
              <w:pStyle w:val="P68B1DB1-TableParagraph14"/>
              <w:spacing w:before="108"/>
              <w:jc w:val="both"/>
              <w:rPr>
                <w:bCs/>
              </w:rPr>
            </w:pPr>
            <w:r>
              <w:t>Tirgus struktūra — tirgus koncentrācija</w:t>
            </w:r>
          </w:p>
          <w:p w14:paraId="7FE1BCC2" w14:textId="77777777" w:rsidR="00952395" w:rsidRDefault="0083775C">
            <w:pPr>
              <w:pStyle w:val="P68B1DB1-TableParagraph13"/>
              <w:spacing w:before="108"/>
              <w:jc w:val="both"/>
            </w:pPr>
            <w:r>
              <w:t xml:space="preserve">Tirgus koncentrācija, ko mēra pēc pašlaik darbojošos konkurentu skaita </w:t>
            </w:r>
          </w:p>
          <w:p w14:paraId="7FE1BCC3" w14:textId="77777777" w:rsidR="00952395" w:rsidRDefault="0083775C">
            <w:pPr>
              <w:pStyle w:val="P68B1DB1-TableParagraph13"/>
              <w:spacing w:before="108"/>
              <w:jc w:val="both"/>
            </w:pPr>
            <w:r>
              <w:t xml:space="preserve">līdzīgas ekonomiskās funkcijas un/vai līdzīgu pakalpojumu piedāvāšana ar vienādiem noteikumiem (t. i., </w:t>
            </w:r>
          </w:p>
          <w:p w14:paraId="7FE1BCC4" w14:textId="77777777" w:rsidR="00952395" w:rsidRDefault="0083775C">
            <w:pPr>
              <w:pStyle w:val="P68B1DB1-TableParagraph13"/>
              <w:spacing w:before="108"/>
              <w:jc w:val="both"/>
            </w:pPr>
            <w:r>
              <w:t xml:space="preserve">salīdzināms apjoms un kvalitāte un ar salīdzināmām izmaksām), kas, iespējams, pārņem </w:t>
            </w:r>
          </w:p>
          <w:p w14:paraId="7FE1BCC5" w14:textId="77777777" w:rsidR="00952395" w:rsidRDefault="0083775C">
            <w:pPr>
              <w:pStyle w:val="P68B1DB1-TableParagraph13"/>
              <w:spacing w:before="108"/>
              <w:jc w:val="both"/>
            </w:pPr>
            <w:r>
              <w:t xml:space="preserve">pārskatu sniedzēja uzņēmuma klienti un/vai uzņēmējdarbība (vai to daļa) saprātīgā termiņā. </w:t>
            </w:r>
          </w:p>
          <w:p w14:paraId="7FE1BCC6" w14:textId="77777777" w:rsidR="00952395" w:rsidRDefault="0083775C">
            <w:pPr>
              <w:pStyle w:val="P68B1DB1-TableParagraph13"/>
              <w:spacing w:before="108"/>
              <w:jc w:val="both"/>
            </w:pPr>
            <w:r>
              <w:t xml:space="preserve">Tas jāuzrāda kopās, kas ir vienādas katrai apakšfunkcijai. </w:t>
            </w:r>
          </w:p>
          <w:p w14:paraId="6E6D19F8" w14:textId="77777777" w:rsidR="00952395" w:rsidRDefault="0083775C">
            <w:pPr>
              <w:pStyle w:val="P68B1DB1-ListParagraph32"/>
              <w:numPr>
                <w:ilvl w:val="0"/>
                <w:numId w:val="277"/>
              </w:numPr>
              <w:jc w:val="both"/>
            </w:pPr>
            <w:r>
              <w:t xml:space="preserve">&gt; 20 konkurenti; </w:t>
            </w:r>
          </w:p>
          <w:p w14:paraId="6A8A3C5F" w14:textId="77777777" w:rsidR="00952395" w:rsidRDefault="0083775C">
            <w:pPr>
              <w:pStyle w:val="P68B1DB1-ListParagraph32"/>
              <w:numPr>
                <w:ilvl w:val="0"/>
                <w:numId w:val="277"/>
              </w:numPr>
              <w:jc w:val="both"/>
            </w:pPr>
            <w:r>
              <w:t xml:space="preserve">11–20 konkurenti; </w:t>
            </w:r>
          </w:p>
          <w:p w14:paraId="543AFD53" w14:textId="77777777" w:rsidR="00952395" w:rsidRDefault="0083775C">
            <w:pPr>
              <w:pStyle w:val="P68B1DB1-ListParagraph32"/>
              <w:numPr>
                <w:ilvl w:val="0"/>
                <w:numId w:val="277"/>
              </w:numPr>
              <w:jc w:val="both"/>
            </w:pPr>
            <w:r>
              <w:t xml:space="preserve">5–10 konkurenti, </w:t>
            </w:r>
          </w:p>
          <w:p w14:paraId="761539CF" w14:textId="77777777" w:rsidR="00952395" w:rsidRDefault="0083775C">
            <w:pPr>
              <w:pStyle w:val="P68B1DB1-ListParagraph32"/>
              <w:numPr>
                <w:ilvl w:val="0"/>
                <w:numId w:val="277"/>
              </w:numPr>
              <w:jc w:val="both"/>
              <w:rPr>
                <w:b/>
                <w:bCs/>
                <w:color w:val="000000" w:themeColor="text1"/>
              </w:rPr>
            </w:pPr>
            <w:r>
              <w:t>&amp;5 konkurenti</w:t>
            </w:r>
          </w:p>
          <w:p w14:paraId="7FE1BCCA" w14:textId="06EC2320" w:rsidR="00952395" w:rsidRDefault="00952395">
            <w:pPr>
              <w:jc w:val="both"/>
              <w:rPr>
                <w:rFonts w:ascii="Times New Roman" w:hAnsi="Times New Roman"/>
                <w:color w:val="000000" w:themeColor="text1"/>
                <w:sz w:val="20"/>
                <w:szCs w:val="20"/>
              </w:rPr>
            </w:pPr>
          </w:p>
        </w:tc>
      </w:tr>
      <w:tr w:rsidR="00952395"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952395" w:rsidRDefault="0083775C">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952395" w:rsidRDefault="0083775C">
            <w:pPr>
              <w:pStyle w:val="P68B1DB1-TableParagraph14"/>
              <w:spacing w:before="108"/>
              <w:jc w:val="both"/>
              <w:rPr>
                <w:bCs/>
              </w:rPr>
            </w:pPr>
            <w:r>
              <w:t>Laiks — paredzamais aizstāšanas laiks</w:t>
            </w:r>
          </w:p>
          <w:p w14:paraId="7FE1BCCE" w14:textId="77777777" w:rsidR="00952395" w:rsidRDefault="0083775C">
            <w:pPr>
              <w:pStyle w:val="P68B1DB1-TableParagraph13"/>
              <w:spacing w:before="108"/>
              <w:jc w:val="both"/>
            </w:pPr>
            <w:r>
              <w:t>Aplēst laiku, kas nepieciešams ziņojuma sniegtajai ekonomiskajai funkcijai</w:t>
            </w:r>
          </w:p>
          <w:p w14:paraId="7FE1BCCF" w14:textId="77777777" w:rsidR="00952395" w:rsidRDefault="0083775C">
            <w:pPr>
              <w:pStyle w:val="P68B1DB1-TableParagraph13"/>
              <w:spacing w:before="108"/>
              <w:jc w:val="both"/>
            </w:pPr>
            <w:r>
              <w:t xml:space="preserve">vienība, kas krīzes situācijā jāapgūst tirgū. Tas ietver: </w:t>
            </w:r>
          </w:p>
          <w:p w14:paraId="7FE1BCD0" w14:textId="77777777" w:rsidR="00952395" w:rsidRDefault="0083775C">
            <w:pPr>
              <w:pStyle w:val="P68B1DB1-ListParagraph38"/>
              <w:numPr>
                <w:ilvl w:val="0"/>
                <w:numId w:val="274"/>
              </w:numPr>
              <w:jc w:val="both"/>
            </w:pPr>
            <w:r>
              <w:t xml:space="preserve">paredzamais laiks, kas vienam vai vairākiem konkurentiem vajadzīgs, lai veiktu juridiskos un tehniskos pasākumus funkcijas pārņemšanai; kā arī  </w:t>
            </w:r>
          </w:p>
          <w:p w14:paraId="7FE1BCD1" w14:textId="77777777" w:rsidR="00952395" w:rsidRDefault="0083775C">
            <w:pPr>
              <w:pStyle w:val="P68B1DB1-ListParagraph38"/>
              <w:numPr>
                <w:ilvl w:val="0"/>
                <w:numId w:val="274"/>
              </w:numPr>
              <w:jc w:val="both"/>
            </w:pPr>
            <w:r>
              <w:t xml:space="preserve">laiks, kas pakalpojuma lietotājiem vajadzīgs, lai pārceltos pie cita pakalpojumu sniedzēja. </w:t>
            </w:r>
          </w:p>
          <w:p w14:paraId="7FE1BCD2"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CD3" w14:textId="77777777" w:rsidR="00952395" w:rsidRDefault="0083775C">
            <w:pPr>
              <w:pStyle w:val="P68B1DB1-TableParagraph13"/>
              <w:spacing w:before="108"/>
              <w:jc w:val="both"/>
            </w:pPr>
            <w:r>
              <w:t>Kā aizstājēju pirmajam sniegt aplēsi par laiku, kas pārskata sniedzējai vienībai būtu vajadzīgs, lai savā uzņēmējdarbībā (daļēji) pārņemtu citas iestādes sniegtos pakalpojumus par saprātīgām izmaksām krīzes situācijā. Uzrāda aplēsto aizstāšanas laiku veidnē norādītajos intervālos:</w:t>
            </w:r>
          </w:p>
          <w:p w14:paraId="7FE1BCD4" w14:textId="77777777" w:rsidR="00952395" w:rsidRDefault="0083775C">
            <w:pPr>
              <w:pStyle w:val="P68B1DB1-Normal31"/>
              <w:jc w:val="both"/>
            </w:pPr>
            <w:r>
              <w:t xml:space="preserve">Intervāli: </w:t>
            </w:r>
          </w:p>
          <w:p w14:paraId="7FE1BCD5" w14:textId="275C74C6" w:rsidR="00952395" w:rsidRDefault="0083775C">
            <w:pPr>
              <w:pStyle w:val="P68B1DB1-ListParagraph32"/>
              <w:numPr>
                <w:ilvl w:val="0"/>
                <w:numId w:val="286"/>
              </w:numPr>
              <w:jc w:val="both"/>
            </w:pPr>
            <w:r>
              <w:t xml:space="preserve">&amp; 1 nedēļa; </w:t>
            </w:r>
          </w:p>
          <w:p w14:paraId="7FE1BCD6" w14:textId="712CDEEF" w:rsidR="00952395" w:rsidRDefault="0083775C">
            <w:pPr>
              <w:pStyle w:val="P68B1DB1-ListParagraph32"/>
              <w:numPr>
                <w:ilvl w:val="0"/>
                <w:numId w:val="286"/>
              </w:numPr>
              <w:jc w:val="both"/>
            </w:pPr>
            <w:r>
              <w:t xml:space="preserve">1 nedēļa-1 mēnesis; </w:t>
            </w:r>
          </w:p>
          <w:p w14:paraId="7FE1BCD7" w14:textId="5ECCCD1B" w:rsidR="00952395" w:rsidRDefault="0083775C">
            <w:pPr>
              <w:pStyle w:val="P68B1DB1-ListParagraph32"/>
              <w:numPr>
                <w:ilvl w:val="0"/>
                <w:numId w:val="286"/>
              </w:numPr>
              <w:jc w:val="both"/>
            </w:pPr>
            <w:r>
              <w:t xml:space="preserve">&gt; 1 mēneša-6 mēnešiem </w:t>
            </w:r>
          </w:p>
          <w:p w14:paraId="7FE1BCD8" w14:textId="66817B18" w:rsidR="00952395" w:rsidRDefault="0083775C">
            <w:pPr>
              <w:pStyle w:val="P68B1DB1-ListParagraph32"/>
              <w:numPr>
                <w:ilvl w:val="0"/>
                <w:numId w:val="286"/>
              </w:numPr>
              <w:jc w:val="both"/>
            </w:pPr>
            <w:r>
              <w:t xml:space="preserve">&gt; 6 mēnešiem  </w:t>
            </w:r>
          </w:p>
          <w:p w14:paraId="7FE1BCD9"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952395" w:rsidRDefault="0083775C">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952395" w:rsidRDefault="0083775C">
            <w:pPr>
              <w:pStyle w:val="P68B1DB1-TableParagraph14"/>
              <w:spacing w:before="108"/>
              <w:jc w:val="both"/>
              <w:rPr>
                <w:bCs/>
              </w:rPr>
            </w:pPr>
            <w:r>
              <w:t>Aizvietošanas spēja</w:t>
            </w:r>
          </w:p>
        </w:tc>
      </w:tr>
      <w:tr w:rsidR="00952395"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952395" w:rsidRDefault="0083775C">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952395" w:rsidRDefault="0083775C">
            <w:pPr>
              <w:pStyle w:val="P68B1DB1-TableParagraph14"/>
              <w:spacing w:before="108"/>
              <w:jc w:val="both"/>
              <w:rPr>
                <w:bCs/>
              </w:rPr>
            </w:pPr>
            <w:r>
              <w:t>Juridiskie šķēršļi ienākšanai tirgū vai paplašināšanai</w:t>
            </w:r>
          </w:p>
          <w:p w14:paraId="7FE1BCE0"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CE1" w14:textId="77777777" w:rsidR="00952395" w:rsidRDefault="0083775C">
            <w:pPr>
              <w:pStyle w:val="P68B1DB1-TableParagraph13"/>
              <w:spacing w:before="108"/>
              <w:jc w:val="both"/>
            </w:pPr>
            <w:r>
              <w:t xml:space="preserve">Juridiski šķēršļi, kas liedz konkurentiem piedāvāt pakalpojumu. Juridiskās prasības kredītiestāžu darbības veikšanai (piemēram, banku licences vai kapitāla prasības) nav uzskatāmas par </w:t>
            </w:r>
            <w:r>
              <w:lastRenderedPageBreak/>
              <w:t xml:space="preserve">nepārvaramiem šķēršļiem alternatīvu pakalpojumu sniedzēju klātbūtnē. Šis rādītājs jāuzrāda kopās, kas ir vienādas katrai apakšfunkcijai: </w:t>
            </w:r>
          </w:p>
          <w:p w14:paraId="7FE1BCE2" w14:textId="67FD7AF2" w:rsidR="00952395" w:rsidRDefault="0083775C">
            <w:pPr>
              <w:pStyle w:val="P68B1DB1-ListParagraph39"/>
              <w:numPr>
                <w:ilvl w:val="0"/>
                <w:numId w:val="275"/>
              </w:numPr>
              <w:jc w:val="both"/>
            </w:pPr>
            <w:r>
              <w:t xml:space="preserve">nav būtisku šķēršļu, </w:t>
            </w:r>
          </w:p>
          <w:p w14:paraId="7FE1BCE3" w14:textId="6C8F8F76" w:rsidR="00952395" w:rsidRDefault="0083775C">
            <w:pPr>
              <w:pStyle w:val="P68B1DB1-ListParagraph39"/>
              <w:numPr>
                <w:ilvl w:val="0"/>
                <w:numId w:val="275"/>
              </w:numPr>
              <w:jc w:val="both"/>
            </w:pPr>
            <w:r>
              <w:t xml:space="preserve">daži šķēršļi, </w:t>
            </w:r>
          </w:p>
          <w:p w14:paraId="7FE1BCE4" w14:textId="389397E1" w:rsidR="00952395" w:rsidRDefault="0083775C">
            <w:pPr>
              <w:pStyle w:val="P68B1DB1-ListParagraph39"/>
              <w:numPr>
                <w:ilvl w:val="0"/>
                <w:numId w:val="275"/>
              </w:numPr>
              <w:jc w:val="both"/>
            </w:pPr>
            <w:r>
              <w:t xml:space="preserve">būtiski (bet nepārvarami) šķēršļi, </w:t>
            </w:r>
          </w:p>
          <w:p w14:paraId="7FE1BCE6" w14:textId="5882E7D2" w:rsidR="00952395" w:rsidRDefault="0083775C">
            <w:pPr>
              <w:pStyle w:val="P68B1DB1-ListParagraph8"/>
              <w:numPr>
                <w:ilvl w:val="0"/>
                <w:numId w:val="275"/>
              </w:numPr>
              <w:jc w:val="both"/>
            </w:pPr>
            <w:r>
              <w:t>kritiski (sarežģīti pārvarami) šķēršļi.</w:t>
            </w:r>
          </w:p>
        </w:tc>
      </w:tr>
      <w:tr w:rsidR="00952395"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952395" w:rsidRDefault="0083775C">
            <w:pPr>
              <w:pStyle w:val="P68B1DB1-TableParagraph17"/>
              <w:spacing w:before="108"/>
              <w:ind w:left="85"/>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952395" w:rsidRDefault="0083775C">
            <w:pPr>
              <w:pStyle w:val="P68B1DB1-TableParagraph14"/>
              <w:spacing w:before="108"/>
              <w:jc w:val="both"/>
              <w:rPr>
                <w:bCs/>
              </w:rPr>
            </w:pPr>
            <w:r>
              <w:t>Ekspluatācijas prasības ieiešanai tirgū vai paplašināšanai</w:t>
            </w:r>
          </w:p>
          <w:p w14:paraId="7FE1BCEA" w14:textId="77777777" w:rsidR="00952395" w:rsidRDefault="00952395">
            <w:pPr>
              <w:pStyle w:val="TableParagraph"/>
              <w:spacing w:before="108"/>
              <w:jc w:val="both"/>
              <w:rPr>
                <w:rFonts w:ascii="Times New Roman" w:hAnsi="Times New Roman" w:cs="Times New Roman"/>
                <w:color w:val="000000" w:themeColor="text1"/>
                <w:sz w:val="20"/>
                <w:szCs w:val="20"/>
              </w:rPr>
            </w:pPr>
          </w:p>
          <w:p w14:paraId="7FE1BCEB" w14:textId="31044453" w:rsidR="00952395" w:rsidRDefault="0083775C">
            <w:pPr>
              <w:pStyle w:val="P68B1DB1-TableParagraph13"/>
              <w:spacing w:before="108"/>
              <w:jc w:val="both"/>
            </w:pPr>
            <w:r>
              <w:t xml:space="preserve">Organizatoriskās, tehniskās un infrastruktūras prasības konkurentiem, lai piedāvātu pakalpojumu. Lai piedāvātu pakalpojumus, kas saistīti ar (apakš)funkciju, pakalpojumu sniedzējiem ir jāiegulda (jaunā vai papildu) infrastruktūrā vai jāmaina savas organizācijas. Novērtēt tirgus spēju absorbēt konkrēto uzņēmējdarbību, piemēram, kapitāla prasību ziņā. </w:t>
            </w:r>
          </w:p>
          <w:p w14:paraId="7FE1BCEC" w14:textId="77777777" w:rsidR="00952395" w:rsidRDefault="0083775C">
            <w:pPr>
              <w:pStyle w:val="P68B1DB1-TableParagraph13"/>
              <w:spacing w:before="108"/>
              <w:jc w:val="both"/>
            </w:pPr>
            <w:r>
              <w:t xml:space="preserve">Šis rādītājs jāuzrāda kopās, kas ir vienādas katrai apakšfunkcijai: </w:t>
            </w:r>
          </w:p>
          <w:p w14:paraId="7FE1BCED" w14:textId="5283E021" w:rsidR="00952395" w:rsidRDefault="0083775C">
            <w:pPr>
              <w:pStyle w:val="P68B1DB1-ListParagraph39"/>
              <w:numPr>
                <w:ilvl w:val="0"/>
                <w:numId w:val="278"/>
              </w:numPr>
              <w:jc w:val="both"/>
            </w:pPr>
            <w:r>
              <w:t xml:space="preserve">nav būtisku prasību, </w:t>
            </w:r>
          </w:p>
          <w:p w14:paraId="7FE1BCEE" w14:textId="5ADAB5CD" w:rsidR="00952395" w:rsidRDefault="0083775C">
            <w:pPr>
              <w:pStyle w:val="P68B1DB1-ListParagraph39"/>
              <w:numPr>
                <w:ilvl w:val="0"/>
                <w:numId w:val="278"/>
              </w:numPr>
              <w:jc w:val="both"/>
            </w:pPr>
            <w:r>
              <w:t xml:space="preserve">dažas prasības, </w:t>
            </w:r>
          </w:p>
          <w:p w14:paraId="7FE1BCEF" w14:textId="579CC165" w:rsidR="00952395" w:rsidRDefault="0083775C">
            <w:pPr>
              <w:pStyle w:val="P68B1DB1-ListParagraph39"/>
              <w:numPr>
                <w:ilvl w:val="0"/>
                <w:numId w:val="278"/>
              </w:numPr>
              <w:jc w:val="both"/>
            </w:pPr>
            <w:r>
              <w:t xml:space="preserve">būtiskas (bet nepārvaramas) prasības, </w:t>
            </w:r>
          </w:p>
          <w:p w14:paraId="7FE1BCF0" w14:textId="5F9F9690" w:rsidR="00952395" w:rsidRDefault="0083775C">
            <w:pPr>
              <w:pStyle w:val="P68B1DB1-ListParagraph39"/>
              <w:numPr>
                <w:ilvl w:val="0"/>
                <w:numId w:val="278"/>
              </w:numPr>
              <w:jc w:val="both"/>
            </w:pPr>
            <w:r>
              <w:t>kritiskas (sarežģītas) prasības.</w:t>
            </w:r>
          </w:p>
          <w:p w14:paraId="7FE1BCF1" w14:textId="77777777" w:rsidR="00952395" w:rsidRDefault="00952395">
            <w:pPr>
              <w:pStyle w:val="TableParagraph"/>
              <w:spacing w:before="108"/>
              <w:jc w:val="both"/>
              <w:rPr>
                <w:rFonts w:ascii="Times New Roman" w:hAnsi="Times New Roman" w:cs="Times New Roman"/>
                <w:color w:val="000000" w:themeColor="text1"/>
                <w:sz w:val="20"/>
                <w:szCs w:val="20"/>
              </w:rPr>
            </w:pPr>
          </w:p>
        </w:tc>
      </w:tr>
      <w:tr w:rsidR="00952395"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952395" w:rsidRDefault="0083775C">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952395" w:rsidRDefault="0083775C">
            <w:pPr>
              <w:pStyle w:val="P68B1DB1-TableParagraph14"/>
              <w:spacing w:before="108"/>
              <w:jc w:val="both"/>
              <w:rPr>
                <w:bCs/>
              </w:rPr>
            </w:pPr>
            <w:r>
              <w:t>Kritiskā svarīguma novērtējums</w:t>
            </w:r>
          </w:p>
        </w:tc>
      </w:tr>
      <w:tr w:rsidR="00952395"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952395" w:rsidRDefault="0083775C">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952395" w:rsidRDefault="0083775C">
            <w:pPr>
              <w:pStyle w:val="P68B1DB1-TableParagraph14"/>
              <w:spacing w:before="108"/>
              <w:jc w:val="both"/>
              <w:rPr>
                <w:bCs/>
              </w:rPr>
            </w:pPr>
            <w:r>
              <w:t xml:space="preserve">Ietekme uz tirgu </w:t>
            </w:r>
          </w:p>
          <w:p w14:paraId="7FE1BCF8" w14:textId="77777777" w:rsidR="00952395" w:rsidRDefault="0083775C">
            <w:pPr>
              <w:pStyle w:val="P68B1DB1-TableParagraph13"/>
              <w:spacing w:before="108"/>
              <w:jc w:val="both"/>
            </w:pPr>
            <w:r>
              <w:t>Aplēstā ietekme, ko funkcijas pēkšņa pārtraukšana radītu uz trešajām personām, finanšu tirgiem un reālo ekonomiku, ņemot vērā apmēru, tirgus daļu valstī, ārējās un iekšējās savstarpējās saiknes, sarežģītību un iestādes pārrobežu darbības.</w:t>
            </w:r>
          </w:p>
          <w:p w14:paraId="7FE1BCF9" w14:textId="22534111" w:rsidR="00952395" w:rsidRDefault="0083775C">
            <w:pPr>
              <w:pStyle w:val="P68B1DB1-TableParagraph13"/>
              <w:spacing w:before="108"/>
              <w:jc w:val="both"/>
            </w:pPr>
            <w:r>
              <w:t>Šo novērtējumu kvalitatīvi izsaka kā “augstu”, “vidēji augstu”, “vidēji zemu” vai “zemu”.</w:t>
            </w:r>
          </w:p>
          <w:p w14:paraId="7FE1BCFA" w14:textId="60C791C3" w:rsidR="00952395" w:rsidRDefault="0083775C">
            <w:pPr>
              <w:pStyle w:val="P68B1DB1-TableParagraph13"/>
              <w:spacing w:before="108"/>
              <w:jc w:val="both"/>
            </w:pPr>
            <w:r>
              <w:t>“Augsta” norāda tad, ja pārtraukšanai ir būtiska ietekme uz valsts tirgu; “VA” — ja ietekme ir ievērojama; “VZ” — ja ietekme ir vērā ņemama, taču ierobežota; un “Zems” — ja ietekme ir zema.</w:t>
            </w:r>
          </w:p>
        </w:tc>
      </w:tr>
      <w:tr w:rsidR="00952395"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952395" w:rsidRDefault="0083775C">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952395" w:rsidRDefault="0083775C">
            <w:pPr>
              <w:pStyle w:val="P68B1DB1-TableParagraph14"/>
              <w:spacing w:before="108"/>
              <w:jc w:val="both"/>
              <w:rPr>
                <w:bCs/>
              </w:rPr>
            </w:pPr>
            <w:r>
              <w:t>Aizstājamība</w:t>
            </w:r>
          </w:p>
          <w:p w14:paraId="7FE1BCFE" w14:textId="77777777" w:rsidR="00952395" w:rsidRDefault="0083775C">
            <w:pPr>
              <w:pStyle w:val="P68B1DB1-TableParagraph13"/>
              <w:spacing w:before="108"/>
              <w:jc w:val="both"/>
            </w:pPr>
            <w:r>
              <w:t>Deleģētās regulas (ES) 2016/778 6. panta 3. punkts.</w:t>
            </w:r>
          </w:p>
          <w:p w14:paraId="7FE1BCFF" w14:textId="77777777" w:rsidR="00952395" w:rsidRDefault="0083775C">
            <w:pPr>
              <w:pStyle w:val="P68B1DB1-TableParagraph13"/>
              <w:spacing w:before="108"/>
              <w:jc w:val="both"/>
            </w:pPr>
            <w:r>
              <w:t>Funkciju uzskata par aizstājamu, ja to var aizstāt pieņemamā veidā un samērīgā laika posmā, tādējādi novēršot sistēmiskas problēmas reālajā ekonomikā un finanšu tirgos. Ņem vērā:</w:t>
            </w:r>
          </w:p>
          <w:p w14:paraId="7FE1BD00" w14:textId="77777777" w:rsidR="00952395" w:rsidRDefault="0083775C">
            <w:pPr>
              <w:pStyle w:val="P68B1DB1-TableParagraph13"/>
              <w:spacing w:before="108"/>
              <w:jc w:val="both"/>
            </w:pPr>
            <w:r>
              <w:t xml:space="preserve">(a) tirgus struktūra attiecīgajai funkcijai un aizstājējfunkcijas nodrošinātāju pieejamība; </w:t>
            </w:r>
          </w:p>
          <w:p w14:paraId="7FE1BD01" w14:textId="77777777" w:rsidR="00952395" w:rsidRDefault="0083775C">
            <w:pPr>
              <w:pStyle w:val="P68B1DB1-TableParagraph13"/>
              <w:spacing w:before="108"/>
              <w:jc w:val="both"/>
            </w:pPr>
            <w:r>
              <w:t xml:space="preserve">(b) citu pakalpojumu sniedzēju spējas attiecībā uz kapacitāti, funkcijas veikšanas prasības un iespējamos tirgū ienākšanas vai paplašināšanās šķēršļus; </w:t>
            </w:r>
          </w:p>
          <w:p w14:paraId="7FE1BD02" w14:textId="77777777" w:rsidR="00952395" w:rsidRDefault="0083775C">
            <w:pPr>
              <w:pStyle w:val="P68B1DB1-TableParagraph13"/>
              <w:spacing w:before="108"/>
              <w:jc w:val="both"/>
            </w:pPr>
            <w:r>
              <w:t xml:space="preserve">(c) citu pakalpojumu sniedzēju stimulu uzņemties šādu darbību veikšanu; </w:t>
            </w:r>
          </w:p>
          <w:p w14:paraId="7FE1BD03" w14:textId="77777777" w:rsidR="00952395" w:rsidRDefault="0083775C">
            <w:pPr>
              <w:pStyle w:val="P68B1DB1-TableParagraph13"/>
              <w:spacing w:before="108"/>
              <w:jc w:val="both"/>
            </w:pPr>
            <w:r>
              <w:t>(d) laiku, kas pakalpojuma lietotājiem nepieciešams, lai pārietu pie jaunā pakalpojumu sniedzēja, un šādas darbības izmaksas, laiku, kas citiem konkurentiem nepieciešams, lai pārņemtu konkrētās funkcijas, un tas, vai ir pietiekami daudz laika, lai novērstu būtisku darbības pārtraukšanu atkarībā no pakalpojuma veida.</w:t>
            </w:r>
          </w:p>
          <w:p w14:paraId="7FE1BD04" w14:textId="379B1AA4" w:rsidR="00952395" w:rsidRDefault="0083775C">
            <w:pPr>
              <w:pStyle w:val="P68B1DB1-TableParagraph13"/>
              <w:spacing w:before="108"/>
              <w:jc w:val="both"/>
            </w:pPr>
            <w:r>
              <w:t xml:space="preserve">Sniedz vispārēju novērtējumu par katras funkcijas paredzamo aizstājamības pakāpi, ņemot vērā iepriekš novērtētās dažādās dimensijas (tirgus daļu, tirgus koncentrāciju, aizstāšanas laiku, juridiskos šķēršļus un darbības prasības ienākšanai tirgū vai paplašināšanai). Šo novērtējumu kvalitatīvi izsaka kā “augstu”, “vidēji augstu”, “vidēji zemu” vai “zemu”. </w:t>
            </w:r>
          </w:p>
          <w:p w14:paraId="7FE1BD05" w14:textId="3E0B0177" w:rsidR="00952395" w:rsidRDefault="0083775C">
            <w:pPr>
              <w:pStyle w:val="P68B1DB1-TableParagraph13"/>
              <w:spacing w:before="108"/>
              <w:jc w:val="both"/>
            </w:pPr>
            <w:r>
              <w:t>“A” norāda, ja cita banka var viegli nodrošināt funkciju ar salīdzināmiem nosacījumiem un samērīgā laika posmā;</w:t>
            </w:r>
          </w:p>
          <w:p w14:paraId="7FE1BD06" w14:textId="5459DD51" w:rsidR="00952395" w:rsidRDefault="0083775C">
            <w:pPr>
              <w:pStyle w:val="P68B1DB1-TableParagraph13"/>
              <w:spacing w:before="108"/>
              <w:jc w:val="both"/>
            </w:pPr>
            <w:r>
              <w:t xml:space="preserve">“Z” — ja funkciju nevar vienkārši vai ātri aizstāt; </w:t>
            </w:r>
          </w:p>
          <w:p w14:paraId="7FE1BD07" w14:textId="113A35A6" w:rsidR="00952395" w:rsidRDefault="0083775C">
            <w:pPr>
              <w:pStyle w:val="P68B1DB1-TableParagraph13"/>
              <w:spacing w:before="108"/>
              <w:jc w:val="both"/>
            </w:pPr>
            <w:r>
              <w:lastRenderedPageBreak/>
              <w:t>“VA” un “VZ” — pārējos gadījumos, ņemot vērā dažādus aspektus (piem., tirgus daļu, tirgus koncentrāciju, laiku aizstāšanai, kā arī juridiskos šķēršļus un darbības prasības ienākšanai vai izvēršanai).</w:t>
            </w:r>
          </w:p>
        </w:tc>
      </w:tr>
      <w:tr w:rsidR="00952395"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952395" w:rsidRDefault="0083775C">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952395" w:rsidRDefault="0083775C">
            <w:pPr>
              <w:pStyle w:val="P68B1DB1-TableParagraph14"/>
              <w:spacing w:before="108"/>
              <w:jc w:val="both"/>
              <w:rPr>
                <w:bCs/>
              </w:rPr>
            </w:pPr>
            <w:r>
              <w:t>Kritiski svarīga funkcija</w:t>
            </w:r>
          </w:p>
          <w:p w14:paraId="7FE1BD0B" w14:textId="77777777" w:rsidR="00952395" w:rsidRDefault="0083775C">
            <w:pPr>
              <w:pStyle w:val="P68B1DB1-TableParagraph13"/>
              <w:spacing w:before="108"/>
              <w:jc w:val="both"/>
            </w:pPr>
            <w:r>
              <w:t>Šajā slejā norāda, vai, ņemot vērā ietekmes un aizvietošanas analīzi, ko veicis iestāde, ekonomiskā funkcija tiek uzskatīta par kritiski svarīgu attiecīgās valsts tirgū.</w:t>
            </w:r>
          </w:p>
          <w:p w14:paraId="7FE1BD0C" w14:textId="77777777" w:rsidR="00952395" w:rsidRDefault="0083775C">
            <w:pPr>
              <w:pStyle w:val="P68B1DB1-TableParagraph13"/>
              <w:spacing w:before="108"/>
              <w:jc w:val="both"/>
            </w:pPr>
            <w:r>
              <w:t>Norādīt “Jā” vai “Nē”.</w:t>
            </w:r>
          </w:p>
        </w:tc>
      </w:tr>
      <w:tr w:rsidR="00952395"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952395" w:rsidRDefault="0083775C">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952395" w:rsidRDefault="0083775C">
            <w:pPr>
              <w:pStyle w:val="P68B1DB1-TableParagraph14"/>
              <w:spacing w:before="108"/>
              <w:jc w:val="both"/>
              <w:rPr>
                <w:bCs/>
              </w:rPr>
            </w:pPr>
            <w:r>
              <w:t>Grupas komentāri</w:t>
            </w:r>
          </w:p>
          <w:p w14:paraId="7FE1BD10" w14:textId="77777777" w:rsidR="00952395" w:rsidRDefault="0083775C">
            <w:pPr>
              <w:pStyle w:val="P68B1DB1-TableParagraph13"/>
              <w:spacing w:before="108"/>
              <w:jc w:val="both"/>
            </w:pPr>
            <w:r>
              <w:t>Šis lauks ļauj pārskatu sniedzošajai vienībai paskaidrot visus pieņēmumus, kas izmantoti, lai novērtētu paziņotās(-o) funkcijas(-u) kritiskumu.</w:t>
            </w:r>
          </w:p>
        </w:tc>
      </w:tr>
    </w:tbl>
    <w:p w14:paraId="7FE1BD12" w14:textId="77777777" w:rsidR="00952395" w:rsidRDefault="00952395">
      <w:pPr>
        <w:rPr>
          <w:rFonts w:ascii="Times New Roman" w:hAnsi="Times New Roman" w:cs="Times New Roman"/>
          <w:color w:val="000000" w:themeColor="text1"/>
          <w:sz w:val="20"/>
          <w:szCs w:val="20"/>
        </w:rPr>
      </w:pPr>
    </w:p>
    <w:p w14:paraId="7FE1BD13" w14:textId="77777777" w:rsidR="00952395" w:rsidRDefault="00952395">
      <w:pPr>
        <w:rPr>
          <w:rFonts w:ascii="Times New Roman" w:hAnsi="Times New Roman" w:cs="Times New Roman"/>
          <w:color w:val="000000" w:themeColor="text1"/>
          <w:sz w:val="20"/>
          <w:szCs w:val="20"/>
        </w:rPr>
      </w:pPr>
    </w:p>
    <w:p w14:paraId="7FE1BD14" w14:textId="168C612B" w:rsidR="00952395" w:rsidRDefault="0083775C">
      <w:pPr>
        <w:pStyle w:val="P68B1DB1-Instructionsberschrift25"/>
      </w:pPr>
      <w:bookmarkStart w:id="121" w:name="_Toc208244959"/>
      <w:r>
        <w:t>II.13.</w:t>
      </w:r>
      <w:r>
        <w:tab/>
        <w:t>Z 07.01.5 FUNC 1 WF</w:t>
      </w:r>
      <w:bookmarkEnd w:id="121"/>
    </w:p>
    <w:p w14:paraId="7FE1BD1C" w14:textId="77777777" w:rsidR="00952395" w:rsidRDefault="0095239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52395"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952395" w:rsidRDefault="0083775C">
            <w:pPr>
              <w:pStyle w:val="P68B1DB1-TableParagraph17"/>
              <w:spacing w:before="108"/>
              <w:ind w:left="85"/>
              <w:jc w:val="both"/>
            </w:pPr>
            <w:r>
              <w:t>Slejas</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952395" w:rsidRDefault="0083775C">
            <w:pPr>
              <w:pStyle w:val="P68B1DB1-TableParagraph17"/>
              <w:spacing w:before="108"/>
              <w:ind w:left="85" w:right="1"/>
              <w:jc w:val="both"/>
            </w:pPr>
            <w:r>
              <w:t>Norādījumi</w:t>
            </w:r>
          </w:p>
        </w:tc>
      </w:tr>
      <w:tr w:rsidR="00952395"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952395" w:rsidRDefault="0083775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952395" w:rsidRDefault="0083775C">
            <w:pPr>
              <w:pStyle w:val="P68B1DB1-TableParagraph14"/>
              <w:spacing w:before="108"/>
              <w:ind w:left="85"/>
              <w:jc w:val="both"/>
              <w:rPr>
                <w:bCs/>
              </w:rPr>
            </w:pPr>
            <w:r>
              <w:t>Ekonomiskās funkcijas apraksts</w:t>
            </w:r>
          </w:p>
          <w:p w14:paraId="7FE1BD22" w14:textId="3E7FC747" w:rsidR="00952395" w:rsidRDefault="0083775C">
            <w:pPr>
              <w:pStyle w:val="P68B1DB1-TableParagraph17"/>
              <w:spacing w:before="108"/>
              <w:ind w:left="85"/>
            </w:pPr>
            <w:r>
              <w:t xml:space="preserve">Ja saimnieciskā funkcija ir “Cita” (Z 07.01.5 FUNC 1 WF r0360 līdz r0380), sniedz šīs funkcijas aprakstu. </w:t>
            </w:r>
          </w:p>
        </w:tc>
      </w:tr>
      <w:tr w:rsidR="00952395"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952395" w:rsidRDefault="0083775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952395" w:rsidRDefault="0083775C">
            <w:pPr>
              <w:pStyle w:val="P68B1DB1-TableParagraph14"/>
              <w:spacing w:before="108"/>
              <w:ind w:left="85"/>
              <w:jc w:val="both"/>
              <w:rPr>
                <w:bCs/>
              </w:rPr>
            </w:pPr>
            <w:r>
              <w:t xml:space="preserve">Tirgus daļa </w:t>
            </w:r>
          </w:p>
          <w:p w14:paraId="7FE1BD26" w14:textId="470CCD5A" w:rsidR="00952395" w:rsidRDefault="0083775C">
            <w:pPr>
              <w:pStyle w:val="P68B1DB1-TableParagraph17"/>
              <w:spacing w:before="108"/>
              <w:ind w:left="85"/>
            </w:pPr>
            <w:r>
              <w:t>Iestādes vai grupas aplēstā tirgus daļa ekonomiskajai funkcijai attiecīgajā valstī vai ģeogrāfiskajā reģionā. Kā procentuālā daļa no kopējā tirgus bruto noliktavas summas izteiksmē.</w:t>
            </w:r>
          </w:p>
        </w:tc>
      </w:tr>
      <w:tr w:rsidR="00952395"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952395" w:rsidRDefault="0083775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952395" w:rsidRDefault="0083775C">
            <w:pPr>
              <w:pStyle w:val="P68B1DB1-Normal42"/>
              <w:rPr>
                <w:bCs/>
              </w:rPr>
            </w:pPr>
            <w:r>
              <w:t>Bruto uzskaites vērtība</w:t>
            </w:r>
          </w:p>
          <w:p w14:paraId="7FE1BD2A" w14:textId="77777777" w:rsidR="00952395" w:rsidRDefault="0083775C">
            <w:pPr>
              <w:pStyle w:val="P68B1DB1-TableParagraph17"/>
              <w:spacing w:before="108"/>
            </w:pPr>
            <w:r>
              <w:t xml:space="preserve">Izmanto bruto uzskaites vērtību, kā noteikts FINREP. </w:t>
            </w:r>
          </w:p>
          <w:p w14:paraId="7FE1BD2B" w14:textId="77777777" w:rsidR="00952395" w:rsidRDefault="0083775C">
            <w:pPr>
              <w:pStyle w:val="P68B1DB1-TableParagraph17"/>
              <w:spacing w:before="108"/>
            </w:pPr>
            <w:r>
              <w:t xml:space="preserve">Atsauces FINREP: V pielikuma 1. daļas 34. punkts, FINREP: III, IV pielikums, veidnes: </w:t>
            </w:r>
          </w:p>
          <w:p w14:paraId="7FE1BD2C" w14:textId="77777777" w:rsidR="00952395" w:rsidRDefault="0083775C">
            <w:pPr>
              <w:pStyle w:val="P68B1DB1-TableParagraph17"/>
              <w:spacing w:before="108"/>
            </w:pPr>
            <w:r>
              <w:t>— Aizņēmumi (5.1.): Veidne F 20.06, 010. seleja, 100.+ 110. rinda, visas valstis;</w:t>
            </w:r>
          </w:p>
          <w:p w14:paraId="7FE1BD2D" w14:textId="77777777" w:rsidR="00952395" w:rsidRDefault="0083775C">
            <w:pPr>
              <w:pStyle w:val="P68B1DB1-TableParagraph17"/>
              <w:spacing w:before="108"/>
            </w:pPr>
            <w:r>
              <w:t>— Atvasinātie instrumenti (aktīvi) (5.2.): Veidne F 20.04, 010. sleja, 010. rinda, visas valstis;</w:t>
            </w:r>
          </w:p>
          <w:p w14:paraId="7FE1BD2E" w14:textId="77777777" w:rsidR="00952395" w:rsidRDefault="0083775C">
            <w:pPr>
              <w:pStyle w:val="P68B1DB1-TableParagraph17"/>
              <w:spacing w:before="108"/>
            </w:pPr>
            <w:r>
              <w:t xml:space="preserve">— Aizdevumi (5.3.): Veidne F 20.04, 010. sleja, 170.+ 180. rinda, visas valstis; </w:t>
            </w:r>
          </w:p>
          <w:p w14:paraId="7FE1BD30" w14:textId="58CF223C" w:rsidR="00952395" w:rsidRDefault="0083775C">
            <w:pPr>
              <w:pStyle w:val="P68B1DB1-TableParagraph17"/>
              <w:spacing w:before="108"/>
            </w:pPr>
            <w:r>
              <w:t>— Atvasinātie instrumenti (saistības) (5.4.): Veidne F 20.06, 010. sleja, 010. rinda, visas valstis.</w:t>
            </w:r>
          </w:p>
        </w:tc>
      </w:tr>
      <w:tr w:rsidR="00952395"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952395" w:rsidRDefault="0083775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952395" w:rsidRDefault="0083775C">
            <w:pPr>
              <w:pStyle w:val="P68B1DB1-Normal42"/>
              <w:rPr>
                <w:bCs/>
              </w:rPr>
            </w:pPr>
            <w:r>
              <w:t>Darījumu partneru skaits</w:t>
            </w:r>
          </w:p>
          <w:p w14:paraId="7FE1BD34" w14:textId="77777777" w:rsidR="00952395" w:rsidRDefault="0083775C">
            <w:pPr>
              <w:pStyle w:val="P68B1DB1-TableParagraph17"/>
              <w:spacing w:before="108"/>
            </w:pPr>
            <w:r>
              <w:t>Kopējais darījumu partneru skaits. Ja vienam darījumu partnerim ir vairāki konti un/vai vairāki darījumi, darījumu partneri skaita tikai vienreiz.</w:t>
            </w:r>
          </w:p>
        </w:tc>
      </w:tr>
      <w:tr w:rsidR="00952395"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952395" w:rsidRDefault="0083775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952395" w:rsidRDefault="0083775C">
            <w:pPr>
              <w:pStyle w:val="P68B1DB1-TableParagraph14"/>
              <w:spacing w:before="108"/>
              <w:jc w:val="both"/>
              <w:rPr>
                <w:bCs/>
              </w:rPr>
            </w:pPr>
            <w:r>
              <w:t>Līgumi par aktīvu pārdošanu ar atpārdošanu (reverss)</w:t>
            </w:r>
          </w:p>
          <w:p w14:paraId="7FE1BD38" w14:textId="77777777" w:rsidR="00952395" w:rsidRDefault="0083775C">
            <w:pPr>
              <w:pStyle w:val="P68B1DB1-TableParagraph13"/>
              <w:spacing w:before="108"/>
              <w:jc w:val="both"/>
            </w:pPr>
            <w:r>
              <w:t>Ziņojiet par pārdošanas ar atpirkšanu līgumiem saskaņā ar vairumtirdzniecības aizņēmumiem. Atpirkšanu</w:t>
            </w:r>
          </w:p>
          <w:p w14:paraId="7FE1BD39" w14:textId="77777777" w:rsidR="00952395" w:rsidRDefault="0083775C">
            <w:pPr>
              <w:pStyle w:val="P68B1DB1-TableParagraph13"/>
              <w:spacing w:before="108"/>
              <w:jc w:val="both"/>
            </w:pPr>
            <w:r>
              <w:t>līgumi ir nauda, kas saņemta apmaiņā pret vērtspapīriem, kurus pārdod par noteiktu cenu saskaņā ar</w:t>
            </w:r>
          </w:p>
          <w:p w14:paraId="7FE1BD3A" w14:textId="77777777" w:rsidR="00952395" w:rsidRDefault="0083775C">
            <w:pPr>
              <w:pStyle w:val="P68B1DB1-TableParagraph13"/>
              <w:spacing w:before="108"/>
              <w:jc w:val="both"/>
            </w:pPr>
            <w:r>
              <w:t>stingra apņemšanās atpirkt tos pašus (vai līdzīgus) vērtspapīrus par fiksētu cenu</w:t>
            </w:r>
          </w:p>
          <w:p w14:paraId="7FE1BD3B" w14:textId="77777777" w:rsidR="00952395" w:rsidRDefault="0083775C">
            <w:pPr>
              <w:pStyle w:val="P68B1DB1-TableParagraph13"/>
              <w:spacing w:before="108"/>
              <w:jc w:val="both"/>
            </w:pPr>
            <w:r>
              <w:t xml:space="preserve">konkrēts datums nākotnē. </w:t>
            </w:r>
          </w:p>
          <w:p w14:paraId="7FE1BD3C" w14:textId="77777777" w:rsidR="00952395" w:rsidRDefault="0083775C">
            <w:pPr>
              <w:pStyle w:val="P68B1DB1-TableParagraph13"/>
              <w:spacing w:before="108"/>
              <w:jc w:val="both"/>
            </w:pPr>
            <w:r>
              <w:t>Ziņot par pirkšanas ar atpārdošanu aizdevumiem saskaņā ar starpbanku aizdevumiem. Pirkšanas ar atpārdošanu aizdevumi ir finansējums, kas piešķirts apmaiņā pret nopirktajiem vērtspapīriem</w:t>
            </w:r>
          </w:p>
          <w:p w14:paraId="7FE1BD3D" w14:textId="77777777" w:rsidR="00952395" w:rsidRDefault="0083775C">
            <w:pPr>
              <w:pStyle w:val="P68B1DB1-TableParagraph13"/>
              <w:spacing w:before="108"/>
              <w:jc w:val="both"/>
            </w:pPr>
            <w:r>
              <w:lastRenderedPageBreak/>
              <w:t>saskaņā ar līgumiem par aktīvu pārdošanu ar atpirkšanu vai aizņēmumi saskaņā ar vērtspapīru aizdevuma līgumiem.</w:t>
            </w:r>
          </w:p>
          <w:p w14:paraId="7FE1BD3E" w14:textId="77777777" w:rsidR="00952395" w:rsidRDefault="0083775C">
            <w:pPr>
              <w:pStyle w:val="P68B1DB1-TableParagraph13"/>
              <w:spacing w:before="108"/>
              <w:jc w:val="both"/>
            </w:pPr>
            <w:r>
              <w:t>Atsauces: Regula (2015/2365) par vērtspapīru finansēšanas pārredzamību</w:t>
            </w:r>
          </w:p>
          <w:p w14:paraId="7FE1BD3F" w14:textId="77777777" w:rsidR="00952395" w:rsidRDefault="0083775C">
            <w:pPr>
              <w:pStyle w:val="P68B1DB1-TableParagraph13"/>
              <w:spacing w:before="108"/>
              <w:jc w:val="both"/>
            </w:pPr>
            <w:r>
              <w:t>darījumi un atkārtota izmantošana, 3. panta 9. punkts; FINREP: V pielikums, 2. 5. nodaļas 85. panta (e) punkts</w:t>
            </w:r>
          </w:p>
          <w:p w14:paraId="7FE1BD40" w14:textId="77777777" w:rsidR="00952395" w:rsidRDefault="0083775C">
            <w:pPr>
              <w:pStyle w:val="P68B1DB1-TableParagraph13"/>
              <w:spacing w:before="108"/>
              <w:jc w:val="both"/>
            </w:pPr>
            <w:r>
              <w:t>un 14. nodaļas 183. punktu; FINREP III pielikums:</w:t>
            </w:r>
          </w:p>
          <w:p w14:paraId="7FE1BD41" w14:textId="77777777" w:rsidR="00952395" w:rsidRDefault="0083775C">
            <w:pPr>
              <w:pStyle w:val="P68B1DB1-TableParagraph13"/>
              <w:numPr>
                <w:ilvl w:val="0"/>
                <w:numId w:val="153"/>
              </w:numPr>
              <w:spacing w:before="108"/>
              <w:jc w:val="both"/>
            </w:pPr>
            <w:r>
              <w:t>Līgumi par pārdošanu ar atpirkšanu. 08.01. tabulas 010.+ 020.+ 030. slejas 200.+ 250. rinda.</w:t>
            </w:r>
          </w:p>
          <w:p w14:paraId="7FE1BD42" w14:textId="77777777" w:rsidR="00952395" w:rsidRDefault="0083775C">
            <w:pPr>
              <w:pStyle w:val="P68B1DB1-TableParagraph13"/>
              <w:numPr>
                <w:ilvl w:val="0"/>
                <w:numId w:val="153"/>
              </w:numPr>
              <w:spacing w:before="108"/>
              <w:jc w:val="both"/>
            </w:pPr>
            <w:r>
              <w:t>Līgumi par pirkšanu ar atpārdošanu. 05.00. tabulas 030.+ 040. slejas 050. rinda.</w:t>
            </w:r>
          </w:p>
        </w:tc>
      </w:tr>
      <w:tr w:rsidR="00952395"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952395" w:rsidRDefault="0083775C">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952395" w:rsidRDefault="0083775C">
            <w:pPr>
              <w:pStyle w:val="P68B1DB1-TableParagraph14"/>
              <w:spacing w:before="108"/>
              <w:jc w:val="both"/>
              <w:rPr>
                <w:bCs/>
              </w:rPr>
            </w:pPr>
            <w:r>
              <w:t>Pārrobežu vērtība</w:t>
            </w:r>
          </w:p>
          <w:p w14:paraId="7FE1BD46" w14:textId="77777777" w:rsidR="00952395" w:rsidRDefault="0083775C">
            <w:pPr>
              <w:pStyle w:val="P68B1DB1-TableParagraph13"/>
              <w:spacing w:before="108"/>
              <w:jc w:val="both"/>
            </w:pPr>
            <w:r>
              <w:t>Pieskaita visu valstu bruto uzskaites vērtības, izņemot piederības valsti vai attiecīgo valsti.</w:t>
            </w:r>
          </w:p>
        </w:tc>
      </w:tr>
      <w:tr w:rsidR="00952395"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952395" w:rsidRDefault="0083775C">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952395" w:rsidRDefault="0083775C">
            <w:pPr>
              <w:pStyle w:val="P68B1DB1-Normal42"/>
              <w:rPr>
                <w:bCs/>
              </w:rPr>
            </w:pPr>
            <w:r>
              <w:t>Vērtība kredītiestādēs</w:t>
            </w:r>
          </w:p>
          <w:p w14:paraId="7FE1BD4A" w14:textId="77777777" w:rsidR="00952395" w:rsidRDefault="0083775C">
            <w:pPr>
              <w:pStyle w:val="P68B1DB1-TableParagraph13"/>
              <w:spacing w:before="108"/>
              <w:jc w:val="both"/>
            </w:pPr>
            <w:r>
              <w:t>Kredītiestādēs nenomaksātā bruto uzskaites vērtība. Nozares definīcija saskaņā ar</w:t>
            </w:r>
          </w:p>
          <w:p w14:paraId="7FE1BD4B" w14:textId="77777777" w:rsidR="00952395" w:rsidRDefault="0083775C">
            <w:pPr>
              <w:pStyle w:val="P68B1DB1-TableParagraph13"/>
              <w:spacing w:before="108"/>
              <w:jc w:val="both"/>
            </w:pPr>
            <w:r>
              <w:t xml:space="preserve">FINREP (V pielikums) </w:t>
            </w:r>
          </w:p>
          <w:p w14:paraId="7FE1BD4C" w14:textId="77777777" w:rsidR="00952395" w:rsidRDefault="0083775C">
            <w:pPr>
              <w:pStyle w:val="P68B1DB1-TableParagraph13"/>
              <w:spacing w:before="108"/>
              <w:jc w:val="both"/>
            </w:pPr>
            <w:r>
              <w:t>Atsauces: FINREP: III pielikums</w:t>
            </w:r>
          </w:p>
          <w:p w14:paraId="7FE1BD4D" w14:textId="77777777" w:rsidR="00952395" w:rsidRDefault="0083775C">
            <w:pPr>
              <w:pStyle w:val="P68B1DB1-TableParagraph13"/>
              <w:numPr>
                <w:ilvl w:val="0"/>
                <w:numId w:val="153"/>
              </w:numPr>
              <w:spacing w:before="108"/>
              <w:jc w:val="both"/>
            </w:pPr>
            <w:r>
              <w:t>Aizņēmumi: Tabula 20.06, 010. sleja, 100. rinda, visas valstis.</w:t>
            </w:r>
          </w:p>
          <w:p w14:paraId="7FE1BD4E" w14:textId="77777777" w:rsidR="00952395" w:rsidRDefault="0083775C">
            <w:pPr>
              <w:pStyle w:val="P68B1DB1-TableParagraph13"/>
              <w:numPr>
                <w:ilvl w:val="0"/>
                <w:numId w:val="153"/>
              </w:numPr>
              <w:spacing w:before="108"/>
              <w:jc w:val="both"/>
            </w:pPr>
            <w:r>
              <w:t>Atvasinātie instrumenti (aktīvi) Tabula 20.04, 010. sleja, 020. rinda, visas valstis;</w:t>
            </w:r>
          </w:p>
          <w:p w14:paraId="7FE1BD4F" w14:textId="77777777" w:rsidR="00952395" w:rsidRDefault="0083775C">
            <w:pPr>
              <w:pStyle w:val="P68B1DB1-TableParagraph13"/>
              <w:numPr>
                <w:ilvl w:val="0"/>
                <w:numId w:val="153"/>
              </w:numPr>
              <w:spacing w:before="108"/>
              <w:jc w:val="both"/>
            </w:pPr>
            <w:r>
              <w:t>Aizdošana: Tabula 20.04, 010. sleja, 170. rinda, visas valstis;</w:t>
            </w:r>
          </w:p>
          <w:p w14:paraId="7FE1BD50" w14:textId="77777777" w:rsidR="00952395" w:rsidRDefault="0083775C">
            <w:pPr>
              <w:pStyle w:val="P68B1DB1-TableParagraph13"/>
              <w:numPr>
                <w:ilvl w:val="0"/>
                <w:numId w:val="153"/>
              </w:numPr>
              <w:spacing w:before="108"/>
              <w:jc w:val="both"/>
            </w:pPr>
            <w:r>
              <w:t>Atvasināto instrumentu saistības: Tabula 20.06, 010. sleja, 020. rinda, visas valstis.</w:t>
            </w:r>
          </w:p>
        </w:tc>
      </w:tr>
      <w:tr w:rsidR="00952395"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952395" w:rsidRDefault="0083775C">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952395" w:rsidRDefault="0083775C">
            <w:pPr>
              <w:pStyle w:val="P68B1DB1-Normal42"/>
              <w:rPr>
                <w:bCs/>
              </w:rPr>
            </w:pPr>
            <w:r>
              <w:t>Ietekmes un aizstājamības analīze</w:t>
            </w:r>
          </w:p>
          <w:p w14:paraId="7FE1BD54" w14:textId="77777777" w:rsidR="00952395" w:rsidRDefault="0083775C">
            <w:pPr>
              <w:pStyle w:val="P68B1DB1-Normal43"/>
            </w:pPr>
            <w:r>
              <w:t>Novērtēšanas kritēriji attiecībā uz ietekmi uz trešām personām ietver šādus elementus saskaņā ar Komisijas Deleģēto regulu (ES) 2016/778 par kritiski svarīgām funkcijām:</w:t>
            </w:r>
          </w:p>
          <w:p w14:paraId="7FE1BD55" w14:textId="77777777" w:rsidR="00952395" w:rsidRDefault="0083775C">
            <w:pPr>
              <w:pStyle w:val="P68B1DB1-ListParagraph38"/>
              <w:numPr>
                <w:ilvl w:val="0"/>
                <w:numId w:val="131"/>
              </w:numPr>
              <w:spacing w:line="276" w:lineRule="auto"/>
            </w:pPr>
            <w:r>
              <w:t>darbības veids un tvērums, globālais, valsts vai reģionālais mērogs, darījumu apjoms un skaits; klientu un darījumu partneru skaits; klientu skaits, kuriem iestāde ir vienīgais vai galvenais bankas partneris.</w:t>
            </w:r>
          </w:p>
          <w:p w14:paraId="7FE1BD56" w14:textId="77777777" w:rsidR="00952395" w:rsidRDefault="0083775C">
            <w:pPr>
              <w:pStyle w:val="P68B1DB1-ListParagraph38"/>
              <w:numPr>
                <w:ilvl w:val="0"/>
                <w:numId w:val="131"/>
              </w:numPr>
              <w:spacing w:line="276" w:lineRule="auto"/>
            </w:pPr>
            <w:r>
              <w:t>iestādes nozīmīgums vietējā, reģionālā, valsts vai Eiropas līmenī attiecīgi konkrētajam tirgum. Iestādes nozīmīgumu var novērtēt, pamatojoties uz tirgus daļu, savstarpējo saikni, sarežģītību un pārrobežu darbībām;</w:t>
            </w:r>
          </w:p>
          <w:p w14:paraId="7FE1BD57" w14:textId="77777777" w:rsidR="00952395" w:rsidRDefault="0083775C">
            <w:pPr>
              <w:pStyle w:val="P68B1DB1-ListParagraph38"/>
              <w:numPr>
                <w:ilvl w:val="0"/>
                <w:numId w:val="131"/>
              </w:numPr>
              <w:spacing w:line="276" w:lineRule="auto"/>
            </w:pPr>
            <w:r>
              <w:t xml:space="preserve">funkcijas skarto klientu un ieinteresēto personu raksturojums, kas citstarp ietver privātos klientus, korporatīvos klientus, starpbanku klientus, centrālās mijieskaita darījumu starpniekiestādes un publiskas struktūras; </w:t>
            </w:r>
          </w:p>
          <w:p w14:paraId="7FE1BD58" w14:textId="77777777" w:rsidR="00952395" w:rsidRDefault="0083775C">
            <w:pPr>
              <w:pStyle w:val="P68B1DB1-ListParagraph38"/>
              <w:numPr>
                <w:ilvl w:val="0"/>
                <w:numId w:val="131"/>
              </w:numPr>
              <w:spacing w:line="276" w:lineRule="auto"/>
            </w:pPr>
            <w:r>
              <w:t>iespējamais funkcijas darbības pārtraukums tirgiem, infrastruktūrām, klientiem un publiskajiem pakalpojumiem. Novērtējumā jo īpaši var iekļaut ietekmi uz attiecīgo tirgu likviditāti, klientu darījumdarbības traucējumu ietekmi un apmēru un īstermiņa likviditātes vajadzības; uztveramība darījumu partneriem, klientiem un sabiedrībai; klientu reakcijas jauda un ātrums; atbilstība citu tirgu darbībai; ietekme uz cita tirgus likviditāti, operācijām, struktūru; ietekme uz citiem darījumu partneriem, kas saistīti a</w:t>
            </w:r>
            <w:r>
              <w:t>r galvenajiem klientiem, un funkcijas saistība ar citiem pakalpojumiem.</w:t>
            </w:r>
          </w:p>
          <w:p w14:paraId="7FE1BD59" w14:textId="77777777" w:rsidR="00952395" w:rsidRDefault="00952395">
            <w:pPr>
              <w:rPr>
                <w:rFonts w:ascii="Times New Roman" w:eastAsiaTheme="minorHAnsi" w:hAnsi="Times New Roman" w:cs="Times New Roman"/>
                <w:color w:val="000000" w:themeColor="text1"/>
                <w:sz w:val="20"/>
                <w:szCs w:val="20"/>
              </w:rPr>
            </w:pPr>
          </w:p>
        </w:tc>
      </w:tr>
      <w:tr w:rsidR="00952395"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952395" w:rsidRDefault="0083775C">
            <w:pPr>
              <w:pStyle w:val="P68B1DB1-TableParagraph17"/>
              <w:spacing w:before="108"/>
              <w:ind w:left="85"/>
              <w:jc w:val="both"/>
            </w:pPr>
            <w:r>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952395" w:rsidRDefault="0083775C">
            <w:pPr>
              <w:pStyle w:val="P68B1DB1-Normal42"/>
              <w:rPr>
                <w:bCs/>
              </w:rPr>
            </w:pPr>
            <w:r>
              <w:t xml:space="preserve">Daba un sasniedzamība </w:t>
            </w:r>
          </w:p>
          <w:p w14:paraId="7FE1BD5D" w14:textId="77777777" w:rsidR="00952395" w:rsidRDefault="0083775C">
            <w:pPr>
              <w:pStyle w:val="P68B1DB1-Normal43"/>
            </w:pPr>
            <w:r>
              <w:t>Globālais, valsts vai reģionālais mērogs, darījumu apjoms un skaits; klientu un darījumu partneru skaits; klientu skaits, kuriem iestāde ir vienīgais vai galvenais bankas partneris.</w:t>
            </w:r>
          </w:p>
        </w:tc>
      </w:tr>
      <w:tr w:rsidR="00952395"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952395" w:rsidRDefault="0083775C">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952395" w:rsidRDefault="0083775C">
            <w:pPr>
              <w:pStyle w:val="P68B1DB1-Normal42"/>
              <w:rPr>
                <w:bCs/>
              </w:rPr>
            </w:pPr>
            <w:r>
              <w:t>Lieluma rādītājs Nr. 1</w:t>
            </w:r>
          </w:p>
          <w:p w14:paraId="611DAB08" w14:textId="77777777" w:rsidR="00952395" w:rsidRDefault="0083775C">
            <w:pPr>
              <w:pStyle w:val="P68B1DB1-Normal31"/>
              <w:spacing w:line="276" w:lineRule="auto"/>
              <w:jc w:val="both"/>
            </w:pPr>
            <w:r>
              <w:lastRenderedPageBreak/>
              <w:t>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mainīgos lielumus, piemēram, IKP, iedzīvotāju skaitu (noguldījumiem, aizdevumiem, maksājumiem, skaidras naudas, norēķinu, tīrvērtes un uzskaites pakalpojumiem) vai tirgus lielumu (kapitāla tirgiem un vairumtirdzni</w:t>
            </w:r>
            <w:r>
              <w:t xml:space="preserve">ecības finansējumam) kā kritēriju šim kvalitatīvajam novērtējumam. </w:t>
            </w:r>
          </w:p>
          <w:p w14:paraId="7FE1BD61" w14:textId="0497CCAC" w:rsidR="00952395" w:rsidRDefault="0083775C">
            <w:pPr>
              <w:pStyle w:val="P68B1DB1-Normal43"/>
            </w:pPr>
            <w:r>
              <w:t xml:space="preserve"> </w:t>
            </w:r>
          </w:p>
          <w:p w14:paraId="7FE1BD62" w14:textId="77777777" w:rsidR="00952395" w:rsidRDefault="0083775C">
            <w:pPr>
              <w:pStyle w:val="P68B1DB1-ListParagraph32"/>
              <w:numPr>
                <w:ilvl w:val="0"/>
                <w:numId w:val="125"/>
              </w:numPr>
              <w:spacing w:line="276" w:lineRule="auto"/>
            </w:pPr>
            <w:r>
              <w:t xml:space="preserve">Eksperta slēdziens par pārskatu sniedzošās iestādes (0030. c.) bruto uzskaites </w:t>
            </w:r>
            <w:r>
              <w:rPr>
                <w:b/>
              </w:rPr>
              <w:t>vērtības</w:t>
            </w:r>
            <w:r>
              <w:t xml:space="preserve"> lielumu </w:t>
            </w:r>
            <w:r>
              <w:rPr>
                <w:b/>
              </w:rPr>
              <w:t>globālā perspektīvā [</w:t>
            </w:r>
            <w:r>
              <w:t xml:space="preserve"> par</w:t>
            </w:r>
            <w:r>
              <w:rPr>
                <w:i/>
              </w:rPr>
              <w:t>vienu līmeni augstāks nekā attiecīgais tirgus. Ja konkrētais tirgus ir globāls, tad 1. lielums kļūst lieks un par to nav jāziņo]</w:t>
            </w:r>
            <w:r>
              <w:t>:</w:t>
            </w:r>
          </w:p>
          <w:p w14:paraId="7FE1BD63" w14:textId="77777777" w:rsidR="00952395" w:rsidRDefault="0083775C">
            <w:pPr>
              <w:pStyle w:val="P68B1DB1-ListParagraph32"/>
              <w:numPr>
                <w:ilvl w:val="1"/>
                <w:numId w:val="125"/>
              </w:numPr>
              <w:spacing w:line="276" w:lineRule="auto"/>
            </w:pPr>
            <w:r>
              <w:t>No globālā viedokļa, cik liela, jūsuprāt, ir pārskatu sniedzēja uzņēmuma bruto uzskaites vērtība?</w:t>
            </w:r>
          </w:p>
          <w:p w14:paraId="7FE1BD64" w14:textId="77777777" w:rsidR="00952395" w:rsidRDefault="00952395">
            <w:pPr>
              <w:rPr>
                <w:rFonts w:ascii="Times New Roman" w:eastAsiaTheme="minorHAnsi" w:hAnsi="Times New Roman" w:cs="Times New Roman"/>
                <w:color w:val="000000" w:themeColor="text1"/>
                <w:sz w:val="20"/>
                <w:szCs w:val="20"/>
              </w:rPr>
            </w:pPr>
          </w:p>
        </w:tc>
      </w:tr>
      <w:tr w:rsidR="00952395"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952395" w:rsidRDefault="0083775C">
            <w:pPr>
              <w:pStyle w:val="P68B1DB1-TableParagraph17"/>
              <w:spacing w:before="108"/>
              <w:ind w:left="85"/>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952395" w:rsidRDefault="0083775C">
            <w:pPr>
              <w:pStyle w:val="P68B1DB1-Normal42"/>
              <w:rPr>
                <w:bCs/>
              </w:rPr>
            </w:pPr>
            <w:r>
              <w:t>Lieluma rādītājs Nr. 2</w:t>
            </w:r>
          </w:p>
          <w:p w14:paraId="75C87AE7" w14:textId="77777777" w:rsidR="00952395" w:rsidRDefault="0083775C">
            <w:pPr>
              <w:pStyle w:val="P68B1DB1-Normal31"/>
              <w:spacing w:line="276" w:lineRule="auto"/>
              <w:jc w:val="both"/>
            </w:pPr>
            <w:r>
              <w:t>Novērtēt bankas nozīmi šajās darbībās. Šis novērtējums ir kvalitatīvi izteikts kā “augsts”, “vidēji augsts”, “vidēji zems” vai “zems”. Norāda “Augsts”, ja funkcija ir liela, “vidēji augsts”, ja tas ir vidējs, “vidēji zems”, ja tas ir mazs, un “Zems”, ja tas ir nenozīmīgs. Izmantot makroekonomiskos mainīgos lielumus, piemēram, IKP, iedzīvotāju skaitu (noguldījumiem, aizdevumiem, maksājumiem, skaidras naudas, norēķinu, tīrvērtes un uzskaites pakalpojumiem) vai tirgus lielumu (kapitāla tirgiem un vairumtirdzni</w:t>
            </w:r>
            <w:r>
              <w:t xml:space="preserve">ecības finansējumam) kā kritēriju šim kvalitatīvajam novērtējumam. </w:t>
            </w:r>
          </w:p>
          <w:p w14:paraId="7FE1BD68" w14:textId="10683EF9" w:rsidR="00952395" w:rsidRDefault="0083775C">
            <w:pPr>
              <w:pStyle w:val="P68B1DB1-Normal43"/>
            </w:pPr>
            <w:r>
              <w:t xml:space="preserve"> </w:t>
            </w:r>
          </w:p>
          <w:p w14:paraId="7FE1BD69" w14:textId="77777777" w:rsidR="00952395" w:rsidRDefault="0083775C">
            <w:pPr>
              <w:pStyle w:val="P68B1DB1-ListParagraph32"/>
              <w:numPr>
                <w:ilvl w:val="0"/>
                <w:numId w:val="119"/>
              </w:numPr>
              <w:spacing w:line="276" w:lineRule="auto"/>
            </w:pPr>
            <w:r>
              <w:t xml:space="preserve">Ekspertu slēdziens par darījumu partneru vai darījumu </w:t>
            </w:r>
            <w:r>
              <w:rPr>
                <w:b/>
              </w:rPr>
              <w:t>skaitu</w:t>
            </w:r>
            <w:r>
              <w:t xml:space="preserve"> (c0040) no </w:t>
            </w:r>
            <w:r>
              <w:rPr>
                <w:b/>
              </w:rPr>
              <w:t>valsts</w:t>
            </w:r>
            <w:r>
              <w:t xml:space="preserve"> perspektīvas</w:t>
            </w:r>
            <w:r>
              <w:rPr>
                <w:i/>
              </w:rPr>
              <w:t>[konkrētā tirgus līmenī</w:t>
            </w:r>
            <w:r>
              <w:t>]:</w:t>
            </w:r>
          </w:p>
          <w:p w14:paraId="7FE1BD6A" w14:textId="77777777" w:rsidR="00952395" w:rsidRDefault="0083775C">
            <w:pPr>
              <w:pStyle w:val="P68B1DB1-ListParagraph32"/>
              <w:numPr>
                <w:ilvl w:val="1"/>
                <w:numId w:val="119"/>
              </w:numPr>
              <w:spacing w:line="276" w:lineRule="auto"/>
            </w:pPr>
            <w:r>
              <w:t>Cik liels, raugoties no valsts perspektīvas, ir aplēstais jūsu iestāžu darījumu partneru skaits?</w:t>
            </w:r>
          </w:p>
          <w:p w14:paraId="7FE1BD6B" w14:textId="77777777" w:rsidR="00952395" w:rsidRDefault="00952395">
            <w:pPr>
              <w:rPr>
                <w:rFonts w:ascii="Times New Roman" w:eastAsiaTheme="minorHAnsi" w:hAnsi="Times New Roman" w:cs="Times New Roman"/>
                <w:color w:val="000000" w:themeColor="text1"/>
                <w:sz w:val="20"/>
                <w:szCs w:val="20"/>
              </w:rPr>
            </w:pPr>
          </w:p>
        </w:tc>
      </w:tr>
      <w:tr w:rsidR="00952395"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952395" w:rsidRDefault="0083775C">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952395" w:rsidRDefault="0083775C">
            <w:pPr>
              <w:pStyle w:val="P68B1DB1-Normal42"/>
              <w:rPr>
                <w:bCs/>
              </w:rPr>
            </w:pPr>
            <w:r>
              <w:t>Pārrobežu rādītājs</w:t>
            </w:r>
          </w:p>
          <w:p w14:paraId="7FE1BD6F" w14:textId="77777777" w:rsidR="00952395" w:rsidRDefault="0083775C">
            <w:pPr>
              <w:pStyle w:val="P68B1DB1-Normal43"/>
            </w:pPr>
            <w:r>
              <w:t>Novērtēt pārrobežu darbību relatīvo nozīmi dažādajās ekonomiskajās funkcijās.</w:t>
            </w:r>
          </w:p>
          <w:p w14:paraId="7FE1BD70" w14:textId="77777777" w:rsidR="00952395" w:rsidRDefault="0083775C">
            <w:pPr>
              <w:pStyle w:val="P68B1DB1-Normal43"/>
            </w:pPr>
            <w:r>
              <w:t xml:space="preserve">Tas nav jānovērtē ziņojumos, kuros konkrētais tirgus tiek uzskatīts par reģionālu. </w:t>
            </w:r>
          </w:p>
          <w:p w14:paraId="482F1D03" w14:textId="77777777" w:rsidR="00952395" w:rsidRDefault="0083775C">
            <w:pPr>
              <w:pStyle w:val="P68B1DB1-ListParagraph32"/>
              <w:numPr>
                <w:ilvl w:val="0"/>
                <w:numId w:val="118"/>
              </w:numPr>
              <w:rPr>
                <w:i/>
                <w:iCs/>
              </w:rPr>
            </w:pPr>
            <w:r>
              <w:t>Pārskatu sniedzēja uzņēmuma starpjurisdikciju darbības daļa procentos no kopējās vērtības, izteikta kā bruto uzskaites vērtība. Ziņojums:</w:t>
            </w:r>
          </w:p>
          <w:p w14:paraId="7E6697A4" w14:textId="0A448298" w:rsidR="00952395" w:rsidRDefault="0083775C">
            <w:pPr>
              <w:pStyle w:val="P68B1DB1-ListParagraph32"/>
              <w:numPr>
                <w:ilvl w:val="1"/>
                <w:numId w:val="118"/>
              </w:numPr>
              <w:rPr>
                <w:i/>
                <w:iCs/>
              </w:rPr>
            </w:pPr>
            <w:r>
              <w:t xml:space="preserve"> &amp;5 %; </w:t>
            </w:r>
          </w:p>
          <w:p w14:paraId="30B91FAF" w14:textId="5CD6C33D" w:rsidR="00952395" w:rsidRDefault="0083775C">
            <w:pPr>
              <w:pStyle w:val="P68B1DB1-ListParagraph32"/>
              <w:numPr>
                <w:ilvl w:val="1"/>
                <w:numId w:val="118"/>
              </w:numPr>
              <w:rPr>
                <w:i/>
                <w:iCs/>
              </w:rPr>
            </w:pPr>
            <w:r>
              <w:t xml:space="preserve">5–15 %; </w:t>
            </w:r>
          </w:p>
          <w:p w14:paraId="50353685" w14:textId="2995AD20" w:rsidR="00952395" w:rsidRDefault="0083775C">
            <w:pPr>
              <w:pStyle w:val="P68B1DB1-ListParagraph32"/>
              <w:numPr>
                <w:ilvl w:val="1"/>
                <w:numId w:val="118"/>
              </w:numPr>
              <w:rPr>
                <w:i/>
                <w:iCs/>
              </w:rPr>
            </w:pPr>
            <w:r>
              <w:t xml:space="preserve">15–25 %, </w:t>
            </w:r>
          </w:p>
          <w:p w14:paraId="7FE1BD71" w14:textId="6E1F5AA5" w:rsidR="00952395" w:rsidRDefault="0083775C">
            <w:pPr>
              <w:pStyle w:val="P68B1DB1-ListParagraph32"/>
              <w:numPr>
                <w:ilvl w:val="1"/>
                <w:numId w:val="118"/>
              </w:numPr>
              <w:rPr>
                <w:i/>
                <w:iCs/>
              </w:rPr>
            </w:pPr>
            <w:r>
              <w:t>&gt; 25 %.</w:t>
            </w:r>
          </w:p>
          <w:p w14:paraId="7FE1BD72" w14:textId="77777777" w:rsidR="00952395" w:rsidRDefault="00952395">
            <w:pPr>
              <w:rPr>
                <w:rFonts w:ascii="Times New Roman" w:eastAsiaTheme="minorHAnsi" w:hAnsi="Times New Roman" w:cs="Times New Roman"/>
                <w:color w:val="000000" w:themeColor="text1"/>
                <w:sz w:val="20"/>
                <w:szCs w:val="20"/>
              </w:rPr>
            </w:pPr>
          </w:p>
        </w:tc>
      </w:tr>
      <w:tr w:rsidR="00952395"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952395" w:rsidRDefault="0083775C">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952395" w:rsidRDefault="0083775C">
            <w:pPr>
              <w:pStyle w:val="P68B1DB1-Normal42"/>
              <w:rPr>
                <w:bCs/>
              </w:rPr>
            </w:pPr>
            <w:r>
              <w:t xml:space="preserve">Atbilstība — </w:t>
            </w:r>
          </w:p>
          <w:p w14:paraId="7FE1BD76" w14:textId="77777777" w:rsidR="00952395" w:rsidRDefault="0083775C">
            <w:pPr>
              <w:pStyle w:val="P68B1DB1-Normal43"/>
            </w:pPr>
            <w:r>
              <w:t>Vietējā, reģionālā, valsts vai Eiropas līmenī attiecīgi konkrētajam tirgum. Iestādes nozīmīgumu var novērtēt, pamatojoties uz tirgus daļu, savstarpējo saikni, sarežģītību un pārrobežu darbībām;</w:t>
            </w:r>
          </w:p>
          <w:p w14:paraId="7FE1BD77" w14:textId="77777777" w:rsidR="00952395" w:rsidRDefault="0083775C">
            <w:pPr>
              <w:pStyle w:val="P68B1DB1-Normal42"/>
              <w:rPr>
                <w:bCs/>
              </w:rPr>
            </w:pPr>
            <w:r>
              <w:t>Tirgus daļa</w:t>
            </w:r>
          </w:p>
          <w:p w14:paraId="7FE1BD78" w14:textId="77777777" w:rsidR="00952395" w:rsidRDefault="0083775C">
            <w:pPr>
              <w:pStyle w:val="P68B1DB1-Normal43"/>
            </w:pPr>
            <w:r>
              <w:t xml:space="preserve">Novērtē, cik svarīga ir pārskatu sniedzošās sabiedrības tirgus daļa salīdzinājumā ar valsts vai citu attiecīgo tirgu, kā norādīts veidnē. Šis novērtējums ir kvalitatīvs kā </w:t>
            </w:r>
          </w:p>
          <w:p w14:paraId="7FE1BD79" w14:textId="43E56AB8" w:rsidR="00952395" w:rsidRDefault="0083775C">
            <w:pPr>
              <w:pStyle w:val="P68B1DB1-ListParagraph38"/>
              <w:numPr>
                <w:ilvl w:val="0"/>
                <w:numId w:val="276"/>
              </w:numPr>
              <w:spacing w:line="276" w:lineRule="auto"/>
              <w:jc w:val="both"/>
            </w:pPr>
            <w:r>
              <w:t>Liela, ja tirgus daļa ir liela</w:t>
            </w:r>
          </w:p>
          <w:p w14:paraId="7FE1BD7A" w14:textId="533BFB92" w:rsidR="00952395" w:rsidRDefault="0083775C">
            <w:pPr>
              <w:pStyle w:val="P68B1DB1-ListParagraph38"/>
              <w:numPr>
                <w:ilvl w:val="0"/>
                <w:numId w:val="276"/>
              </w:numPr>
              <w:spacing w:line="276" w:lineRule="auto"/>
              <w:jc w:val="both"/>
            </w:pPr>
            <w:r>
              <w:t>Vidējs, ja tirgus daļa ir vidēja</w:t>
            </w:r>
          </w:p>
          <w:p w14:paraId="7FE1BD7B" w14:textId="3F2EEB01" w:rsidR="00952395" w:rsidRDefault="0083775C">
            <w:pPr>
              <w:pStyle w:val="P68B1DB1-ListParagraph38"/>
              <w:numPr>
                <w:ilvl w:val="0"/>
                <w:numId w:val="276"/>
              </w:numPr>
              <w:spacing w:line="276" w:lineRule="auto"/>
              <w:jc w:val="both"/>
            </w:pPr>
            <w:r>
              <w:t xml:space="preserve">Vidējs-zems, ja tirgus daļa ir maza vai </w:t>
            </w:r>
          </w:p>
          <w:p w14:paraId="7FE1BD7C" w14:textId="05FA4C79" w:rsidR="00952395" w:rsidRDefault="0083775C">
            <w:pPr>
              <w:pStyle w:val="P68B1DB1-ListParagraph38"/>
              <w:numPr>
                <w:ilvl w:val="0"/>
                <w:numId w:val="276"/>
              </w:numPr>
              <w:spacing w:line="276" w:lineRule="auto"/>
              <w:jc w:val="both"/>
            </w:pPr>
            <w:r>
              <w:t xml:space="preserve">Maza, ja tirgus daļa ir nenozīmīga. </w:t>
            </w:r>
          </w:p>
          <w:p w14:paraId="7FE1BD7D" w14:textId="77777777" w:rsidR="00952395" w:rsidRDefault="0083775C">
            <w:pPr>
              <w:pStyle w:val="P68B1DB1-Normal43"/>
            </w:pPr>
            <w:r>
              <w:t xml:space="preserve">Šajā novērtējumā ņem vērā pārskatu sniedzējas sabiedrības valsts (vai cita attiecīgā tirgus) tirgus struktūru un daļēji uzrādītās tirgus daļas. </w:t>
            </w:r>
          </w:p>
          <w:p w14:paraId="7FE1BD7E" w14:textId="77777777" w:rsidR="00952395" w:rsidRDefault="0083775C">
            <w:pPr>
              <w:pStyle w:val="P68B1DB1-Normal43"/>
            </w:pPr>
            <w:r>
              <w:t>2.Kvantitatīvie dati:</w:t>
            </w:r>
          </w:p>
          <w:p w14:paraId="7FE1BD7F" w14:textId="77777777" w:rsidR="00952395" w:rsidRDefault="0083775C">
            <w:pPr>
              <w:pStyle w:val="P68B1DB1-ListParagraph32"/>
              <w:numPr>
                <w:ilvl w:val="0"/>
                <w:numId w:val="116"/>
              </w:numPr>
              <w:jc w:val="both"/>
              <w:rPr>
                <w:i/>
                <w:iCs/>
              </w:rPr>
            </w:pPr>
            <w:r>
              <w:lastRenderedPageBreak/>
              <w:t xml:space="preserve">Ekspertu slēdziens par </w:t>
            </w:r>
            <w:r>
              <w:rPr>
                <w:b/>
              </w:rPr>
              <w:t xml:space="preserve">valsts </w:t>
            </w:r>
            <w:r>
              <w:t>tirgus daļas lielumu (ziņots 0020.s., izņemot gadījumus, kad ziņojums ir sniegts par citu attiecīgo tirgus līmeni, un tādā gadījumā ir gaidāms attiecīgās tirgus daļas novērtējums).</w:t>
            </w:r>
          </w:p>
          <w:p w14:paraId="7FE1BD80" w14:textId="77777777" w:rsidR="00952395" w:rsidRDefault="00952395">
            <w:pPr>
              <w:rPr>
                <w:rFonts w:ascii="Times New Roman" w:eastAsiaTheme="minorHAnsi" w:hAnsi="Times New Roman" w:cs="Times New Roman"/>
                <w:color w:val="000000" w:themeColor="text1"/>
                <w:sz w:val="20"/>
                <w:szCs w:val="20"/>
              </w:rPr>
            </w:pPr>
          </w:p>
          <w:p w14:paraId="7FE1BD81" w14:textId="77777777" w:rsidR="00952395" w:rsidRDefault="00952395">
            <w:pPr>
              <w:rPr>
                <w:rFonts w:ascii="Times New Roman" w:eastAsiaTheme="minorHAnsi" w:hAnsi="Times New Roman" w:cs="Times New Roman"/>
                <w:color w:val="000000" w:themeColor="text1"/>
                <w:sz w:val="20"/>
                <w:szCs w:val="20"/>
              </w:rPr>
            </w:pPr>
          </w:p>
        </w:tc>
      </w:tr>
      <w:tr w:rsidR="00952395"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952395" w:rsidRDefault="0083775C">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952395" w:rsidRDefault="0083775C">
            <w:pPr>
              <w:pStyle w:val="P68B1DB1-Normal42"/>
              <w:rPr>
                <w:bCs/>
              </w:rPr>
            </w:pPr>
            <w:r>
              <w:t>Tirgus struktūra — tirgus koncentrācija</w:t>
            </w:r>
          </w:p>
          <w:p w14:paraId="7FE1BD85" w14:textId="77777777" w:rsidR="00952395" w:rsidRDefault="0083775C">
            <w:pPr>
              <w:pStyle w:val="P68B1DB1-Normal43"/>
            </w:pPr>
            <w:r>
              <w:t xml:space="preserve">Tirgus koncentrācija, ko mēra pēc pašlaik darbojošos konkurentu skaita </w:t>
            </w:r>
          </w:p>
          <w:p w14:paraId="7FE1BD86" w14:textId="77777777" w:rsidR="00952395" w:rsidRDefault="0083775C">
            <w:pPr>
              <w:pStyle w:val="P68B1DB1-Normal43"/>
            </w:pPr>
            <w:r>
              <w:t xml:space="preserve">līdzīgas ekonomiskās funkcijas un/vai līdzīgu pakalpojumu piedāvāšana ar vienādiem noteikumiem (t. i., </w:t>
            </w:r>
          </w:p>
          <w:p w14:paraId="7FE1BD87" w14:textId="77777777" w:rsidR="00952395" w:rsidRDefault="0083775C">
            <w:pPr>
              <w:pStyle w:val="P68B1DB1-Normal43"/>
            </w:pPr>
            <w:r>
              <w:t xml:space="preserve">salīdzināms apjoms un kvalitāte un ar salīdzināmām izmaksām), kas, iespējams, pārņem </w:t>
            </w:r>
          </w:p>
          <w:p w14:paraId="7FE1BD88" w14:textId="77777777" w:rsidR="00952395" w:rsidRDefault="0083775C">
            <w:pPr>
              <w:pStyle w:val="P68B1DB1-Normal43"/>
            </w:pPr>
            <w:r>
              <w:t xml:space="preserve">pārskatu sniedzēja uzņēmuma klienti un/vai uzņēmējdarbība (vai to daļa) saprātīgā termiņā. </w:t>
            </w:r>
          </w:p>
          <w:p w14:paraId="7FE1BD89" w14:textId="77777777" w:rsidR="00952395" w:rsidRDefault="0083775C">
            <w:pPr>
              <w:pStyle w:val="P68B1DB1-Normal43"/>
            </w:pPr>
            <w:r>
              <w:t xml:space="preserve">Tas jāuzrāda kopās, kas ir vienādas katrai apakšfunkcijai. </w:t>
            </w:r>
          </w:p>
          <w:p w14:paraId="5A8DDF15" w14:textId="77777777" w:rsidR="00952395" w:rsidRDefault="0083775C">
            <w:pPr>
              <w:pStyle w:val="P68B1DB1-ListParagraph32"/>
              <w:numPr>
                <w:ilvl w:val="0"/>
                <w:numId w:val="277"/>
              </w:numPr>
              <w:jc w:val="both"/>
            </w:pPr>
            <w:r>
              <w:t xml:space="preserve">&gt; 20 konkurenti; </w:t>
            </w:r>
          </w:p>
          <w:p w14:paraId="0FB3FECD" w14:textId="77777777" w:rsidR="00952395" w:rsidRDefault="0083775C">
            <w:pPr>
              <w:pStyle w:val="P68B1DB1-ListParagraph32"/>
              <w:numPr>
                <w:ilvl w:val="0"/>
                <w:numId w:val="277"/>
              </w:numPr>
              <w:jc w:val="both"/>
            </w:pPr>
            <w:r>
              <w:t xml:space="preserve">11–20 konkurenti; </w:t>
            </w:r>
          </w:p>
          <w:p w14:paraId="0742AD9B" w14:textId="77777777" w:rsidR="00952395" w:rsidRDefault="0083775C">
            <w:pPr>
              <w:pStyle w:val="P68B1DB1-ListParagraph32"/>
              <w:numPr>
                <w:ilvl w:val="0"/>
                <w:numId w:val="277"/>
              </w:numPr>
              <w:jc w:val="both"/>
            </w:pPr>
            <w:r>
              <w:t xml:space="preserve">5–10 konkurenti, </w:t>
            </w:r>
          </w:p>
          <w:p w14:paraId="240AD074" w14:textId="77777777" w:rsidR="00952395" w:rsidRDefault="0083775C">
            <w:pPr>
              <w:pStyle w:val="P68B1DB1-ListParagraph32"/>
              <w:numPr>
                <w:ilvl w:val="0"/>
                <w:numId w:val="277"/>
              </w:numPr>
              <w:jc w:val="both"/>
              <w:rPr>
                <w:b/>
                <w:bCs/>
                <w:color w:val="000000" w:themeColor="text1"/>
              </w:rPr>
            </w:pPr>
            <w:r>
              <w:t>&amp;5 konkurenti</w:t>
            </w:r>
          </w:p>
          <w:p w14:paraId="7FE1BD8D" w14:textId="2F17E01A" w:rsidR="00952395" w:rsidRDefault="00952395">
            <w:pPr>
              <w:jc w:val="both"/>
              <w:rPr>
                <w:rFonts w:ascii="Times New Roman" w:hAnsi="Times New Roman"/>
                <w:color w:val="000000" w:themeColor="text1"/>
                <w:sz w:val="20"/>
                <w:szCs w:val="20"/>
              </w:rPr>
            </w:pPr>
          </w:p>
        </w:tc>
      </w:tr>
      <w:tr w:rsidR="00952395"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952395" w:rsidRDefault="0083775C">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952395" w:rsidRDefault="0083775C">
            <w:pPr>
              <w:pStyle w:val="P68B1DB1-Normal42"/>
              <w:rPr>
                <w:bCs/>
              </w:rPr>
            </w:pPr>
            <w:r>
              <w:t>Laiks — paredzamais aizstāšanas laiks</w:t>
            </w:r>
          </w:p>
          <w:p w14:paraId="7FE1BD91" w14:textId="77777777" w:rsidR="00952395" w:rsidRDefault="0083775C">
            <w:pPr>
              <w:pStyle w:val="P68B1DB1-Normal43"/>
            </w:pPr>
            <w:r>
              <w:t>Aplēst laiku, kas nepieciešams ziņojuma sniegtajai ekonomiskajai funkcijai</w:t>
            </w:r>
          </w:p>
          <w:p w14:paraId="7FE1BD92" w14:textId="77777777" w:rsidR="00952395" w:rsidRDefault="0083775C">
            <w:pPr>
              <w:pStyle w:val="P68B1DB1-Normal43"/>
            </w:pPr>
            <w:r>
              <w:t xml:space="preserve">vienība, kas krīzes situācijā jāapgūst tirgū. Tas ietver: </w:t>
            </w:r>
          </w:p>
          <w:p w14:paraId="7FE1BD93" w14:textId="77777777" w:rsidR="00952395" w:rsidRDefault="0083775C">
            <w:pPr>
              <w:pStyle w:val="P68B1DB1-ListParagraph38"/>
              <w:numPr>
                <w:ilvl w:val="0"/>
                <w:numId w:val="274"/>
              </w:numPr>
              <w:jc w:val="both"/>
            </w:pPr>
            <w:r>
              <w:t xml:space="preserve">paredzamais laiks, kas vienam vai vairākiem konkurentiem vajadzīgs, lai veiktu juridiskos un tehniskos pasākumus funkcijas pārņemšanai; kā arī  </w:t>
            </w:r>
          </w:p>
          <w:p w14:paraId="7FE1BD94" w14:textId="77777777" w:rsidR="00952395" w:rsidRDefault="0083775C">
            <w:pPr>
              <w:pStyle w:val="P68B1DB1-ListParagraph38"/>
              <w:numPr>
                <w:ilvl w:val="0"/>
                <w:numId w:val="274"/>
              </w:numPr>
              <w:jc w:val="both"/>
            </w:pPr>
            <w:r>
              <w:t xml:space="preserve">laiks, kas pakalpojuma lietotājiem vajadzīgs, lai pārceltos pie cita pakalpojumu sniedzēja. </w:t>
            </w:r>
          </w:p>
          <w:p w14:paraId="7FE1BD95" w14:textId="77777777" w:rsidR="00952395" w:rsidRDefault="00952395">
            <w:pPr>
              <w:rPr>
                <w:rFonts w:ascii="Times New Roman" w:eastAsiaTheme="minorHAnsi" w:hAnsi="Times New Roman" w:cs="Times New Roman"/>
                <w:color w:val="000000" w:themeColor="text1"/>
                <w:sz w:val="20"/>
                <w:szCs w:val="20"/>
              </w:rPr>
            </w:pPr>
          </w:p>
          <w:p w14:paraId="7FE1BD96" w14:textId="77777777" w:rsidR="00952395" w:rsidRDefault="0083775C">
            <w:pPr>
              <w:pStyle w:val="P68B1DB1-Normal43"/>
            </w:pPr>
            <w:r>
              <w:t>Kā aizstājēju pirmajam sniegt aplēsi par laiku, kas pārskata sniedzējai vienībai būtu vajadzīgs, lai savā uzņēmējdarbībā (daļēji) pārņemtu citas iestādes sniegtos pakalpojumus par saprātīgām izmaksām krīzes situācijā. Uzrāda aplēsto aizstāšanas laiku veidnē norādītajos intervālos:</w:t>
            </w:r>
          </w:p>
          <w:p w14:paraId="7FE1BD97" w14:textId="77777777" w:rsidR="00952395" w:rsidRDefault="0083775C">
            <w:pPr>
              <w:pStyle w:val="P68B1DB1-Normal31"/>
            </w:pPr>
            <w:r>
              <w:t xml:space="preserve">Intervāli: </w:t>
            </w:r>
          </w:p>
          <w:p w14:paraId="7FE1BD98" w14:textId="077A9BD3" w:rsidR="00952395" w:rsidRDefault="0083775C">
            <w:pPr>
              <w:pStyle w:val="P68B1DB1-ListParagraph32"/>
              <w:numPr>
                <w:ilvl w:val="0"/>
                <w:numId w:val="287"/>
              </w:numPr>
            </w:pPr>
            <w:r>
              <w:t xml:space="preserve">≤ 1 diena; </w:t>
            </w:r>
          </w:p>
          <w:p w14:paraId="7FE1BD99" w14:textId="07CCFE77" w:rsidR="00952395" w:rsidRDefault="0083775C">
            <w:pPr>
              <w:pStyle w:val="P68B1DB1-ListParagraph32"/>
              <w:numPr>
                <w:ilvl w:val="0"/>
                <w:numId w:val="287"/>
              </w:numPr>
            </w:pPr>
            <w:r>
              <w:t xml:space="preserve">1 diena-1 nedēļa </w:t>
            </w:r>
          </w:p>
          <w:p w14:paraId="7FE1BD9A" w14:textId="47AC6C88" w:rsidR="00952395" w:rsidRDefault="0083775C">
            <w:pPr>
              <w:pStyle w:val="P68B1DB1-ListParagraph32"/>
              <w:numPr>
                <w:ilvl w:val="0"/>
                <w:numId w:val="287"/>
              </w:numPr>
            </w:pPr>
            <w:r>
              <w:t xml:space="preserve">&gt; 1 nedēļa- 1 mēnesis; </w:t>
            </w:r>
          </w:p>
          <w:p w14:paraId="7FE1BD9B" w14:textId="3CEE3934" w:rsidR="00952395" w:rsidRDefault="0083775C">
            <w:pPr>
              <w:pStyle w:val="P68B1DB1-ListParagraph32"/>
              <w:numPr>
                <w:ilvl w:val="0"/>
                <w:numId w:val="287"/>
              </w:numPr>
              <w:rPr>
                <w:color w:val="000000" w:themeColor="text1"/>
              </w:rPr>
            </w:pPr>
            <w:r>
              <w:t>&gt; 1 mēnesis</w:t>
            </w:r>
          </w:p>
        </w:tc>
      </w:tr>
      <w:tr w:rsidR="00952395"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952395" w:rsidRDefault="0083775C">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952395" w:rsidRDefault="0083775C">
            <w:pPr>
              <w:pStyle w:val="P68B1DB1-Normal42"/>
              <w:rPr>
                <w:bCs/>
              </w:rPr>
            </w:pPr>
            <w:r>
              <w:t>Aizvietošanas spēja</w:t>
            </w:r>
          </w:p>
        </w:tc>
      </w:tr>
      <w:tr w:rsidR="00952395"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952395" w:rsidRDefault="0083775C">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952395" w:rsidRDefault="0083775C">
            <w:pPr>
              <w:pStyle w:val="P68B1DB1-Normal42"/>
              <w:rPr>
                <w:bCs/>
              </w:rPr>
            </w:pPr>
            <w:r>
              <w:t>Juridiskie šķēršļi ienākšanai tirgū vai paplašināšanai</w:t>
            </w:r>
          </w:p>
          <w:p w14:paraId="7FE1BDA2" w14:textId="77777777" w:rsidR="00952395" w:rsidRDefault="00952395">
            <w:pPr>
              <w:rPr>
                <w:rFonts w:ascii="Times New Roman" w:eastAsiaTheme="minorHAnsi" w:hAnsi="Times New Roman" w:cs="Times New Roman"/>
                <w:color w:val="000000" w:themeColor="text1"/>
                <w:sz w:val="20"/>
                <w:szCs w:val="20"/>
              </w:rPr>
            </w:pPr>
          </w:p>
          <w:p w14:paraId="7FE1BDA3" w14:textId="77777777" w:rsidR="00952395" w:rsidRDefault="0083775C">
            <w:pPr>
              <w:pStyle w:val="P68B1DB1-Normal43"/>
            </w:pPr>
            <w:r>
              <w:t xml:space="preserve">Juridiski šķēršļi, kas liedz konkurentiem piedāvāt pakalpojumu. Juridiskās prasības kredītiestāžu darbības veikšanai (piemēram, banku licences vai kapitāla prasības) nav uzskatāmas par nepārvaramiem šķēršļiem alternatīvu pakalpojumu sniedzēju klātbūtnē. Šis rādītājs jāuzrāda kopās, kas ir vienādas katrai apakšfunkcijai: </w:t>
            </w:r>
          </w:p>
          <w:p w14:paraId="7FE1BDA4" w14:textId="5F64D555" w:rsidR="00952395" w:rsidRDefault="0083775C">
            <w:pPr>
              <w:pStyle w:val="P68B1DB1-ListParagraph39"/>
              <w:numPr>
                <w:ilvl w:val="0"/>
                <w:numId w:val="275"/>
              </w:numPr>
              <w:jc w:val="both"/>
            </w:pPr>
            <w:r>
              <w:t xml:space="preserve">nav būtisku šķēršļu, </w:t>
            </w:r>
          </w:p>
          <w:p w14:paraId="7FE1BDA5" w14:textId="09B8D427" w:rsidR="00952395" w:rsidRDefault="0083775C">
            <w:pPr>
              <w:pStyle w:val="P68B1DB1-ListParagraph39"/>
              <w:numPr>
                <w:ilvl w:val="0"/>
                <w:numId w:val="275"/>
              </w:numPr>
              <w:jc w:val="both"/>
            </w:pPr>
            <w:r>
              <w:t xml:space="preserve">daži šķēršļi, </w:t>
            </w:r>
          </w:p>
          <w:p w14:paraId="7FE1BDA6" w14:textId="14CFE055" w:rsidR="00952395" w:rsidRDefault="0083775C">
            <w:pPr>
              <w:pStyle w:val="P68B1DB1-ListParagraph39"/>
              <w:numPr>
                <w:ilvl w:val="0"/>
                <w:numId w:val="275"/>
              </w:numPr>
              <w:jc w:val="both"/>
            </w:pPr>
            <w:r>
              <w:t xml:space="preserve">būtiski (bet nepārvarami) šķēršļi, </w:t>
            </w:r>
          </w:p>
          <w:p w14:paraId="7FE1BDA8" w14:textId="2895BA0A" w:rsidR="00952395" w:rsidRDefault="0083775C">
            <w:pPr>
              <w:pStyle w:val="P68B1DB1-ListParagraph8"/>
              <w:numPr>
                <w:ilvl w:val="0"/>
                <w:numId w:val="275"/>
              </w:numPr>
              <w:jc w:val="both"/>
              <w:rPr>
                <w:rFonts w:eastAsiaTheme="minorHAnsi"/>
              </w:rPr>
            </w:pPr>
            <w:r>
              <w:t>kritiski (sarežģīti pārvarami) šķēršļi.</w:t>
            </w:r>
          </w:p>
        </w:tc>
      </w:tr>
      <w:tr w:rsidR="00952395"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952395" w:rsidRDefault="0083775C">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952395" w:rsidRDefault="0083775C">
            <w:pPr>
              <w:pStyle w:val="P68B1DB1-Normal42"/>
              <w:rPr>
                <w:bCs/>
              </w:rPr>
            </w:pPr>
            <w:r>
              <w:t>Ekspluatācijas prasības ieiešanai tirgū vai paplašināšanai</w:t>
            </w:r>
          </w:p>
          <w:p w14:paraId="7FE1BDAC" w14:textId="77777777" w:rsidR="00952395" w:rsidRDefault="00952395">
            <w:pPr>
              <w:rPr>
                <w:rFonts w:ascii="Times New Roman" w:eastAsiaTheme="minorHAnsi" w:hAnsi="Times New Roman" w:cs="Times New Roman"/>
                <w:color w:val="000000" w:themeColor="text1"/>
                <w:sz w:val="20"/>
                <w:szCs w:val="20"/>
              </w:rPr>
            </w:pPr>
          </w:p>
          <w:p w14:paraId="7FE1BDAD" w14:textId="130EC7BC" w:rsidR="00952395" w:rsidRDefault="0083775C">
            <w:pPr>
              <w:pStyle w:val="P68B1DB1-Normal43"/>
            </w:pPr>
            <w:r>
              <w:t xml:space="preserve">Organizatoriskās, tehniskās un infrastruktūras prasības konkurentiem, lai piedāvātu pakalpojumu. Lai piedāvātu pakalpojumus, kas saistīti ar (apakš)funkciju, pakalpojumu sniedzējiem ir jāiegulda (jaunā vai papildu) infrastruktūrā vai jāmaina savas organizācijas. Novērtēt tirgus spēju absorbēt konkrēto uzņēmējdarbību, piemēram, kapitāla prasību ziņā. </w:t>
            </w:r>
          </w:p>
          <w:p w14:paraId="7FE1BDAE" w14:textId="77777777" w:rsidR="00952395" w:rsidRDefault="0083775C">
            <w:pPr>
              <w:pStyle w:val="P68B1DB1-Normal43"/>
            </w:pPr>
            <w:r>
              <w:t xml:space="preserve">Šis rādītājs jāuzrāda kopās, kas ir vienādas katrai apakšfunkcijai: </w:t>
            </w:r>
          </w:p>
          <w:p w14:paraId="7FE1BDAF" w14:textId="39113051" w:rsidR="00952395" w:rsidRDefault="0083775C">
            <w:pPr>
              <w:pStyle w:val="P68B1DB1-ListParagraph38"/>
              <w:numPr>
                <w:ilvl w:val="0"/>
                <w:numId w:val="278"/>
              </w:numPr>
              <w:jc w:val="both"/>
            </w:pPr>
            <w:r>
              <w:t xml:space="preserve">nav būtisku prasību, </w:t>
            </w:r>
          </w:p>
          <w:p w14:paraId="7FE1BDB0" w14:textId="63777608" w:rsidR="00952395" w:rsidRDefault="0083775C">
            <w:pPr>
              <w:pStyle w:val="P68B1DB1-ListParagraph38"/>
              <w:numPr>
                <w:ilvl w:val="0"/>
                <w:numId w:val="278"/>
              </w:numPr>
              <w:jc w:val="both"/>
            </w:pPr>
            <w:r>
              <w:t xml:space="preserve">dažas prasības, </w:t>
            </w:r>
          </w:p>
          <w:p w14:paraId="7FE1BDB1" w14:textId="78F7EC3E" w:rsidR="00952395" w:rsidRDefault="0083775C">
            <w:pPr>
              <w:pStyle w:val="P68B1DB1-ListParagraph38"/>
              <w:numPr>
                <w:ilvl w:val="0"/>
                <w:numId w:val="278"/>
              </w:numPr>
              <w:jc w:val="both"/>
            </w:pPr>
            <w:r>
              <w:lastRenderedPageBreak/>
              <w:t xml:space="preserve">būtiskas (bet nepārvaramas) prasības, </w:t>
            </w:r>
          </w:p>
          <w:p w14:paraId="7FE1BDB2" w14:textId="5A2EF079" w:rsidR="00952395" w:rsidRDefault="0083775C">
            <w:pPr>
              <w:pStyle w:val="P68B1DB1-ListParagraph38"/>
              <w:numPr>
                <w:ilvl w:val="0"/>
                <w:numId w:val="278"/>
              </w:numPr>
              <w:jc w:val="both"/>
            </w:pPr>
            <w:r>
              <w:t>kritiskas (sarežģītas) prasības.</w:t>
            </w:r>
          </w:p>
          <w:p w14:paraId="7FE1BDB3" w14:textId="77777777" w:rsidR="00952395" w:rsidRDefault="00952395">
            <w:pPr>
              <w:rPr>
                <w:rFonts w:ascii="Times New Roman" w:eastAsiaTheme="minorHAnsi" w:hAnsi="Times New Roman" w:cs="Times New Roman"/>
                <w:color w:val="000000" w:themeColor="text1"/>
                <w:sz w:val="20"/>
                <w:szCs w:val="20"/>
              </w:rPr>
            </w:pPr>
          </w:p>
        </w:tc>
      </w:tr>
      <w:tr w:rsidR="00952395"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952395" w:rsidRDefault="0083775C">
            <w:pPr>
              <w:pStyle w:val="P68B1DB1-TableParagraph17"/>
              <w:spacing w:before="108"/>
              <w:ind w:left="85"/>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952395" w:rsidRDefault="0083775C">
            <w:pPr>
              <w:pStyle w:val="P68B1DB1-Normal42"/>
              <w:rPr>
                <w:bCs/>
              </w:rPr>
            </w:pPr>
            <w:r>
              <w:t>Kritiskā svarīguma novērtējums</w:t>
            </w:r>
          </w:p>
        </w:tc>
      </w:tr>
      <w:tr w:rsidR="00952395"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952395" w:rsidRDefault="0083775C">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952395" w:rsidRDefault="0083775C">
            <w:pPr>
              <w:pStyle w:val="P68B1DB1-Normal42"/>
              <w:rPr>
                <w:bCs/>
              </w:rPr>
            </w:pPr>
            <w:r>
              <w:t xml:space="preserve">Ietekme uz tirgu </w:t>
            </w:r>
          </w:p>
          <w:p w14:paraId="7FE1BDBA" w14:textId="77777777" w:rsidR="00952395" w:rsidRDefault="0083775C">
            <w:pPr>
              <w:pStyle w:val="P68B1DB1-Normal43"/>
            </w:pPr>
            <w:r>
              <w:t>Aplēstā ietekme, ko funkcijas pēkšņa pārtraukšana radītu uz trešajām personām, finanšu tirgiem un reālo ekonomiku, ņemot vērā apmēru, tirgus daļu valstī, ārējās un iekšējās savstarpējās saiknes, sarežģītību un iestādes pārrobežu darbības.</w:t>
            </w:r>
          </w:p>
          <w:p w14:paraId="7FE1BDBB" w14:textId="26AC665D" w:rsidR="00952395" w:rsidRDefault="0083775C">
            <w:pPr>
              <w:pStyle w:val="P68B1DB1-Normal43"/>
            </w:pPr>
            <w:r>
              <w:t>Šo novērtējumu kvalitatīvi izsaka kā “augstu”, “vidēji augstu”, “vidēji zemu” vai “zemu”.</w:t>
            </w:r>
          </w:p>
          <w:p w14:paraId="7FE1BDBC" w14:textId="64D10370" w:rsidR="00952395" w:rsidRDefault="0083775C">
            <w:pPr>
              <w:pStyle w:val="P68B1DB1-Normal43"/>
            </w:pPr>
            <w:r>
              <w:t>“Augsta” norāda tad, ja pārtraukšanai ir būtiska ietekme uz valsts tirgu; “VA” — ja ietekme ir ievērojama; “VZ” — ja ietekme ir vērā ņemama, taču ierobežota; un “Zems” — ja ietekme ir zema.</w:t>
            </w:r>
          </w:p>
        </w:tc>
      </w:tr>
      <w:tr w:rsidR="00952395"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952395" w:rsidRDefault="0083775C">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952395" w:rsidRDefault="0083775C">
            <w:pPr>
              <w:pStyle w:val="P68B1DB1-Normal42"/>
              <w:rPr>
                <w:bCs/>
              </w:rPr>
            </w:pPr>
            <w:r>
              <w:t>Aizstājamība</w:t>
            </w:r>
          </w:p>
          <w:p w14:paraId="7FE1BDC0" w14:textId="77777777" w:rsidR="00952395" w:rsidRDefault="0083775C">
            <w:pPr>
              <w:pStyle w:val="P68B1DB1-Normal43"/>
            </w:pPr>
            <w:r>
              <w:t>Deleģētās regulas (ES) 2016/778 6. panta 3. punkts.</w:t>
            </w:r>
          </w:p>
          <w:p w14:paraId="7FE1BDC1" w14:textId="77777777" w:rsidR="00952395" w:rsidRDefault="0083775C">
            <w:pPr>
              <w:pStyle w:val="P68B1DB1-Normal43"/>
            </w:pPr>
            <w:r>
              <w:t>Funkciju uzskata par aizstājamu, ja to var aizstāt pieņemamā veidā un samērīgā laika posmā, tādējādi novēršot sistēmiskas problēmas reālajā ekonomikā un finanšu tirgos. Ņem vērā:</w:t>
            </w:r>
          </w:p>
          <w:p w14:paraId="7FE1BDC2" w14:textId="77777777" w:rsidR="00952395" w:rsidRDefault="0083775C">
            <w:pPr>
              <w:pStyle w:val="P68B1DB1-Normal43"/>
            </w:pPr>
            <w:r>
              <w:t xml:space="preserve">(a) tirgus struktūru attiecīgajai funkcijai un aizstājējfunkcijas nodrošinātāju pieejamību; </w:t>
            </w:r>
          </w:p>
          <w:p w14:paraId="7FE1BDC3" w14:textId="77777777" w:rsidR="00952395" w:rsidRDefault="0083775C">
            <w:pPr>
              <w:pStyle w:val="P68B1DB1-Normal43"/>
            </w:pPr>
            <w:r>
              <w:t xml:space="preserve">(b) citu pakalpojumu sniedzēju spējas attiecībā uz kapacitāti, funkcijas veikšanas prasības un iespējamos tirgū ienākšanas vai paplašināšanās šķēršļus; </w:t>
            </w:r>
          </w:p>
          <w:p w14:paraId="7FE1BDC4" w14:textId="77777777" w:rsidR="00952395" w:rsidRDefault="0083775C">
            <w:pPr>
              <w:pStyle w:val="P68B1DB1-Normal43"/>
            </w:pPr>
            <w:r>
              <w:t xml:space="preserve">(c) citu pakalpojumu sniedzēju stimulu uzņemties šādu darbību veikšanu; </w:t>
            </w:r>
          </w:p>
          <w:p w14:paraId="7FE1BDC5" w14:textId="77777777" w:rsidR="00952395" w:rsidRDefault="0083775C">
            <w:pPr>
              <w:pStyle w:val="P68B1DB1-Normal43"/>
            </w:pPr>
            <w:r>
              <w:t>(d) laiku, kas pakalpojuma lietotājiem nepieciešams, lai pārietu pie jaunā pakalpojumu sniedzēja, un šādas darbības izmaksas, laiku, kas citiem konkurentiem nepieciešams, lai pārņemtu konkrētās funkcijas, un tas, vai ir pietiekami daudz laika, lai novērstu būtisku darbības pārtraukšanu atkarībā no pakalpojuma veida.</w:t>
            </w:r>
          </w:p>
          <w:p w14:paraId="7FE1BDC6" w14:textId="024DAF4C" w:rsidR="00952395" w:rsidRDefault="0083775C">
            <w:pPr>
              <w:pStyle w:val="P68B1DB1-Normal3"/>
            </w:pPr>
            <w:r>
              <w:t xml:space="preserve">Sniedz vispārēju novērtējumu par katras funkcijas paredzamo aizstājamības pakāpi, ņemot vērā iepriekš novērtētās dažādās dimensijas (tirgus daļu, tirgus koncentrāciju, aizstāšanas laiku, juridiskos šķēršļus un darbības prasības ienākšanai tirgū vai paplašināšanai). Šo novērtējumu kvalitatīvi izsaka kā “augstu”, “vidēji augstu”, “vidēji zemu” vai “zemu”. </w:t>
            </w:r>
          </w:p>
          <w:p w14:paraId="07F40115" w14:textId="77777777" w:rsidR="00952395" w:rsidRDefault="00952395">
            <w:pPr>
              <w:rPr>
                <w:rFonts w:ascii="Times New Roman" w:eastAsiaTheme="minorHAnsi" w:hAnsi="Times New Roman" w:cs="Times New Roman"/>
                <w:color w:val="000000" w:themeColor="text1"/>
                <w:sz w:val="20"/>
                <w:szCs w:val="20"/>
              </w:rPr>
            </w:pPr>
          </w:p>
          <w:p w14:paraId="7FE1BDC7" w14:textId="704E53DC" w:rsidR="00952395" w:rsidRDefault="0083775C">
            <w:pPr>
              <w:pStyle w:val="P68B1DB1-Normal43"/>
            </w:pPr>
            <w:r>
              <w:t>“A” norāda, ja cita banka var viegli nodrošināt funkciju ar salīdzināmiem nosacījumiem un samērīgā laika posmā;</w:t>
            </w:r>
          </w:p>
          <w:p w14:paraId="7FE1BDC8" w14:textId="794A9FE4" w:rsidR="00952395" w:rsidRDefault="0083775C">
            <w:pPr>
              <w:pStyle w:val="P68B1DB1-Normal43"/>
            </w:pPr>
            <w:r>
              <w:t xml:space="preserve">“Z” — ja funkciju nevar vienkārši vai ātri aizstāt; </w:t>
            </w:r>
          </w:p>
          <w:p w14:paraId="7FE1BDC9" w14:textId="02A9D6A2" w:rsidR="00952395" w:rsidRDefault="0083775C">
            <w:pPr>
              <w:pStyle w:val="P68B1DB1-Normal43"/>
            </w:pPr>
            <w:r>
              <w:t>“VA” un “VZ” — pārējos gadījumos, ņemot vērā dažādus aspektus (piem., tirgus daļu, tirgus koncentrāciju, laiku aizstāšanai, kā arī juridiskos šķēršļus un darbības prasības ienākšanai vai izvēršanai).</w:t>
            </w:r>
          </w:p>
        </w:tc>
      </w:tr>
      <w:tr w:rsidR="00952395"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952395" w:rsidRDefault="0083775C">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952395" w:rsidRDefault="0083775C">
            <w:pPr>
              <w:pStyle w:val="P68B1DB1-Normal42"/>
              <w:rPr>
                <w:bCs/>
              </w:rPr>
            </w:pPr>
            <w:r>
              <w:t>Kritiski svarīga funkcija</w:t>
            </w:r>
          </w:p>
          <w:p w14:paraId="7FE1BDCD" w14:textId="77777777" w:rsidR="00952395" w:rsidRDefault="0083775C">
            <w:pPr>
              <w:pStyle w:val="P68B1DB1-Normal43"/>
            </w:pPr>
            <w:r>
              <w:t>Šajā slejā norāda, vai, ņemot vērā ietekmes un aizstājamības analīzi, ko veicis iestāde, ekonomiskā funkcija tiek uzskatīta par kritiski svarīgu attiecīgās valsts tirgū.</w:t>
            </w:r>
          </w:p>
          <w:p w14:paraId="7FE1BDCE" w14:textId="77777777" w:rsidR="00952395" w:rsidRDefault="0083775C">
            <w:pPr>
              <w:pStyle w:val="P68B1DB1-Normal43"/>
            </w:pPr>
            <w:r>
              <w:t>Norādīt “Jā” vai “Nē”.</w:t>
            </w:r>
          </w:p>
        </w:tc>
      </w:tr>
      <w:tr w:rsidR="00952395"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952395" w:rsidRDefault="0083775C">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952395" w:rsidRDefault="0083775C">
            <w:pPr>
              <w:pStyle w:val="P68B1DB1-Normal42"/>
              <w:rPr>
                <w:bCs/>
              </w:rPr>
            </w:pPr>
            <w:r>
              <w:t>Grupas komentāri</w:t>
            </w:r>
          </w:p>
          <w:p w14:paraId="7FE1BDD2" w14:textId="77777777" w:rsidR="00952395" w:rsidRDefault="0083775C">
            <w:pPr>
              <w:pStyle w:val="P68B1DB1-Normal43"/>
            </w:pPr>
            <w:r>
              <w:t>Šis lauks ļauj pārskatu sniedzošajai vienībai paskaidrot visus pieņēmumus, kas izmantoti, lai novērtētu paziņotās(-o) funkcijas(-u) kritiskumu.</w:t>
            </w:r>
          </w:p>
        </w:tc>
      </w:tr>
    </w:tbl>
    <w:p w14:paraId="7FE1BDD4" w14:textId="77777777" w:rsidR="00952395" w:rsidRDefault="00952395">
      <w:pPr>
        <w:rPr>
          <w:rFonts w:ascii="Times New Roman" w:hAnsi="Times New Roman" w:cs="Times New Roman"/>
          <w:color w:val="000000" w:themeColor="text1"/>
          <w:sz w:val="20"/>
          <w:szCs w:val="20"/>
        </w:rPr>
      </w:pPr>
    </w:p>
    <w:p w14:paraId="7FE1BFB4" w14:textId="77777777" w:rsidR="00952395" w:rsidRDefault="00952395">
      <w:pPr>
        <w:rPr>
          <w:rFonts w:ascii="Times New Roman" w:hAnsi="Times New Roman" w:cs="Times New Roman"/>
        </w:rPr>
      </w:pPr>
    </w:p>
    <w:p w14:paraId="7FE1BFB5" w14:textId="432A2FAA" w:rsidR="00952395" w:rsidRDefault="0083775C">
      <w:pPr>
        <w:pStyle w:val="P68B1DB1-Instructionsberschrift25"/>
        <w:numPr>
          <w:ilvl w:val="1"/>
          <w:numId w:val="49"/>
        </w:numPr>
        <w:ind w:left="357" w:hanging="357"/>
      </w:pPr>
      <w:bookmarkStart w:id="122" w:name="_Toc208244960"/>
      <w:r>
        <w:t>Z 07.02 — ekonomiski svarīgu funkciju sasaistīšana pēc juridiskajām personām (FUNC 2)</w:t>
      </w:r>
      <w:bookmarkEnd w:id="122"/>
      <w:r>
        <w:t xml:space="preserve"> </w:t>
      </w:r>
    </w:p>
    <w:p w14:paraId="7FE1BFB6" w14:textId="77777777" w:rsidR="00952395" w:rsidRDefault="0083775C">
      <w:pPr>
        <w:pStyle w:val="P68B1DB1-Instructionsberschrift312"/>
        <w:rPr>
          <w:color w:val="auto"/>
        </w:rPr>
      </w:pPr>
      <w:r>
        <w:t>Norādījumi</w:t>
      </w:r>
      <w:r>
        <w:rPr>
          <w:color w:val="auto"/>
        </w:rPr>
        <w:t xml:space="preserve"> attiecībā uz konkrētām pozīcijām</w:t>
      </w:r>
    </w:p>
    <w:p w14:paraId="7FE1BFB7" w14:textId="7A5F9014" w:rsidR="00952395" w:rsidRDefault="0083775C">
      <w:pPr>
        <w:pStyle w:val="P68B1DB1-InstructionsText26"/>
        <w:numPr>
          <w:ilvl w:val="0"/>
          <w:numId w:val="232"/>
        </w:numPr>
        <w:spacing w:before="0"/>
      </w:pPr>
      <w:r>
        <w:t>Šo veidni uzrāda par visu grupu, ņemot vērā ekonomiskās funkcijas, ko grupa nodrošina ekonomikai.</w:t>
      </w:r>
    </w:p>
    <w:p w14:paraId="7FE1BFB8" w14:textId="77777777" w:rsidR="00952395" w:rsidRDefault="0083775C">
      <w:pPr>
        <w:pStyle w:val="P68B1DB1-InstructionsText26"/>
        <w:numPr>
          <w:ilvl w:val="0"/>
          <w:numId w:val="232"/>
        </w:numPr>
        <w:spacing w:before="0"/>
      </w:pPr>
      <w:r>
        <w:lastRenderedPageBreak/>
        <w:t>Šīs veidnes slejās 0010., 0020. un 0040. slejā norādīto vērtību kombinācija veido primāru atslēgu, kurai jābūt unikālai katrā veidnes rindā.</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52395"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952395" w:rsidRDefault="0083775C">
            <w:pPr>
              <w:pStyle w:val="P68B1DB1-TableParagraph17"/>
              <w:spacing w:before="108"/>
              <w:ind w:left="85"/>
              <w:jc w:val="both"/>
            </w:pPr>
            <w:r>
              <w:t>Slejas</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952395" w:rsidRDefault="0083775C">
            <w:pPr>
              <w:pStyle w:val="P68B1DB1-TableParagraph17"/>
              <w:spacing w:before="108"/>
              <w:ind w:left="85" w:right="1"/>
              <w:jc w:val="both"/>
            </w:pPr>
            <w:r>
              <w:t>Norādījumi</w:t>
            </w:r>
          </w:p>
        </w:tc>
      </w:tr>
      <w:tr w:rsidR="00952395"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952395" w:rsidRDefault="0083775C">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952395" w:rsidRDefault="0083775C">
            <w:pPr>
              <w:pStyle w:val="P68B1DB1-TableParagraph14"/>
              <w:spacing w:before="108"/>
              <w:ind w:left="85"/>
              <w:jc w:val="both"/>
              <w:rPr>
                <w:bCs/>
              </w:rPr>
            </w:pPr>
            <w:r>
              <w:t>Ekonomiskā funkcija</w:t>
            </w:r>
          </w:p>
        </w:tc>
      </w:tr>
      <w:tr w:rsidR="00952395"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952395" w:rsidRDefault="0083775C">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952395" w:rsidRDefault="0083775C">
            <w:pPr>
              <w:pStyle w:val="P68B1DB1-TableParagraph14"/>
              <w:spacing w:before="108"/>
              <w:ind w:left="85"/>
              <w:jc w:val="both"/>
              <w:rPr>
                <w:bCs/>
              </w:rPr>
            </w:pPr>
            <w:r>
              <w:t>Valsts</w:t>
            </w:r>
          </w:p>
          <w:p w14:paraId="7FE1BFC1" w14:textId="235DC4B1" w:rsidR="00952395" w:rsidRDefault="0083775C">
            <w:pPr>
              <w:pStyle w:val="P68B1DB1-TableParagraph17"/>
              <w:spacing w:before="108"/>
              <w:ind w:left="85"/>
            </w:pPr>
            <w:r>
              <w:t>Valsts, kurai tiek nodrošināta ekonomiskā funkcija</w:t>
            </w:r>
          </w:p>
        </w:tc>
      </w:tr>
      <w:tr w:rsidR="00952395"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952395" w:rsidRDefault="0083775C">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952395" w:rsidRDefault="0083775C">
            <w:pPr>
              <w:pStyle w:val="P68B1DB1-TableParagraph14"/>
              <w:spacing w:before="108"/>
              <w:ind w:left="85"/>
              <w:jc w:val="both"/>
              <w:rPr>
                <w:bCs/>
              </w:rPr>
            </w:pPr>
            <w:r>
              <w:t>IDENTIFIKĀCIJAS NUMURS</w:t>
            </w:r>
          </w:p>
          <w:p w14:paraId="7FE1BFC5" w14:textId="05F6B42D" w:rsidR="00952395" w:rsidRDefault="0083775C">
            <w:pPr>
              <w:pStyle w:val="P68B1DB1-TableParagraph17"/>
              <w:spacing w:before="108"/>
              <w:ind w:left="85"/>
            </w:pPr>
            <w:r>
              <w:t>Ekonomisko funkciju ID (kā minēts veidnē Z 07.01 (FUNC 1) kritiski svarīgu funkciju gadījumā).</w:t>
            </w:r>
          </w:p>
        </w:tc>
      </w:tr>
      <w:tr w:rsidR="00952395"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952395" w:rsidRDefault="0083775C">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952395" w:rsidRDefault="0083775C">
            <w:pPr>
              <w:pStyle w:val="P68B1DB1-TableParagraph14"/>
              <w:spacing w:before="108"/>
              <w:ind w:left="85"/>
              <w:jc w:val="both"/>
              <w:rPr>
                <w:bCs/>
              </w:rPr>
            </w:pPr>
            <w:r>
              <w:t>Dzimšanas datums</w:t>
            </w:r>
          </w:p>
        </w:tc>
      </w:tr>
      <w:tr w:rsidR="00952395"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952395" w:rsidRDefault="0083775C">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952395" w:rsidRDefault="0083775C">
            <w:pPr>
              <w:pStyle w:val="P68B1DB1-TableParagraph14"/>
              <w:spacing w:before="108"/>
              <w:ind w:left="85"/>
              <w:jc w:val="both"/>
              <w:rPr>
                <w:bCs/>
              </w:rPr>
            </w:pPr>
            <w:r>
              <w:t>Vienības nosaukums</w:t>
            </w:r>
          </w:p>
          <w:p w14:paraId="7FE1BFCD" w14:textId="375A6177" w:rsidR="00952395" w:rsidRDefault="0083775C">
            <w:pPr>
              <w:pStyle w:val="P68B1DB1-TableParagraph17"/>
              <w:spacing w:before="108"/>
              <w:ind w:left="85"/>
            </w:pPr>
            <w:r>
              <w:t>Ekonomiski svarīgo funkciju veicošās vienības nosaukums, kā norādīts veidnē Z 01.01 (ORG 1).</w:t>
            </w:r>
          </w:p>
          <w:p w14:paraId="7FE1BFCE" w14:textId="2159DCA3" w:rsidR="00952395" w:rsidRDefault="0083775C">
            <w:pPr>
              <w:pStyle w:val="P68B1DB1-TableParagraph17"/>
              <w:spacing w:before="108"/>
              <w:ind w:left="85"/>
            </w:pPr>
            <w:r>
              <w:t>Ja vairākas vienības veic vienas un tās pašas ekonomiski svarīgās funkcijas vienā valstī, katru vienību norāda atsevišķā rindā.</w:t>
            </w:r>
          </w:p>
        </w:tc>
      </w:tr>
      <w:tr w:rsidR="00952395"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952395" w:rsidRDefault="0083775C">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952395" w:rsidRDefault="0083775C">
            <w:pPr>
              <w:pStyle w:val="P68B1DB1-TableParagraph14"/>
              <w:spacing w:before="108"/>
              <w:ind w:left="85"/>
              <w:jc w:val="both"/>
              <w:rPr>
                <w:bCs/>
              </w:rPr>
            </w:pPr>
            <w:r>
              <w:t>Kods</w:t>
            </w:r>
          </w:p>
          <w:p w14:paraId="7FE1BFD2" w14:textId="77777777" w:rsidR="00952395" w:rsidRDefault="0083775C">
            <w:pPr>
              <w:pStyle w:val="P68B1DB1-TableParagraph17"/>
              <w:spacing w:before="108"/>
              <w:ind w:left="85"/>
            </w:pPr>
            <w:r>
              <w:t>Juridiskās personas unikālais identifikators 0020. slejā, kā norādīts veidnē Z 01.01 (ORG 1).</w:t>
            </w:r>
          </w:p>
          <w:p w14:paraId="7FE1BFD3" w14:textId="0AEAE2F2" w:rsidR="00952395" w:rsidRDefault="0083775C">
            <w:pPr>
              <w:pStyle w:val="P68B1DB1-TableParagraph17"/>
              <w:spacing w:before="108"/>
              <w:ind w:left="85"/>
            </w:pPr>
            <w:r>
              <w:t>Vienību identifikāciju veic konsekventi visās veidnēs.</w:t>
            </w:r>
          </w:p>
        </w:tc>
      </w:tr>
      <w:tr w:rsidR="00952395"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952395" w:rsidRDefault="0083775C">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952395" w:rsidRDefault="0083775C">
            <w:pPr>
              <w:pStyle w:val="P68B1DB1-TableParagraph14"/>
              <w:spacing w:before="108"/>
              <w:ind w:left="85"/>
              <w:jc w:val="both"/>
              <w:rPr>
                <w:bCs/>
              </w:rPr>
            </w:pPr>
            <w:r>
              <w:t>Koda veids</w:t>
            </w:r>
          </w:p>
          <w:p w14:paraId="29A7EF10" w14:textId="77777777" w:rsidR="00952395" w:rsidRDefault="0083775C">
            <w:pPr>
              <w:pStyle w:val="P68B1DB1-TableParagraph13"/>
              <w:spacing w:before="108"/>
            </w:pPr>
            <w:r>
              <w:t>Jāizvēlas no šādām iespējām: “LEI kods”, “MFI kods” vai “Identifikatora veids, kas nav LEI vai MFI kods”.</w:t>
            </w:r>
          </w:p>
          <w:p w14:paraId="7FE1BFDA" w14:textId="77777777" w:rsidR="00952395" w:rsidRDefault="0083775C">
            <w:pPr>
              <w:pStyle w:val="P68B1DB1-TableParagraph13"/>
              <w:spacing w:before="108"/>
              <w:ind w:left="85"/>
              <w:jc w:val="both"/>
              <w:rPr>
                <w:b/>
                <w:bCs/>
              </w:rPr>
            </w:pPr>
            <w:r>
              <w:t>Vienību identifikāciju veic konsekventi visās veidnēs.</w:t>
            </w:r>
          </w:p>
        </w:tc>
      </w:tr>
      <w:tr w:rsidR="00952395"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952395" w:rsidRDefault="0083775C">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952395" w:rsidRDefault="0083775C">
            <w:pPr>
              <w:pStyle w:val="P68B1DB1-TableParagraph14"/>
              <w:spacing w:before="108"/>
              <w:ind w:left="85"/>
              <w:jc w:val="both"/>
              <w:rPr>
                <w:bCs/>
              </w:rPr>
            </w:pPr>
            <w:r>
              <w:t>Monetārā summa</w:t>
            </w:r>
          </w:p>
          <w:p w14:paraId="7FE1BFDE" w14:textId="1157FFA9" w:rsidR="00952395" w:rsidRDefault="0083775C">
            <w:pPr>
              <w:pStyle w:val="P68B1DB1-TableParagraph17"/>
              <w:spacing w:before="108"/>
              <w:ind w:left="85"/>
            </w:pPr>
            <w:r>
              <w:t>Iemaksa monetārā summā, ko juridiskā persona veic monetārajā summā, kā norādīts veidnes Z 07.01 (FUNC 1):</w:t>
            </w:r>
          </w:p>
          <w:p w14:paraId="7FE1BFDF" w14:textId="77777777" w:rsidR="00952395" w:rsidRDefault="0083775C">
            <w:pPr>
              <w:pStyle w:val="P68B1DB1-TableParagraph17"/>
              <w:numPr>
                <w:ilvl w:val="0"/>
                <w:numId w:val="64"/>
              </w:numPr>
              <w:spacing w:before="108"/>
            </w:pPr>
            <w:r>
              <w:t>Noguldījumi — kontu vērtība</w:t>
            </w:r>
          </w:p>
          <w:p w14:paraId="7FE1BFE0" w14:textId="77777777" w:rsidR="00952395" w:rsidRDefault="0083775C">
            <w:pPr>
              <w:pStyle w:val="P68B1DB1-TableParagraph17"/>
              <w:numPr>
                <w:ilvl w:val="0"/>
                <w:numId w:val="64"/>
              </w:numPr>
              <w:spacing w:before="108"/>
            </w:pPr>
            <w:r>
              <w:t>Aizdevumi — Neizmaksātā vērtība</w:t>
            </w:r>
          </w:p>
          <w:p w14:paraId="7FE1BFE1" w14:textId="77777777" w:rsidR="00952395" w:rsidRDefault="0083775C">
            <w:pPr>
              <w:pStyle w:val="P68B1DB1-TableParagraph17"/>
              <w:numPr>
                <w:ilvl w:val="0"/>
                <w:numId w:val="64"/>
              </w:numPr>
              <w:spacing w:before="108"/>
            </w:pPr>
            <w:r>
              <w:t>Maksājumi — darījumu/atvērto pozīciju/glabāšanā esošo aktīvu vērtība (attiecīgā gadījumā)</w:t>
            </w:r>
          </w:p>
          <w:p w14:paraId="7FE1BFE2" w14:textId="77777777" w:rsidR="00952395" w:rsidRDefault="0083775C">
            <w:pPr>
              <w:pStyle w:val="P68B1DB1-TableParagraph17"/>
              <w:numPr>
                <w:ilvl w:val="0"/>
                <w:numId w:val="64"/>
              </w:numPr>
              <w:spacing w:before="108"/>
            </w:pPr>
            <w:r>
              <w:t>Kapitāla tirgi — nosacītā summa/uzskaites summa/maksājuma ienākumi (attiecīgā gadījumā)</w:t>
            </w:r>
          </w:p>
          <w:p w14:paraId="7FE1BFE3" w14:textId="77777777" w:rsidR="00952395" w:rsidRDefault="0083775C">
            <w:pPr>
              <w:pStyle w:val="P68B1DB1-TableParagraph17"/>
              <w:numPr>
                <w:ilvl w:val="0"/>
                <w:numId w:val="64"/>
              </w:numPr>
              <w:spacing w:before="108"/>
            </w:pPr>
            <w:r>
              <w:t>Vairumtirdzniecības finansējums — bruto uzskaites vērtība</w:t>
            </w:r>
          </w:p>
        </w:tc>
      </w:tr>
    </w:tbl>
    <w:p w14:paraId="7FE1BFE5" w14:textId="77777777" w:rsidR="00952395" w:rsidRDefault="00952395">
      <w:pPr>
        <w:rPr>
          <w:rFonts w:ascii="Times New Roman" w:hAnsi="Times New Roman" w:cs="Times New Roman"/>
          <w:color w:val="000000" w:themeColor="text1"/>
          <w:sz w:val="20"/>
          <w:szCs w:val="20"/>
        </w:rPr>
      </w:pPr>
    </w:p>
    <w:p w14:paraId="7FE1BFE6" w14:textId="30C6C61A" w:rsidR="00952395" w:rsidRDefault="0083775C">
      <w:pPr>
        <w:pStyle w:val="P68B1DB1-Instructionsberschrift25"/>
        <w:numPr>
          <w:ilvl w:val="1"/>
          <w:numId w:val="49"/>
        </w:numPr>
        <w:ind w:left="357" w:hanging="357"/>
      </w:pPr>
      <w:bookmarkStart w:id="123" w:name="_Toc208244961"/>
      <w:r>
        <w:t>Z 07.03 — pamatdarbības virzienu sasaistīšana ar juridiskajām personām (FUNC 3)</w:t>
      </w:r>
      <w:bookmarkEnd w:id="123"/>
    </w:p>
    <w:p w14:paraId="7FE1BFE7" w14:textId="2A9EA2DA" w:rsidR="00952395" w:rsidRDefault="0083775C">
      <w:pPr>
        <w:pStyle w:val="P68B1DB1-Instructionsberschrift312"/>
        <w:rPr>
          <w:bCs/>
        </w:rPr>
      </w:pPr>
      <w:r>
        <w:t>Norādījumi attiecībā uz konkrētām pozīcijām</w:t>
      </w:r>
    </w:p>
    <w:p w14:paraId="7FE1BFE8" w14:textId="22DA3D65" w:rsidR="00952395" w:rsidRDefault="0083775C">
      <w:pPr>
        <w:pStyle w:val="P68B1DB1-InstructionsText26"/>
        <w:numPr>
          <w:ilvl w:val="0"/>
          <w:numId w:val="232"/>
        </w:numPr>
        <w:spacing w:before="0"/>
      </w:pPr>
      <w:r>
        <w:t>Šīs veidnes 0020. un 0050. slejā norādīto vērtību kombinācija veido primāru atslēgu, kurai jābūt unikālai katrā veidnes rindā.</w:t>
      </w:r>
    </w:p>
    <w:p w14:paraId="7FE1BFE9" w14:textId="29720803" w:rsidR="00952395" w:rsidRDefault="0083775C">
      <w:pPr>
        <w:pStyle w:val="P68B1DB1-InstructionsText26"/>
        <w:numPr>
          <w:ilvl w:val="0"/>
          <w:numId w:val="232"/>
        </w:numPr>
        <w:spacing w:before="0"/>
      </w:pPr>
      <w:r>
        <w:t xml:space="preserve">Veidnē uzrāda tikai attiecīgās juridiskās personas biznesa līnijas.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52395"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952395" w:rsidRDefault="0083775C">
            <w:pPr>
              <w:pStyle w:val="P68B1DB1-TableParagraph17"/>
              <w:spacing w:before="108"/>
              <w:ind w:left="85"/>
              <w:jc w:val="both"/>
            </w:pPr>
            <w:r>
              <w:lastRenderedPageBreak/>
              <w:t>Slejas</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952395" w:rsidRDefault="0083775C">
            <w:pPr>
              <w:pStyle w:val="P68B1DB1-TableParagraph17"/>
              <w:spacing w:before="108"/>
              <w:ind w:left="85" w:right="1"/>
              <w:jc w:val="both"/>
            </w:pPr>
            <w:r>
              <w:t>Norādījumi</w:t>
            </w:r>
          </w:p>
        </w:tc>
      </w:tr>
      <w:tr w:rsidR="00952395"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952395" w:rsidRDefault="0083775C">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952395" w:rsidRDefault="0083775C">
            <w:pPr>
              <w:pStyle w:val="P68B1DB1-TableParagraph14"/>
              <w:spacing w:before="108"/>
              <w:ind w:left="85"/>
              <w:jc w:val="both"/>
              <w:rPr>
                <w:bCs/>
              </w:rPr>
            </w:pPr>
            <w:r>
              <w:t>Pamatdarbības virziens</w:t>
            </w:r>
          </w:p>
        </w:tc>
      </w:tr>
      <w:tr w:rsidR="00952395"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952395" w:rsidRDefault="0083775C">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952395" w:rsidRDefault="0083775C">
            <w:pPr>
              <w:pStyle w:val="P68B1DB1-TableParagraph14"/>
              <w:spacing w:before="108"/>
              <w:ind w:left="85"/>
              <w:jc w:val="both"/>
              <w:rPr>
                <w:bCs/>
              </w:rPr>
            </w:pPr>
            <w:r>
              <w:t>Pamatdarbības virziens</w:t>
            </w:r>
          </w:p>
          <w:p w14:paraId="7FE1BFF2" w14:textId="65133358" w:rsidR="00952395" w:rsidRDefault="0083775C">
            <w:pPr>
              <w:pStyle w:val="P68B1DB1-TableParagraph17"/>
              <w:spacing w:before="108"/>
              <w:ind w:left="85"/>
            </w:pPr>
            <w:r>
              <w:t>Pamatdarbības virziens (galvenā darbības joma) Direktīvas 2014/59/ES 2. panta 1. punkta 36. apakšpunkta un 2. panta 2. punkta izpratnē.</w:t>
            </w:r>
          </w:p>
          <w:p w14:paraId="7FE1BFF3" w14:textId="77777777" w:rsidR="00952395" w:rsidRDefault="0083775C">
            <w:pPr>
              <w:pStyle w:val="P68B1DB1-TableParagraph17"/>
              <w:spacing w:before="108"/>
              <w:ind w:left="85"/>
            </w:pPr>
            <w:r>
              <w:t>Galvenā darbības joma ir viena no turpmāk uzskaitītajām darbības jomām.</w:t>
            </w:r>
          </w:p>
          <w:p w14:paraId="7FE1BFF4" w14:textId="77777777" w:rsidR="00952395" w:rsidRDefault="0083775C">
            <w:pPr>
              <w:pStyle w:val="P68B1DB1-TableParagraph17"/>
              <w:numPr>
                <w:ilvl w:val="0"/>
                <w:numId w:val="139"/>
              </w:numPr>
              <w:spacing w:before="108"/>
              <w:rPr>
                <w:rFonts w:eastAsiaTheme="minorEastAsia"/>
              </w:rPr>
            </w:pPr>
            <w:r>
              <w:t xml:space="preserve">Patēriņa banku pakalpojumi </w:t>
            </w:r>
          </w:p>
          <w:p w14:paraId="7FE1BFF5" w14:textId="77777777" w:rsidR="00952395" w:rsidRDefault="0083775C">
            <w:pPr>
              <w:pStyle w:val="P68B1DB1-TableParagraph17"/>
              <w:numPr>
                <w:ilvl w:val="0"/>
                <w:numId w:val="139"/>
              </w:numPr>
              <w:spacing w:before="108"/>
            </w:pPr>
            <w:r>
              <w:t>Korporatīvie bankas pakalpojumi</w:t>
            </w:r>
          </w:p>
          <w:p w14:paraId="7FE1BFF6" w14:textId="77777777" w:rsidR="00952395" w:rsidRDefault="0083775C">
            <w:pPr>
              <w:pStyle w:val="P68B1DB1-TableParagraph17"/>
              <w:numPr>
                <w:ilvl w:val="0"/>
                <w:numId w:val="139"/>
              </w:numPr>
              <w:spacing w:before="108"/>
            </w:pPr>
            <w:r>
              <w:t xml:space="preserve">Investīciju bankas </w:t>
            </w:r>
          </w:p>
          <w:p w14:paraId="7FE1BFF7" w14:textId="77777777" w:rsidR="00952395" w:rsidRDefault="0083775C">
            <w:pPr>
              <w:pStyle w:val="P68B1DB1-TableParagraph17"/>
              <w:numPr>
                <w:ilvl w:val="0"/>
                <w:numId w:val="139"/>
              </w:numPr>
              <w:spacing w:before="108"/>
            </w:pPr>
            <w:r>
              <w:t>Apdrošināšana</w:t>
            </w:r>
          </w:p>
          <w:p w14:paraId="7FE1BFF8" w14:textId="77777777" w:rsidR="00952395" w:rsidRDefault="0083775C">
            <w:pPr>
              <w:pStyle w:val="P68B1DB1-TableParagraph17"/>
              <w:numPr>
                <w:ilvl w:val="0"/>
                <w:numId w:val="139"/>
              </w:numPr>
              <w:spacing w:before="108"/>
            </w:pPr>
            <w:r>
              <w:t>Pārapdrošināšana</w:t>
            </w:r>
          </w:p>
          <w:p w14:paraId="7FE1BFF9" w14:textId="77777777" w:rsidR="00952395" w:rsidRDefault="0083775C">
            <w:pPr>
              <w:pStyle w:val="P68B1DB1-TableParagraph17"/>
              <w:numPr>
                <w:ilvl w:val="0"/>
                <w:numId w:val="139"/>
              </w:numPr>
              <w:spacing w:before="108"/>
            </w:pPr>
            <w:r>
              <w:t>Starpniecības pakalpojumi privātpersonām vai MVU</w:t>
            </w:r>
          </w:p>
          <w:p w14:paraId="7FE1BFFA" w14:textId="77777777" w:rsidR="00952395" w:rsidRDefault="0083775C">
            <w:pPr>
              <w:pStyle w:val="P68B1DB1-TableParagraph17"/>
              <w:numPr>
                <w:ilvl w:val="0"/>
                <w:numId w:val="139"/>
              </w:numPr>
              <w:spacing w:before="108"/>
            </w:pPr>
            <w:r>
              <w:t xml:space="preserve">Bagātības pārvaldība </w:t>
            </w:r>
          </w:p>
          <w:p w14:paraId="7FE1BFFB" w14:textId="77777777" w:rsidR="00952395" w:rsidRDefault="0083775C">
            <w:pPr>
              <w:pStyle w:val="P68B1DB1-TableParagraph17"/>
              <w:numPr>
                <w:ilvl w:val="0"/>
                <w:numId w:val="139"/>
              </w:numPr>
              <w:spacing w:before="108"/>
            </w:pPr>
            <w:r>
              <w:t>Nekustamo īpašumu aģentūra</w:t>
            </w:r>
          </w:p>
          <w:p w14:paraId="7FE1BFFC" w14:textId="77777777" w:rsidR="00952395" w:rsidRDefault="0083775C">
            <w:pPr>
              <w:pStyle w:val="P68B1DB1-TableParagraph17"/>
              <w:numPr>
                <w:ilvl w:val="0"/>
                <w:numId w:val="139"/>
              </w:numPr>
              <w:spacing w:before="108"/>
            </w:pPr>
            <w:r>
              <w:t xml:space="preserve">Uzskaite </w:t>
            </w:r>
          </w:p>
          <w:p w14:paraId="7FE1BFFD" w14:textId="77777777" w:rsidR="00952395" w:rsidRDefault="0083775C">
            <w:pPr>
              <w:pStyle w:val="P68B1DB1-TableParagraph17"/>
              <w:numPr>
                <w:ilvl w:val="0"/>
                <w:numId w:val="139"/>
              </w:numPr>
              <w:spacing w:before="108"/>
            </w:pPr>
            <w:r>
              <w:t>Cits</w:t>
            </w:r>
          </w:p>
          <w:p w14:paraId="7FE1BFFE" w14:textId="77777777" w:rsidR="00952395" w:rsidRDefault="00952395">
            <w:pPr>
              <w:pStyle w:val="TableParagraph"/>
              <w:spacing w:before="108"/>
              <w:ind w:left="85"/>
              <w:rPr>
                <w:rFonts w:ascii="Times New Roman" w:eastAsia="Cambria" w:hAnsi="Times New Roman" w:cs="Times New Roman"/>
                <w:color w:val="000000" w:themeColor="text1"/>
                <w:sz w:val="20"/>
                <w:szCs w:val="20"/>
              </w:rPr>
            </w:pPr>
          </w:p>
        </w:tc>
      </w:tr>
      <w:tr w:rsidR="00952395"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952395" w:rsidRDefault="0083775C">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952395" w:rsidRDefault="0083775C">
            <w:pPr>
              <w:pStyle w:val="P68B1DB1-TableParagraph14"/>
              <w:spacing w:before="108"/>
              <w:ind w:left="85"/>
              <w:jc w:val="both"/>
              <w:rPr>
                <w:bCs/>
              </w:rPr>
            </w:pPr>
            <w:r>
              <w:t>Darbības jomas ID</w:t>
            </w:r>
          </w:p>
          <w:p w14:paraId="7FE1C002" w14:textId="77777777" w:rsidR="00952395" w:rsidRDefault="0083775C">
            <w:pPr>
              <w:pStyle w:val="P68B1DB1-TableParagraph17"/>
              <w:spacing w:before="108"/>
              <w:ind w:left="85"/>
            </w:pPr>
            <w:r>
              <w:t>Unikālais darbības jomas ID, ko izsniedz iestāde.</w:t>
            </w:r>
          </w:p>
        </w:tc>
      </w:tr>
      <w:tr w:rsidR="00952395"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952395" w:rsidRDefault="0083775C">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952395" w:rsidRDefault="0083775C">
            <w:pPr>
              <w:pStyle w:val="P68B1DB1-TableParagraph14"/>
              <w:spacing w:before="108"/>
              <w:ind w:left="85"/>
              <w:jc w:val="both"/>
              <w:rPr>
                <w:bCs/>
              </w:rPr>
            </w:pPr>
            <w:r>
              <w:t>Apraksts</w:t>
            </w:r>
          </w:p>
          <w:p w14:paraId="7FE1C015" w14:textId="477A2340" w:rsidR="00952395" w:rsidRDefault="0083775C">
            <w:pPr>
              <w:pStyle w:val="P68B1DB1-TableParagraph17"/>
              <w:spacing w:before="108"/>
              <w:ind w:left="85"/>
            </w:pPr>
            <w:r>
              <w:t>Darbības jomas apraksts.</w:t>
            </w:r>
          </w:p>
        </w:tc>
      </w:tr>
      <w:tr w:rsidR="00952395"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952395" w:rsidRDefault="0083775C">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952395" w:rsidRDefault="0083775C">
            <w:pPr>
              <w:pStyle w:val="P68B1DB1-TableParagraph14"/>
              <w:spacing w:before="108"/>
              <w:ind w:left="85"/>
              <w:jc w:val="both"/>
              <w:rPr>
                <w:bCs/>
              </w:rPr>
            </w:pPr>
            <w:r>
              <w:t>Vienības nosaukums</w:t>
            </w:r>
          </w:p>
          <w:p w14:paraId="7FE1C02D" w14:textId="45109CE8" w:rsidR="00952395" w:rsidRDefault="0083775C">
            <w:pPr>
              <w:pStyle w:val="P68B1DB1-TableParagraph17"/>
              <w:spacing w:before="108"/>
              <w:ind w:left="85"/>
            </w:pPr>
            <w:r>
              <w:t>Tās vienības nosaukums, kā norādīts veidnē Z 01.01 (1.ORG), kas nodrošina darbības jomu.</w:t>
            </w:r>
          </w:p>
        </w:tc>
      </w:tr>
      <w:tr w:rsidR="00952395"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952395" w:rsidRDefault="0083775C">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952395" w:rsidRDefault="0083775C">
            <w:pPr>
              <w:pStyle w:val="P68B1DB1-TableParagraph14"/>
              <w:spacing w:before="108"/>
              <w:ind w:left="85"/>
              <w:jc w:val="both"/>
              <w:rPr>
                <w:bCs/>
              </w:rPr>
            </w:pPr>
            <w:r>
              <w:t xml:space="preserve">Kods </w:t>
            </w:r>
          </w:p>
          <w:p w14:paraId="7FE1C031" w14:textId="77777777" w:rsidR="00952395" w:rsidRDefault="0083775C">
            <w:pPr>
              <w:pStyle w:val="P68B1DB1-TableParagraph17"/>
              <w:spacing w:before="108"/>
              <w:ind w:left="85"/>
            </w:pPr>
            <w:r>
              <w:t>Juridiskās personas unikālais identifikators 0020. slejā, kā norādīts veidnē Z 01.01 (ORG 1).</w:t>
            </w:r>
          </w:p>
          <w:p w14:paraId="7FE1C032" w14:textId="299C7D7B" w:rsidR="00952395" w:rsidRDefault="0083775C">
            <w:pPr>
              <w:pStyle w:val="P68B1DB1-TableParagraph17"/>
              <w:spacing w:before="108"/>
              <w:ind w:left="85"/>
            </w:pPr>
            <w:r>
              <w:t>Vienību identifikāciju veic konsekventi visās veidnēs.</w:t>
            </w:r>
          </w:p>
        </w:tc>
      </w:tr>
      <w:tr w:rsidR="00952395"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952395" w:rsidRDefault="0083775C">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952395" w:rsidRDefault="0083775C">
            <w:pPr>
              <w:pStyle w:val="P68B1DB1-TableParagraph14"/>
              <w:spacing w:before="108"/>
              <w:ind w:left="85"/>
              <w:jc w:val="both"/>
              <w:rPr>
                <w:bCs/>
              </w:rPr>
            </w:pPr>
            <w:r>
              <w:t>Koda veids</w:t>
            </w:r>
          </w:p>
          <w:p w14:paraId="4F36B5CB" w14:textId="0A20F8AD" w:rsidR="00952395" w:rsidRDefault="0083775C">
            <w:pPr>
              <w:pStyle w:val="P68B1DB1-TableParagraph13"/>
              <w:spacing w:before="108"/>
              <w:ind w:left="85"/>
              <w:jc w:val="both"/>
              <w:rPr>
                <w:bCs/>
              </w:rPr>
            </w:pPr>
            <w:r>
              <w:t>Jāizvēlas no šādām iespējām: “LEI kods”, “MFI kods” vai “Identifikatora veids, kas nav LEI vai MFI kods”.</w:t>
            </w:r>
          </w:p>
          <w:p w14:paraId="7FE1C039" w14:textId="5BB46896" w:rsidR="00952395" w:rsidRDefault="0083775C">
            <w:pPr>
              <w:pStyle w:val="P68B1DB1-TableParagraph13"/>
              <w:spacing w:before="108"/>
              <w:ind w:left="85"/>
              <w:jc w:val="both"/>
              <w:rPr>
                <w:b/>
                <w:bCs/>
              </w:rPr>
            </w:pPr>
            <w:r>
              <w:t xml:space="preserve">Vienību identifikāciju veic konsekventi visās veidnēs. </w:t>
            </w:r>
          </w:p>
        </w:tc>
      </w:tr>
    </w:tbl>
    <w:p w14:paraId="7FE1C03B" w14:textId="7E256DE6" w:rsidR="00952395" w:rsidRDefault="0083775C">
      <w:pPr>
        <w:pStyle w:val="P68B1DB1-Instructionsberschrift25"/>
        <w:numPr>
          <w:ilvl w:val="1"/>
          <w:numId w:val="49"/>
        </w:numPr>
        <w:ind w:left="357" w:hanging="357"/>
      </w:pPr>
      <w:bookmarkStart w:id="124" w:name="_Toc208244962"/>
      <w:r>
        <w:t>Z 07.04 — ekonomiski svarīgo funkciju sasaistīšana ar pamatdarbības virzieniem (FUNC 4)</w:t>
      </w:r>
      <w:bookmarkEnd w:id="124"/>
    </w:p>
    <w:p w14:paraId="7FE1C03C" w14:textId="77777777" w:rsidR="00952395" w:rsidRDefault="0083775C">
      <w:pPr>
        <w:pStyle w:val="P68B1DB1-Instructionsberschrift312"/>
        <w:rPr>
          <w:bCs/>
        </w:rPr>
      </w:pPr>
      <w:r>
        <w:t>Norādījumi attiecībā uz konkrētām pozīcijām</w:t>
      </w:r>
    </w:p>
    <w:p w14:paraId="7FE1C03E" w14:textId="1250AC76" w:rsidR="00952395" w:rsidRDefault="0083775C">
      <w:pPr>
        <w:pStyle w:val="P68B1DB1-InstructionsText26"/>
        <w:numPr>
          <w:ilvl w:val="0"/>
          <w:numId w:val="0"/>
        </w:numPr>
        <w:spacing w:before="0"/>
        <w:ind w:left="1800"/>
      </w:pPr>
      <w:r>
        <w:t>Šīs veidnes slejās 0010., 0020. un 0040. slejā norādīto vērtību kombinācija veido primāru atslēgu, kurai jābūt unikālai katrā veidnes rindā.</w:t>
      </w:r>
    </w:p>
    <w:p w14:paraId="67939923" w14:textId="5A2745A8" w:rsidR="00952395" w:rsidRDefault="0083775C">
      <w:pPr>
        <w:pStyle w:val="CommentText"/>
        <w:rPr>
          <w:rFonts w:ascii="Times New Roman" w:hAnsi="Times New Roman" w:cs="Times New Roman"/>
        </w:rPr>
      </w:pPr>
      <w:r>
        <w:rPr>
          <w:rFonts w:ascii="Times New Roman" w:hAnsi="Times New Roman" w:cs="Times New Roman"/>
        </w:rPr>
        <w:t>Tikai kritiski svarīgās funkcijas, kas noteiktas</w:t>
      </w:r>
      <w:r>
        <w:rPr>
          <w:i/>
        </w:rPr>
        <w:t xml:space="preserve"> Z 07.01.1 FUNC 1 DEP; c0170; Z 07.01.2 FUNC 1 LEN, c0180; Z 07.01.3 FUNC 1 PAY, c0250; Z 07.01.4 FUNC 1 CM, c0210; Šajā veidnē uzrāda Z 07.01.5 </w:t>
      </w:r>
      <w:r>
        <w:rPr>
          <w:rFonts w:ascii="Times New Roman" w:hAnsi="Times New Roman" w:cs="Times New Roman"/>
        </w:rPr>
        <w:t>FUNC 1 WF, c0180θ θ.</w:t>
      </w:r>
    </w:p>
    <w:p w14:paraId="7FE1C040" w14:textId="77777777" w:rsidR="00952395" w:rsidRDefault="00952395">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52395"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952395" w:rsidRDefault="0083775C">
            <w:pPr>
              <w:pStyle w:val="P68B1DB1-TableParagraph17"/>
              <w:spacing w:before="108"/>
              <w:ind w:left="85"/>
              <w:jc w:val="both"/>
            </w:pPr>
            <w:r>
              <w:lastRenderedPageBreak/>
              <w:t>Slejas</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952395" w:rsidRDefault="0083775C">
            <w:pPr>
              <w:pStyle w:val="P68B1DB1-TableParagraph17"/>
              <w:spacing w:before="108"/>
              <w:ind w:left="85" w:right="1"/>
              <w:jc w:val="both"/>
            </w:pPr>
            <w:r>
              <w:t>Norādījumi</w:t>
            </w:r>
          </w:p>
        </w:tc>
      </w:tr>
      <w:tr w:rsidR="00952395"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952395" w:rsidRDefault="0083775C">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952395" w:rsidRDefault="0083775C">
            <w:pPr>
              <w:pStyle w:val="P68B1DB1-TableParagraph14"/>
              <w:spacing w:before="108"/>
              <w:ind w:left="85"/>
              <w:jc w:val="both"/>
              <w:rPr>
                <w:bCs/>
              </w:rPr>
            </w:pPr>
            <w:r>
              <w:t xml:space="preserve"> Kritiski svarīga funkcija</w:t>
            </w:r>
          </w:p>
        </w:tc>
      </w:tr>
      <w:tr w:rsidR="00952395"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952395" w:rsidRDefault="0083775C">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952395" w:rsidRDefault="0083775C">
            <w:pPr>
              <w:pStyle w:val="P68B1DB1-TableParagraph14"/>
              <w:spacing w:before="108"/>
              <w:ind w:left="85"/>
              <w:jc w:val="both"/>
              <w:rPr>
                <w:bCs/>
              </w:rPr>
            </w:pPr>
            <w:r>
              <w:t>Valsts</w:t>
            </w:r>
          </w:p>
          <w:p w14:paraId="7FE1C049" w14:textId="77777777" w:rsidR="00952395" w:rsidRDefault="0083775C">
            <w:pPr>
              <w:pStyle w:val="P68B1DB1-TableParagraph17"/>
              <w:spacing w:before="108"/>
              <w:ind w:left="85"/>
            </w:pPr>
            <w:r>
              <w:t>Valsts, kurā funkcija ir būtiski svarīga, kā norādīts veidnē Z 07.01 (FUNC 1).</w:t>
            </w:r>
          </w:p>
        </w:tc>
      </w:tr>
      <w:tr w:rsidR="00952395"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952395" w:rsidRDefault="0083775C">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952395" w:rsidRDefault="0083775C">
            <w:pPr>
              <w:pStyle w:val="P68B1DB1-TableParagraph14"/>
              <w:spacing w:before="108"/>
              <w:ind w:left="85"/>
              <w:jc w:val="both"/>
              <w:rPr>
                <w:bCs/>
              </w:rPr>
            </w:pPr>
            <w:r>
              <w:t>IDENTIFIKĀCIJAS NUMURS</w:t>
            </w:r>
          </w:p>
          <w:p w14:paraId="7FE1C04D" w14:textId="4D9D2A77" w:rsidR="00952395" w:rsidRDefault="0083775C">
            <w:pPr>
              <w:pStyle w:val="P68B1DB1-TableParagraph17"/>
              <w:spacing w:before="108"/>
              <w:ind w:left="85"/>
            </w:pPr>
            <w:r>
              <w:t>Kritiski svarīgo funkciju ID, kā minēts veidnē Z 07.01 (FUNC 1)</w:t>
            </w:r>
          </w:p>
        </w:tc>
      </w:tr>
      <w:tr w:rsidR="00952395"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952395" w:rsidRDefault="0083775C">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952395" w:rsidRDefault="0083775C">
            <w:pPr>
              <w:pStyle w:val="P68B1DB1-TableParagraph14"/>
              <w:spacing w:before="108"/>
              <w:ind w:left="85"/>
              <w:jc w:val="both"/>
              <w:rPr>
                <w:bCs/>
              </w:rPr>
            </w:pPr>
            <w:r>
              <w:t>Pamatdarbības virziens</w:t>
            </w:r>
          </w:p>
        </w:tc>
      </w:tr>
      <w:tr w:rsidR="00952395"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952395" w:rsidRDefault="0083775C">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952395" w:rsidRDefault="0083775C">
            <w:pPr>
              <w:pStyle w:val="P68B1DB1-TableParagraph14"/>
              <w:spacing w:before="108"/>
              <w:ind w:left="85"/>
              <w:jc w:val="both"/>
              <w:rPr>
                <w:bCs/>
              </w:rPr>
            </w:pPr>
            <w:r>
              <w:t>Pamatdarbības virziens</w:t>
            </w:r>
          </w:p>
          <w:p w14:paraId="7FE1C056" w14:textId="77777777" w:rsidR="00952395" w:rsidRDefault="0083775C">
            <w:pPr>
              <w:pStyle w:val="P68B1DB1-TableParagraph17"/>
              <w:spacing w:before="108"/>
              <w:ind w:left="85"/>
            </w:pPr>
            <w:r>
              <w:t>Pamatdarbības virzieni (galvenās darbības jomas) Direktīvas 2014/59/ES 2. panta 1. punkta 36. apakšpunkta un 2. panta 2. punkta izpratnē, kā norādīts veidnē Z 07.03 (FUNC 3).</w:t>
            </w:r>
          </w:p>
        </w:tc>
      </w:tr>
      <w:tr w:rsidR="00952395"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952395" w:rsidRDefault="0083775C">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952395" w:rsidRDefault="0083775C">
            <w:pPr>
              <w:pStyle w:val="P68B1DB1-TableParagraph14"/>
              <w:spacing w:before="108"/>
              <w:ind w:left="85"/>
              <w:jc w:val="both"/>
              <w:rPr>
                <w:bCs/>
              </w:rPr>
            </w:pPr>
            <w:r>
              <w:t>Darbības joma: Darbības jomas ID</w:t>
            </w:r>
          </w:p>
          <w:p w14:paraId="7FE1C05A" w14:textId="77777777" w:rsidR="00952395" w:rsidRDefault="0083775C">
            <w:pPr>
              <w:pStyle w:val="P68B1DB1-TableParagraph17"/>
              <w:spacing w:before="108"/>
              <w:ind w:left="85"/>
            </w:pPr>
            <w:r>
              <w:t>Unikālais darbības jomas ID, ko izsniedz iestāde; tāds pats ID, kā norādīts veidnē Z 07.03 (FUNC 3)</w:t>
            </w:r>
          </w:p>
        </w:tc>
      </w:tr>
    </w:tbl>
    <w:p w14:paraId="7FE1C222" w14:textId="77777777" w:rsidR="00952395" w:rsidRDefault="00952395">
      <w:pPr>
        <w:rPr>
          <w:rFonts w:ascii="Times New Roman" w:hAnsi="Times New Roman" w:cs="Times New Roman"/>
          <w:b/>
          <w:color w:val="000000" w:themeColor="text1"/>
          <w:sz w:val="20"/>
          <w:szCs w:val="20"/>
          <w:u w:val="single"/>
        </w:rPr>
      </w:pPr>
    </w:p>
    <w:p w14:paraId="7FE1C223" w14:textId="77777777" w:rsidR="00952395" w:rsidRDefault="0083775C">
      <w:pPr>
        <w:pStyle w:val="P68B1DB1-Instructionsberschrift244"/>
        <w:numPr>
          <w:ilvl w:val="1"/>
          <w:numId w:val="49"/>
        </w:numPr>
        <w:ind w:left="357" w:hanging="357"/>
      </w:pPr>
      <w:bookmarkStart w:id="125" w:name="_Toc208244963"/>
      <w:r>
        <w:t>Attiecīgie pakalpojumi</w:t>
      </w:r>
      <w:bookmarkEnd w:id="125"/>
    </w:p>
    <w:p w14:paraId="7FE1C224" w14:textId="70045BAA" w:rsidR="00952395" w:rsidRDefault="0083775C">
      <w:pPr>
        <w:pStyle w:val="P68B1DB1-Instructionsberschrift25"/>
        <w:numPr>
          <w:ilvl w:val="1"/>
          <w:numId w:val="49"/>
        </w:numPr>
        <w:ind w:left="357" w:hanging="357"/>
        <w:rPr>
          <w:rFonts w:eastAsia="Calibri"/>
        </w:rPr>
      </w:pPr>
      <w:bookmarkStart w:id="126" w:name="_Toc208244964"/>
      <w:r>
        <w:t>Z 08.01 — svarīgi pakalpojumi (SERV 1)</w:t>
      </w:r>
      <w:bookmarkEnd w:id="126"/>
      <w:r>
        <w:t xml:space="preserve"> </w:t>
      </w:r>
    </w:p>
    <w:p w14:paraId="7FE1C225" w14:textId="77777777" w:rsidR="00952395" w:rsidRDefault="0083775C">
      <w:pPr>
        <w:pStyle w:val="P68B1DB1-Normal45"/>
        <w:spacing w:line="276" w:lineRule="auto"/>
        <w:jc w:val="both"/>
      </w:pPr>
      <w:r>
        <w:t>II.8.1. Vispārīgi norādījumi</w:t>
      </w:r>
    </w:p>
    <w:p w14:paraId="7FE1C226" w14:textId="77777777" w:rsidR="00952395" w:rsidRDefault="00952395">
      <w:pPr>
        <w:spacing w:line="276" w:lineRule="auto"/>
        <w:jc w:val="both"/>
        <w:rPr>
          <w:rFonts w:ascii="Times New Roman" w:eastAsia="Calibri" w:hAnsi="Times New Roman" w:cs="Times New Roman"/>
          <w:sz w:val="20"/>
        </w:rPr>
      </w:pPr>
    </w:p>
    <w:p w14:paraId="7FE1C228" w14:textId="765604DB" w:rsidR="00952395" w:rsidRDefault="0083775C">
      <w:pPr>
        <w:pStyle w:val="P68B1DB1-Instructionsberschrift346"/>
        <w:numPr>
          <w:ilvl w:val="4"/>
          <w:numId w:val="49"/>
        </w:numPr>
        <w:ind w:left="928"/>
        <w:contextualSpacing/>
        <w:jc w:val="both"/>
        <w:rPr>
          <w:color w:val="auto"/>
        </w:rPr>
      </w:pPr>
      <w:r>
        <w:t xml:space="preserve">Šajā veidnē </w:t>
      </w:r>
      <w:r>
        <w:rPr>
          <w:color w:val="auto"/>
        </w:rPr>
        <w:t xml:space="preserve">prasīto informāciju norāda vienu reizi visai grupai, uzskaita kritiski svarīgos pakalpojumus, ko saņēmusi kāda vienība grupā, un sasaista tos ar grupas veiktajām </w:t>
      </w:r>
      <w:r>
        <w:t>kritiski svarīgajām funkcijām.</w:t>
      </w:r>
    </w:p>
    <w:p w14:paraId="7FE1C229" w14:textId="77777777" w:rsidR="00952395" w:rsidRDefault="0083775C">
      <w:pPr>
        <w:pStyle w:val="Instructionsberschrift3"/>
        <w:ind w:left="928"/>
        <w:contextualSpacing/>
        <w:jc w:val="both"/>
        <w:rPr>
          <w:rFonts w:eastAsia="MS Mincho"/>
          <w:color w:val="auto"/>
          <w:u w:val="none"/>
        </w:rPr>
      </w:pPr>
      <w:r>
        <w:rPr>
          <w:rFonts w:eastAsia="Calibri"/>
          <w:b/>
          <w:color w:val="auto"/>
          <w:u w:val="none"/>
        </w:rPr>
        <w:t>Attiecīgie pakalpojumi</w:t>
      </w:r>
      <w:r>
        <w:rPr>
          <w:rStyle w:val="FootnoteReference"/>
          <w:rFonts w:ascii="Times New Roman" w:eastAsia="Calibri" w:hAnsi="Times New Roman"/>
          <w:color w:val="auto"/>
          <w:sz w:val="20"/>
          <w:szCs w:val="20"/>
          <w:u w:val="none"/>
        </w:rPr>
        <w:footnoteReference w:id="22"/>
      </w:r>
      <w:r>
        <w:rPr>
          <w:rFonts w:eastAsia="Calibri"/>
          <w:color w:val="auto"/>
          <w:u w:val="none"/>
        </w:rPr>
        <w:t>: kritiskie pakalpojumi un pamatpakalpojumi</w:t>
      </w:r>
    </w:p>
    <w:p w14:paraId="7FE1C22A" w14:textId="77777777" w:rsidR="00952395" w:rsidRDefault="0083775C">
      <w:pPr>
        <w:pStyle w:val="P68B1DB1-Instructionsberschrift347"/>
        <w:ind w:left="928"/>
        <w:contextualSpacing/>
        <w:jc w:val="both"/>
        <w:rPr>
          <w:rFonts w:eastAsia="MS Mincho"/>
        </w:rPr>
      </w:pPr>
      <w:r>
        <w:rPr>
          <w:rFonts w:eastAsia="Calibri"/>
          <w:b/>
        </w:rPr>
        <w:t>Kritiski svarīgi pakalpojumi</w:t>
      </w:r>
      <w:r>
        <w:footnoteReference w:id="23"/>
      </w:r>
      <w:r>
        <w:t>: pakalpojumi, ko sniedz grupas uzņēmējdarbības vienībām vai vienībām, i) kuru pārtraukšana nopietni kavētu vai kavētu vienas vai vairāku kritiski svarīgu funkciju izpildi; un ii) tos nevar nodrošināt cits pakalpojumu sniedzējs saprātīgā termiņā salīdzināmā apmērā attiecībā uz to mērķi, kvalitāti un izmaksām.</w:t>
      </w:r>
    </w:p>
    <w:p w14:paraId="7FE1C22B" w14:textId="77777777" w:rsidR="00952395" w:rsidRDefault="0083775C">
      <w:pPr>
        <w:pStyle w:val="Instructionsberschrift3"/>
        <w:ind w:left="928"/>
        <w:contextualSpacing/>
        <w:jc w:val="both"/>
        <w:rPr>
          <w:rFonts w:eastAsia="MS Mincho"/>
          <w:color w:val="auto"/>
          <w:u w:val="none"/>
        </w:rPr>
      </w:pPr>
      <w:r>
        <w:rPr>
          <w:b/>
          <w:u w:val="none"/>
        </w:rPr>
        <w:t>Pamatpakalpojumi</w:t>
      </w:r>
      <w:r>
        <w:rPr>
          <w:u w:val="none"/>
        </w:rPr>
        <w:t>: Pakalpojumi, kas saistīti ar</w:t>
      </w:r>
      <w:r>
        <w:rPr>
          <w:u w:val="none"/>
        </w:rPr>
        <w:footnoteReference w:id="24"/>
      </w:r>
      <w:r>
        <w:rPr>
          <w:u w:val="none"/>
        </w:rPr>
        <w:t>galvenajām darbības jomām, kuru nepārtrauktība ir nepieciešama noregulējuma stratēģijas efektīvai īstenošanai un jebkādai no tās izrietošai pārstrukturēšanai, i) kuru pārtraukšana nopietni kavētu vai kavētu minēto galveno darbības jomu izpildi; un ii) tos nevar nodrošināt cits pakalpojumu sniedzējs saprātīgā termiņā salīdzināmā apmērā attiecībā uz to mērķi, kvalitāti un izmaksām.</w:t>
      </w:r>
      <w:r>
        <w:rPr>
          <w:rStyle w:val="FootnoteReference"/>
          <w:rFonts w:ascii="Times New Roman" w:eastAsia="Calibri" w:hAnsi="Times New Roman"/>
          <w:color w:val="auto"/>
          <w:sz w:val="20"/>
          <w:szCs w:val="20"/>
          <w:u w:val="none"/>
        </w:rPr>
        <w:footnoteReference w:id="25"/>
      </w:r>
    </w:p>
    <w:p w14:paraId="7FE1C22C" w14:textId="5D0544C9" w:rsidR="00952395" w:rsidRDefault="0083775C">
      <w:pPr>
        <w:pStyle w:val="P68B1DB1-Instructionsberschrift348"/>
        <w:numPr>
          <w:ilvl w:val="4"/>
          <w:numId w:val="49"/>
        </w:numPr>
        <w:ind w:left="928"/>
        <w:contextualSpacing/>
        <w:jc w:val="both"/>
        <w:rPr>
          <w:color w:val="auto"/>
        </w:rPr>
      </w:pPr>
      <w:r>
        <w:rPr>
          <w:color w:val="auto"/>
        </w:rPr>
        <w:t xml:space="preserve">Saskaņā ar Komisijas Deleģētās regulas (ES) 2016/778 8. apsvērumu, kas attiecas uz kritiski svarīgiem pakalpojumiem un ko pēc analoģijas piemēro, lai aptvertu iepriekš definētos pamatpakalpojumus, attiecīgie </w:t>
      </w:r>
      <w:r>
        <w:t xml:space="preserve">pakalpojumi ir pamatā esošās darbības, darbības un pakalpojumi, ko veic vienai </w:t>
      </w:r>
      <w:r>
        <w:lastRenderedPageBreak/>
        <w:t xml:space="preserve">(specializētie pakalpojumi) vai vairākām uzņēmējdarbības vienībām vai juridiskām vienībām (kopīgi pakalpojumi) grupas ietvaros, kas vajadzīgas, lai nodrošinātu vienu vai vairākas kritiski svarīgas funkcijas </w:t>
      </w:r>
      <w:r>
        <w:rPr>
          <w:color w:val="auto"/>
        </w:rPr>
        <w:t xml:space="preserve">vai galvenās darbības jomas. Attiecīgos </w:t>
      </w:r>
      <w:r>
        <w:t xml:space="preserve">pakalpojumus var </w:t>
      </w:r>
      <w:r>
        <w:rPr>
          <w:color w:val="auto"/>
        </w:rPr>
        <w:t>sniegt viena uzņēmējdarbības vienība tās pašas juridiskās personas citai uzņēmējdarbības vienībai (vienības iekšējais pakalpojums),</w:t>
      </w:r>
      <w:r>
        <w:t xml:space="preserve"> grupas vienības</w:t>
      </w:r>
      <w:r>
        <w:rPr>
          <w:color w:val="auto"/>
        </w:rPr>
        <w:t xml:space="preserve">(grupas </w:t>
      </w:r>
      <w:r>
        <w:t>iekšējais</w:t>
      </w:r>
      <w:r>
        <w:rPr>
          <w:color w:val="auto"/>
        </w:rPr>
        <w:t>pakal</w:t>
      </w:r>
      <w:r>
        <w:rPr>
          <w:color w:val="auto"/>
        </w:rPr>
        <w:t>pojums</w:t>
      </w:r>
      <w:r>
        <w:t>) vai ārpakalpojumu sniedzējs (ārējais pakalpojums).</w:t>
      </w:r>
    </w:p>
    <w:p w14:paraId="7FE1C22D" w14:textId="2E2CBD58" w:rsidR="00952395" w:rsidRDefault="0083775C">
      <w:pPr>
        <w:pStyle w:val="P68B1DB1-Instructionsberschrift310"/>
        <w:numPr>
          <w:ilvl w:val="4"/>
          <w:numId w:val="49"/>
        </w:numPr>
        <w:ind w:left="928"/>
        <w:contextualSpacing/>
        <w:jc w:val="both"/>
        <w:rPr>
          <w:rFonts w:eastAsia="MS Mincho"/>
          <w:color w:val="auto"/>
        </w:rPr>
      </w:pPr>
      <w:r>
        <w:rPr>
          <w:rFonts w:eastAsia="MS Mincho"/>
        </w:rPr>
        <w:t>Ne visi lauki attiecas uz visu veidu pakalpojumiem (uzsvērti turpmāk sniegtajās instrukcijās). Tādā gadījumā attiecīgajā ailē norāda “NAV PIEŅEMTS”.</w:t>
      </w:r>
      <w:r>
        <w:t xml:space="preserve"> </w:t>
      </w:r>
    </w:p>
    <w:p w14:paraId="7FE1C22E" w14:textId="0568A925" w:rsidR="00952395" w:rsidRDefault="0083775C">
      <w:pPr>
        <w:pStyle w:val="P68B1DB1-Instructionsberschrift346"/>
        <w:numPr>
          <w:ilvl w:val="4"/>
          <w:numId w:val="49"/>
        </w:numPr>
        <w:ind w:left="928"/>
        <w:contextualSpacing/>
        <w:jc w:val="both"/>
        <w:rPr>
          <w:color w:val="auto"/>
        </w:rPr>
      </w:pPr>
      <w:r>
        <w:t xml:space="preserve">Šīs veidnes 0010., </w:t>
      </w:r>
      <w:r>
        <w:rPr>
          <w:color w:val="auto"/>
        </w:rPr>
        <w:t>0020</w:t>
      </w:r>
      <w:r>
        <w:t xml:space="preserve">., </w:t>
      </w:r>
      <w:r>
        <w:rPr>
          <w:color w:val="auto"/>
        </w:rPr>
        <w:t>0040.,</w:t>
      </w:r>
      <w:r>
        <w:t xml:space="preserve"> </w:t>
      </w:r>
      <w:r>
        <w:rPr>
          <w:color w:val="auto"/>
        </w:rPr>
        <w:t>0060. un 0130.</w:t>
      </w:r>
      <w:r>
        <w:t xml:space="preserve"> slejā norādīto vērtību kombinācija veido primāru atslēgu, kurai jābūt unikālai katrā veidnes rindā.</w:t>
      </w:r>
    </w:p>
    <w:p w14:paraId="7FE1C22F" w14:textId="77777777" w:rsidR="00952395" w:rsidRDefault="00952395">
      <w:pPr>
        <w:pStyle w:val="Instructionsberschrift3"/>
        <w:numPr>
          <w:ilvl w:val="0"/>
          <w:numId w:val="0"/>
        </w:numPr>
        <w:ind w:left="720"/>
      </w:pPr>
    </w:p>
    <w:p w14:paraId="7FE1C230" w14:textId="77777777" w:rsidR="00952395" w:rsidRDefault="0083775C">
      <w:pPr>
        <w:pStyle w:val="P68B1DB1-Instructionsberschrift312"/>
        <w:rPr>
          <w:bCs/>
        </w:rPr>
      </w:pPr>
      <w:r>
        <w:t>Norādījumi attiecībā uz konkrētām pozīcijām</w:t>
      </w:r>
    </w:p>
    <w:p w14:paraId="7FE1C23F" w14:textId="77777777" w:rsidR="00952395" w:rsidRDefault="00952395">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952395" w14:paraId="7FE1C242" w14:textId="77777777">
        <w:trPr>
          <w:trHeight w:val="808"/>
          <w:tblHeader/>
        </w:trPr>
        <w:tc>
          <w:tcPr>
            <w:tcW w:w="1129" w:type="dxa"/>
            <w:shd w:val="clear" w:color="auto" w:fill="E7E6E6"/>
          </w:tcPr>
          <w:p w14:paraId="7FE1C240" w14:textId="77777777" w:rsidR="00952395" w:rsidRDefault="0083775C">
            <w:pPr>
              <w:pStyle w:val="P68B1DB1-Normal49"/>
              <w:spacing w:before="120" w:after="120" w:line="276" w:lineRule="auto"/>
            </w:pPr>
            <w:r>
              <w:t>Slejas</w:t>
            </w:r>
          </w:p>
        </w:tc>
        <w:tc>
          <w:tcPr>
            <w:tcW w:w="7938" w:type="dxa"/>
            <w:shd w:val="clear" w:color="auto" w:fill="E7E6E6"/>
          </w:tcPr>
          <w:p w14:paraId="7FE1C241" w14:textId="77777777" w:rsidR="00952395" w:rsidRDefault="0083775C">
            <w:pPr>
              <w:pStyle w:val="P68B1DB1-Normal49"/>
              <w:spacing w:before="120" w:after="120" w:line="276" w:lineRule="auto"/>
            </w:pPr>
            <w:r>
              <w:t>Norādījumi</w:t>
            </w:r>
          </w:p>
        </w:tc>
      </w:tr>
      <w:tr w:rsidR="00952395" w14:paraId="7FE1C247" w14:textId="77777777">
        <w:trPr>
          <w:trHeight w:val="450"/>
        </w:trPr>
        <w:tc>
          <w:tcPr>
            <w:tcW w:w="1129" w:type="dxa"/>
            <w:shd w:val="clear" w:color="auto" w:fill="FFFFFF" w:themeFill="background1"/>
          </w:tcPr>
          <w:p w14:paraId="7FE1C243" w14:textId="77777777" w:rsidR="00952395" w:rsidRDefault="0083775C">
            <w:pPr>
              <w:pStyle w:val="P68B1DB1-Normal50"/>
              <w:spacing w:before="120" w:after="120" w:line="276" w:lineRule="auto"/>
            </w:pPr>
            <w:r>
              <w:t>0005</w:t>
            </w:r>
          </w:p>
        </w:tc>
        <w:tc>
          <w:tcPr>
            <w:tcW w:w="7938" w:type="dxa"/>
            <w:shd w:val="clear" w:color="auto" w:fill="FFFFFF" w:themeFill="background1"/>
          </w:tcPr>
          <w:p w14:paraId="7FE1C244" w14:textId="77777777" w:rsidR="00952395" w:rsidRDefault="0083775C">
            <w:pPr>
              <w:pStyle w:val="P68B1DB1-Normal49"/>
              <w:spacing w:before="120" w:after="120" w:line="276" w:lineRule="auto"/>
              <w:rPr>
                <w:bCs/>
              </w:rPr>
            </w:pPr>
            <w:r>
              <w:t>Pakalpojuma identifikators</w:t>
            </w:r>
          </w:p>
          <w:p w14:paraId="7FE1C245" w14:textId="77777777" w:rsidR="00952395" w:rsidRDefault="0083775C">
            <w:pPr>
              <w:pStyle w:val="P68B1DB1-Normal50"/>
              <w:spacing w:before="120" w:after="120" w:line="276" w:lineRule="auto"/>
              <w:rPr>
                <w:iCs/>
              </w:rPr>
            </w:pPr>
            <w:r>
              <w:t>Pakalpojuma identifikators attiecas uz pakalpojumu, kas uzrādīts 0020. slejā.</w:t>
            </w:r>
          </w:p>
          <w:p w14:paraId="7FE1C246" w14:textId="77777777" w:rsidR="00952395" w:rsidRDefault="0083775C">
            <w:pPr>
              <w:pStyle w:val="P68B1DB1-Normal51"/>
              <w:spacing w:before="120" w:after="120" w:line="276" w:lineRule="auto"/>
            </w:pPr>
            <w:r>
              <w:t>Attēls vai teksts brīvā formā</w:t>
            </w:r>
          </w:p>
        </w:tc>
      </w:tr>
      <w:tr w:rsidR="00952395" w14:paraId="7FE1C28C" w14:textId="77777777">
        <w:trPr>
          <w:trHeight w:val="463"/>
        </w:trPr>
        <w:tc>
          <w:tcPr>
            <w:tcW w:w="1129" w:type="dxa"/>
            <w:shd w:val="clear" w:color="auto" w:fill="FFFFFF" w:themeFill="background1"/>
          </w:tcPr>
          <w:p w14:paraId="7FE1C248" w14:textId="77777777" w:rsidR="00952395" w:rsidRDefault="0083775C">
            <w:pPr>
              <w:pStyle w:val="P68B1DB1-Normal50"/>
              <w:spacing w:before="120" w:after="120" w:line="276" w:lineRule="auto"/>
            </w:pPr>
            <w:r>
              <w:t>0010</w:t>
            </w:r>
          </w:p>
        </w:tc>
        <w:tc>
          <w:tcPr>
            <w:tcW w:w="7938" w:type="dxa"/>
            <w:shd w:val="clear" w:color="auto" w:fill="FFFFFF" w:themeFill="background1"/>
          </w:tcPr>
          <w:p w14:paraId="7FE1C249" w14:textId="77777777" w:rsidR="00952395" w:rsidRDefault="0083775C">
            <w:pPr>
              <w:pStyle w:val="P68B1DB1-Normal49"/>
              <w:autoSpaceDE w:val="0"/>
              <w:autoSpaceDN w:val="0"/>
              <w:adjustRightInd w:val="0"/>
              <w:rPr>
                <w:rFonts w:eastAsia="MS Mincho"/>
                <w:bCs/>
              </w:rPr>
            </w:pPr>
            <w:r>
              <w:t>Pakalpojuma veids</w:t>
            </w:r>
          </w:p>
          <w:p w14:paraId="7FE1C24A" w14:textId="77777777" w:rsidR="00952395" w:rsidRDefault="0083775C">
            <w:pPr>
              <w:pStyle w:val="P68B1DB1-Normal52"/>
              <w:autoSpaceDE w:val="0"/>
              <w:autoSpaceDN w:val="0"/>
              <w:adjustRightInd w:val="0"/>
            </w:pPr>
            <w:r>
              <w:t xml:space="preserve">Pakalpojuma veids ir kāds no turpmāk minētajiem pakalpojumu veidiem. </w:t>
            </w:r>
          </w:p>
          <w:p w14:paraId="7FE1C24B" w14:textId="77777777" w:rsidR="00952395" w:rsidRDefault="0083775C">
            <w:pPr>
              <w:pStyle w:val="P68B1DB1-Normal50"/>
              <w:spacing w:before="120" w:after="120" w:line="276" w:lineRule="auto"/>
            </w:pPr>
            <w:r>
              <w:t xml:space="preserve">Ja iespējams, norāda apakškategoriju (divciparu identifikācija). Ja nekādas apakškategorijas nav vai neviena apakškategorija pienācīgi neraksturo iestādes sniegto pakalpojumu, norāda galveno kategoriju (viencipara identifikācija). </w:t>
            </w:r>
          </w:p>
          <w:p w14:paraId="5B37DFFD" w14:textId="2C2BBAE4" w:rsidR="00952395" w:rsidRDefault="0083775C">
            <w:pPr>
              <w:pStyle w:val="P68B1DB1-Normal52"/>
            </w:pPr>
            <w:r>
              <w:t xml:space="preserve">Cilvēkresursu atbalsts </w:t>
            </w:r>
          </w:p>
          <w:p w14:paraId="7DD533D5" w14:textId="73E47A6F" w:rsidR="00952395" w:rsidRDefault="0083775C">
            <w:pPr>
              <w:pStyle w:val="P68B1DB1-ListParagraph53"/>
              <w:numPr>
                <w:ilvl w:val="0"/>
                <w:numId w:val="288"/>
              </w:numPr>
              <w:autoSpaceDE w:val="0"/>
              <w:autoSpaceDN w:val="0"/>
              <w:adjustRightInd w:val="0"/>
              <w:ind w:left="1165"/>
            </w:pPr>
            <w:r>
              <w:t xml:space="preserve">personāla administrācija, tostarp līgumu un atalgojumu administrācija </w:t>
            </w:r>
          </w:p>
          <w:p w14:paraId="43AF548E" w14:textId="675245F6" w:rsidR="00952395" w:rsidRDefault="0083775C">
            <w:pPr>
              <w:pStyle w:val="P68B1DB1-ListParagraph53"/>
              <w:numPr>
                <w:ilvl w:val="0"/>
                <w:numId w:val="288"/>
              </w:numPr>
              <w:autoSpaceDE w:val="0"/>
              <w:autoSpaceDN w:val="0"/>
              <w:adjustRightInd w:val="0"/>
              <w:ind w:left="1165"/>
            </w:pPr>
            <w:r>
              <w:t>iekšējā saziņa</w:t>
            </w:r>
          </w:p>
          <w:p w14:paraId="7FE1C250" w14:textId="1F903A05" w:rsidR="00952395" w:rsidRDefault="0083775C">
            <w:pPr>
              <w:pStyle w:val="P68B1DB1-ListParagraph53"/>
              <w:numPr>
                <w:ilvl w:val="0"/>
                <w:numId w:val="288"/>
              </w:numPr>
              <w:autoSpaceDE w:val="0"/>
              <w:autoSpaceDN w:val="0"/>
              <w:adjustRightInd w:val="0"/>
              <w:ind w:left="1165"/>
            </w:pPr>
            <w:r>
              <w:t>cita veida cilvēkresursu atbalsta dienests</w:t>
            </w:r>
          </w:p>
          <w:p w14:paraId="7FE1C251" w14:textId="77777777" w:rsidR="00952395" w:rsidRDefault="00952395">
            <w:pPr>
              <w:autoSpaceDE w:val="0"/>
              <w:autoSpaceDN w:val="0"/>
              <w:adjustRightInd w:val="0"/>
              <w:ind w:left="708"/>
              <w:rPr>
                <w:rFonts w:ascii="Times New Roman" w:eastAsia="MS Mincho" w:hAnsi="Times New Roman" w:cs="Times New Roman"/>
                <w:sz w:val="20"/>
                <w:szCs w:val="20"/>
              </w:rPr>
            </w:pPr>
          </w:p>
          <w:p w14:paraId="7FE1C252" w14:textId="7A6979E5" w:rsidR="00952395" w:rsidRDefault="0083775C">
            <w:pPr>
              <w:pStyle w:val="P68B1DB1-Normal52"/>
              <w:autoSpaceDE w:val="0"/>
              <w:autoSpaceDN w:val="0"/>
              <w:adjustRightInd w:val="0"/>
            </w:pPr>
            <w:r>
              <w:t xml:space="preserve"> Informācijas tehnoloģijas </w:t>
            </w:r>
          </w:p>
          <w:p w14:paraId="7FE1C253" w14:textId="3B762F9E" w:rsidR="00952395" w:rsidRDefault="0083775C">
            <w:pPr>
              <w:pStyle w:val="P68B1DB1-ListParagraph53"/>
              <w:numPr>
                <w:ilvl w:val="1"/>
                <w:numId w:val="290"/>
              </w:numPr>
              <w:autoSpaceDE w:val="0"/>
              <w:autoSpaceDN w:val="0"/>
              <w:adjustRightInd w:val="0"/>
              <w:ind w:left="1449"/>
            </w:pPr>
            <w:r>
              <w:t xml:space="preserve">IT un komunikāciju aparatūra </w:t>
            </w:r>
          </w:p>
          <w:p w14:paraId="7FE1C254" w14:textId="400D89C1" w:rsidR="00952395" w:rsidRDefault="0083775C">
            <w:pPr>
              <w:pStyle w:val="P68B1DB1-ListParagraph53"/>
              <w:numPr>
                <w:ilvl w:val="1"/>
                <w:numId w:val="290"/>
              </w:numPr>
              <w:autoSpaceDE w:val="0"/>
              <w:autoSpaceDN w:val="0"/>
              <w:adjustRightInd w:val="0"/>
              <w:ind w:left="1449"/>
            </w:pPr>
            <w:r>
              <w:t xml:space="preserve">datu glabāšana un apstrāde </w:t>
            </w:r>
          </w:p>
          <w:p w14:paraId="7FE1C255" w14:textId="626A8448" w:rsidR="00952395" w:rsidRDefault="0083775C">
            <w:pPr>
              <w:pStyle w:val="P68B1DB1-ListParagraph53"/>
              <w:numPr>
                <w:ilvl w:val="1"/>
                <w:numId w:val="290"/>
              </w:numPr>
              <w:autoSpaceDE w:val="0"/>
              <w:autoSpaceDN w:val="0"/>
              <w:adjustRightInd w:val="0"/>
              <w:ind w:left="1449"/>
            </w:pPr>
            <w:r>
              <w:t xml:space="preserve">cita IT infrastruktūra, darbstacijas, telesakari, serveri, datu centri un saistītie pakalpojumi </w:t>
            </w:r>
          </w:p>
          <w:p w14:paraId="7FE1C256" w14:textId="2B61AFD3" w:rsidR="00952395" w:rsidRDefault="0083775C">
            <w:pPr>
              <w:pStyle w:val="P68B1DB1-ListParagraph53"/>
              <w:numPr>
                <w:ilvl w:val="1"/>
                <w:numId w:val="290"/>
              </w:numPr>
              <w:autoSpaceDE w:val="0"/>
              <w:autoSpaceDN w:val="0"/>
              <w:adjustRightInd w:val="0"/>
              <w:ind w:left="1449"/>
            </w:pPr>
            <w:r>
              <w:t xml:space="preserve">programmatūras licenču un lietojumprogrammatūras administrācija </w:t>
            </w:r>
          </w:p>
          <w:p w14:paraId="7FE1C257" w14:textId="5DA2FA2E" w:rsidR="00952395" w:rsidRDefault="0083775C">
            <w:pPr>
              <w:pStyle w:val="P68B1DB1-ListParagraph53"/>
              <w:numPr>
                <w:ilvl w:val="1"/>
                <w:numId w:val="290"/>
              </w:numPr>
              <w:autoSpaceDE w:val="0"/>
              <w:autoSpaceDN w:val="0"/>
              <w:adjustRightInd w:val="0"/>
              <w:ind w:left="1449"/>
            </w:pPr>
            <w:r>
              <w:t xml:space="preserve">piekļuve ārējiem pakalpojumu sniedzējiem, jo īpaši datu un infrastruktūras nodrošinātājiem </w:t>
            </w:r>
          </w:p>
          <w:p w14:paraId="7FE1C258" w14:textId="5064B052" w:rsidR="00952395" w:rsidRDefault="0083775C">
            <w:pPr>
              <w:pStyle w:val="P68B1DB1-ListParagraph53"/>
              <w:numPr>
                <w:ilvl w:val="1"/>
                <w:numId w:val="290"/>
              </w:numPr>
              <w:autoSpaceDE w:val="0"/>
              <w:autoSpaceDN w:val="0"/>
              <w:adjustRightInd w:val="0"/>
              <w:ind w:left="1449"/>
            </w:pPr>
            <w:r>
              <w:t xml:space="preserve">lietojumprogrammu uzturēšana, tostarp lietojumprogrammatūras uzturēšana un saistītās datu plūsmas </w:t>
            </w:r>
          </w:p>
          <w:p w14:paraId="7FE1C259" w14:textId="41CD0C0F" w:rsidR="00952395" w:rsidRDefault="0083775C">
            <w:pPr>
              <w:pStyle w:val="P68B1DB1-ListParagraph53"/>
              <w:numPr>
                <w:ilvl w:val="1"/>
                <w:numId w:val="290"/>
              </w:numPr>
              <w:autoSpaceDE w:val="0"/>
              <w:autoSpaceDN w:val="0"/>
              <w:adjustRightInd w:val="0"/>
              <w:ind w:left="1449"/>
            </w:pPr>
            <w:r>
              <w:t xml:space="preserve">pārskatu ģenerēšana, iekšējās informācijas plūsmas un datu bāzes </w:t>
            </w:r>
          </w:p>
          <w:p w14:paraId="7FE1C25A" w14:textId="72548638" w:rsidR="00952395" w:rsidRDefault="0083775C">
            <w:pPr>
              <w:pStyle w:val="P68B1DB1-ListParagraph53"/>
              <w:numPr>
                <w:ilvl w:val="1"/>
                <w:numId w:val="290"/>
              </w:numPr>
              <w:autoSpaceDE w:val="0"/>
              <w:autoSpaceDN w:val="0"/>
              <w:adjustRightInd w:val="0"/>
              <w:ind w:left="1449"/>
            </w:pPr>
            <w:r>
              <w:t xml:space="preserve">lietotāju atbalsts </w:t>
            </w:r>
          </w:p>
          <w:p w14:paraId="7FE1C25B" w14:textId="2FAE0C54" w:rsidR="00952395" w:rsidRDefault="0083775C">
            <w:pPr>
              <w:pStyle w:val="P68B1DB1-ListParagraph53"/>
              <w:numPr>
                <w:ilvl w:val="1"/>
                <w:numId w:val="290"/>
              </w:numPr>
              <w:autoSpaceDE w:val="0"/>
              <w:autoSpaceDN w:val="0"/>
              <w:adjustRightInd w:val="0"/>
              <w:ind w:left="1449"/>
            </w:pPr>
            <w:r>
              <w:t>atgūšanās no ārkārtas un katastrofu situācijām</w:t>
            </w:r>
          </w:p>
          <w:p w14:paraId="7FE1C25C" w14:textId="431BC144" w:rsidR="00952395" w:rsidRDefault="0083775C">
            <w:pPr>
              <w:pStyle w:val="P68B1DB1-ListParagraph53"/>
              <w:numPr>
                <w:ilvl w:val="1"/>
                <w:numId w:val="290"/>
              </w:numPr>
              <w:autoSpaceDE w:val="0"/>
              <w:autoSpaceDN w:val="0"/>
              <w:adjustRightInd w:val="0"/>
              <w:ind w:left="1449"/>
            </w:pPr>
            <w:r>
              <w:t>Citi informācijas tehnoloģiju pakalpojumi</w:t>
            </w:r>
          </w:p>
          <w:p w14:paraId="7FE1C25D" w14:textId="77777777" w:rsidR="00952395" w:rsidRDefault="00952395">
            <w:pPr>
              <w:autoSpaceDE w:val="0"/>
              <w:autoSpaceDN w:val="0"/>
              <w:adjustRightInd w:val="0"/>
              <w:rPr>
                <w:rFonts w:ascii="Times New Roman" w:eastAsia="MS Mincho" w:hAnsi="Times New Roman" w:cs="Times New Roman"/>
                <w:sz w:val="20"/>
                <w:szCs w:val="20"/>
              </w:rPr>
            </w:pPr>
          </w:p>
          <w:p w14:paraId="7FE1C25E" w14:textId="1AD223E0" w:rsidR="00952395" w:rsidRDefault="0083775C">
            <w:pPr>
              <w:pStyle w:val="P68B1DB1-Normal52"/>
              <w:autoSpaceDE w:val="0"/>
              <w:autoSpaceDN w:val="0"/>
              <w:adjustRightInd w:val="0"/>
            </w:pPr>
            <w:r>
              <w:t xml:space="preserve">Darījumu apstrāde, tostarp darījumu juridiskie jautājumi, jo īpaši cīņa pret nelikumīgi iegūtu līdzekļu legalizēšanu. </w:t>
            </w:r>
          </w:p>
          <w:p w14:paraId="7FE1C25F" w14:textId="77777777" w:rsidR="00952395" w:rsidRDefault="00952395">
            <w:pPr>
              <w:autoSpaceDE w:val="0"/>
              <w:autoSpaceDN w:val="0"/>
              <w:adjustRightInd w:val="0"/>
              <w:rPr>
                <w:rFonts w:ascii="Times New Roman" w:eastAsia="MS Mincho" w:hAnsi="Times New Roman" w:cs="Times New Roman"/>
                <w:sz w:val="20"/>
                <w:szCs w:val="20"/>
              </w:rPr>
            </w:pPr>
          </w:p>
          <w:p w14:paraId="7FE1C260" w14:textId="0AB6F782" w:rsidR="00952395" w:rsidRDefault="0083775C">
            <w:pPr>
              <w:pStyle w:val="P68B1DB1-Normal52"/>
              <w:autoSpaceDE w:val="0"/>
              <w:autoSpaceDN w:val="0"/>
              <w:adjustRightInd w:val="0"/>
            </w:pPr>
            <w:bookmarkStart w:id="127" w:name="_Hlk191374143"/>
            <w:r>
              <w:t>Nekustamā īpašuma un objektu nodrošināšana un pārvaldība, kā arī saistītie objekti</w:t>
            </w:r>
            <w:bookmarkEnd w:id="127"/>
            <w:r>
              <w:t xml:space="preserve"> </w:t>
            </w:r>
          </w:p>
          <w:p w14:paraId="7FE1C261" w14:textId="62999FEF" w:rsidR="00952395" w:rsidRDefault="0083775C">
            <w:pPr>
              <w:pStyle w:val="P68B1DB1-ListParagraph53"/>
              <w:numPr>
                <w:ilvl w:val="0"/>
                <w:numId w:val="291"/>
              </w:numPr>
              <w:autoSpaceDE w:val="0"/>
              <w:autoSpaceDN w:val="0"/>
              <w:adjustRightInd w:val="0"/>
            </w:pPr>
            <w:r>
              <w:t xml:space="preserve">biroju telpas un glabāšana </w:t>
            </w:r>
          </w:p>
          <w:p w14:paraId="7FE1C262" w14:textId="3A997023" w:rsidR="00952395" w:rsidRDefault="0083775C">
            <w:pPr>
              <w:pStyle w:val="P68B1DB1-ListParagraph53"/>
              <w:numPr>
                <w:ilvl w:val="0"/>
                <w:numId w:val="291"/>
              </w:numPr>
              <w:autoSpaceDE w:val="0"/>
              <w:autoSpaceDN w:val="0"/>
              <w:adjustRightInd w:val="0"/>
            </w:pPr>
            <w:r>
              <w:lastRenderedPageBreak/>
              <w:t xml:space="preserve">iekšējā objektu pārvaldība </w:t>
            </w:r>
          </w:p>
          <w:p w14:paraId="7FE1C263" w14:textId="2B6FC02A" w:rsidR="00952395" w:rsidRDefault="0083775C">
            <w:pPr>
              <w:pStyle w:val="P68B1DB1-ListParagraph53"/>
              <w:numPr>
                <w:ilvl w:val="0"/>
                <w:numId w:val="291"/>
              </w:numPr>
              <w:autoSpaceDE w:val="0"/>
              <w:autoSpaceDN w:val="0"/>
              <w:adjustRightInd w:val="0"/>
            </w:pPr>
            <w:r>
              <w:t xml:space="preserve">drošība un piekļuves kontrole </w:t>
            </w:r>
          </w:p>
          <w:p w14:paraId="7FE1C264" w14:textId="792BCFBD" w:rsidR="00952395" w:rsidRDefault="0083775C">
            <w:pPr>
              <w:pStyle w:val="P68B1DB1-ListParagraph53"/>
              <w:numPr>
                <w:ilvl w:val="0"/>
                <w:numId w:val="291"/>
              </w:numPr>
              <w:autoSpaceDE w:val="0"/>
              <w:autoSpaceDN w:val="0"/>
              <w:adjustRightInd w:val="0"/>
            </w:pPr>
            <w:r>
              <w:t xml:space="preserve">nekustamā īpašuma portfeļa pārvaldība </w:t>
            </w:r>
          </w:p>
          <w:p w14:paraId="7FE1C265" w14:textId="52ACD32B" w:rsidR="00952395" w:rsidRDefault="0083775C">
            <w:pPr>
              <w:pStyle w:val="P68B1DB1-ListParagraph53"/>
              <w:numPr>
                <w:ilvl w:val="0"/>
                <w:numId w:val="291"/>
              </w:numPr>
              <w:autoSpaceDE w:val="0"/>
              <w:autoSpaceDN w:val="0"/>
              <w:adjustRightInd w:val="0"/>
            </w:pPr>
            <w:r>
              <w:t>citi nekustamā īpašuma un objektu nodrošināšana un pārvaldība, kā arī saistītie objekti servisa veidi</w:t>
            </w:r>
          </w:p>
          <w:p w14:paraId="7FE1C266" w14:textId="77777777" w:rsidR="00952395" w:rsidRDefault="00952395">
            <w:pPr>
              <w:autoSpaceDE w:val="0"/>
              <w:autoSpaceDN w:val="0"/>
              <w:adjustRightInd w:val="0"/>
              <w:rPr>
                <w:rFonts w:ascii="Times New Roman" w:eastAsia="MS Mincho" w:hAnsi="Times New Roman" w:cs="Times New Roman"/>
                <w:sz w:val="20"/>
                <w:szCs w:val="20"/>
              </w:rPr>
            </w:pPr>
          </w:p>
          <w:p w14:paraId="7FE1C267" w14:textId="4B2E0CD6" w:rsidR="00952395" w:rsidRDefault="0083775C">
            <w:pPr>
              <w:pStyle w:val="P68B1DB1-Normal52"/>
              <w:autoSpaceDE w:val="0"/>
              <w:autoSpaceDN w:val="0"/>
              <w:adjustRightInd w:val="0"/>
            </w:pPr>
            <w:r>
              <w:t xml:space="preserve">Juridiskos pakalpojumus un atbilstības funkcijas: </w:t>
            </w:r>
          </w:p>
          <w:p w14:paraId="7FE1C268" w14:textId="40AF3D04" w:rsidR="00952395" w:rsidRDefault="0083775C">
            <w:pPr>
              <w:pStyle w:val="P68B1DB1-ListParagraph53"/>
              <w:numPr>
                <w:ilvl w:val="0"/>
                <w:numId w:val="292"/>
              </w:numPr>
              <w:autoSpaceDE w:val="0"/>
              <w:autoSpaceDN w:val="0"/>
              <w:adjustRightInd w:val="0"/>
            </w:pPr>
            <w:r>
              <w:t xml:space="preserve">uzņēmuma juridiskais atbalsts </w:t>
            </w:r>
          </w:p>
          <w:p w14:paraId="7FE1C269" w14:textId="1DC4A30A" w:rsidR="00952395" w:rsidRDefault="0083775C">
            <w:pPr>
              <w:pStyle w:val="P68B1DB1-ListParagraph53"/>
              <w:numPr>
                <w:ilvl w:val="0"/>
                <w:numId w:val="292"/>
              </w:numPr>
              <w:autoSpaceDE w:val="0"/>
              <w:autoSpaceDN w:val="0"/>
              <w:adjustRightInd w:val="0"/>
            </w:pPr>
            <w:r>
              <w:t xml:space="preserve">uzņēmējdarbības un darījumu juridiskie pakalpojumi </w:t>
            </w:r>
          </w:p>
          <w:p w14:paraId="7FE1C26A" w14:textId="1BAF6F48" w:rsidR="00952395" w:rsidRDefault="0083775C">
            <w:pPr>
              <w:pStyle w:val="P68B1DB1-ListParagraph53"/>
              <w:numPr>
                <w:ilvl w:val="0"/>
                <w:numId w:val="292"/>
              </w:numPr>
              <w:autoSpaceDE w:val="0"/>
              <w:autoSpaceDN w:val="0"/>
              <w:adjustRightInd w:val="0"/>
            </w:pPr>
            <w:r>
              <w:t xml:space="preserve">atbilstības nodrošināšanas atbalsts </w:t>
            </w:r>
          </w:p>
          <w:p w14:paraId="7FE1C26B" w14:textId="344CDCEC" w:rsidR="00952395" w:rsidRDefault="0083775C">
            <w:pPr>
              <w:pStyle w:val="P68B1DB1-ListParagraph53"/>
              <w:numPr>
                <w:ilvl w:val="0"/>
                <w:numId w:val="292"/>
              </w:numPr>
              <w:autoSpaceDE w:val="0"/>
              <w:autoSpaceDN w:val="0"/>
              <w:adjustRightInd w:val="0"/>
            </w:pPr>
            <w:r>
              <w:t>citu juridisko pakalpojumu un atbilstības funkcijas pakalpojuma veids</w:t>
            </w:r>
          </w:p>
          <w:p w14:paraId="7FE1C26C" w14:textId="77777777" w:rsidR="00952395" w:rsidRDefault="00952395">
            <w:pPr>
              <w:autoSpaceDE w:val="0"/>
              <w:autoSpaceDN w:val="0"/>
              <w:adjustRightInd w:val="0"/>
              <w:ind w:left="708"/>
              <w:rPr>
                <w:rFonts w:ascii="Times New Roman" w:eastAsia="MS Mincho" w:hAnsi="Times New Roman" w:cs="Times New Roman"/>
                <w:sz w:val="20"/>
                <w:szCs w:val="20"/>
              </w:rPr>
            </w:pPr>
          </w:p>
          <w:p w14:paraId="7FE1C26D" w14:textId="03C41351" w:rsidR="00952395" w:rsidRDefault="0083775C">
            <w:pPr>
              <w:pStyle w:val="P68B1DB1-Normal52"/>
              <w:autoSpaceDE w:val="0"/>
              <w:autoSpaceDN w:val="0"/>
              <w:adjustRightInd w:val="0"/>
            </w:pPr>
            <w:r>
              <w:t xml:space="preserve">Ar finanšu līdzekļiem saistītie pakalpojumi </w:t>
            </w:r>
          </w:p>
          <w:p w14:paraId="7FE1C26E" w14:textId="1425CC24" w:rsidR="00952395" w:rsidRDefault="0083775C">
            <w:pPr>
              <w:pStyle w:val="P68B1DB1-ListParagraph53"/>
              <w:numPr>
                <w:ilvl w:val="0"/>
                <w:numId w:val="293"/>
              </w:numPr>
              <w:autoSpaceDE w:val="0"/>
              <w:autoSpaceDN w:val="0"/>
              <w:adjustRightInd w:val="0"/>
            </w:pPr>
            <w:r>
              <w:t xml:space="preserve">kases darbības koordinācija, administrācija un pārvaldība </w:t>
            </w:r>
          </w:p>
          <w:p w14:paraId="7FE1C26F" w14:textId="09154006" w:rsidR="00952395" w:rsidRDefault="0083775C">
            <w:pPr>
              <w:pStyle w:val="P68B1DB1-ListParagraph53"/>
              <w:numPr>
                <w:ilvl w:val="0"/>
                <w:numId w:val="293"/>
              </w:numPr>
              <w:autoSpaceDE w:val="0"/>
              <w:autoSpaceDN w:val="0"/>
              <w:adjustRightInd w:val="0"/>
            </w:pPr>
            <w:r>
              <w:t xml:space="preserve">vienības refinansēšanas koordinācija, administrācija un pārvaldība, tostarp nodrošinājuma pārvaldība </w:t>
            </w:r>
          </w:p>
          <w:p w14:paraId="7FE1C270" w14:textId="0F45C979" w:rsidR="00952395" w:rsidRDefault="0083775C">
            <w:pPr>
              <w:pStyle w:val="P68B1DB1-ListParagraph53"/>
              <w:numPr>
                <w:ilvl w:val="0"/>
                <w:numId w:val="293"/>
              </w:numPr>
              <w:autoSpaceDE w:val="0"/>
              <w:autoSpaceDN w:val="0"/>
              <w:adjustRightInd w:val="0"/>
            </w:pPr>
            <w:r>
              <w:t xml:space="preserve">pārskatu iesniegšanas funkcija, jo īpaši attiecībā uz regulatīvajiem likviditātes rādītājiem </w:t>
            </w:r>
          </w:p>
          <w:p w14:paraId="7FE1C271" w14:textId="034EEFA4" w:rsidR="00952395" w:rsidRDefault="0083775C">
            <w:pPr>
              <w:pStyle w:val="P68B1DB1-ListParagraph53"/>
              <w:numPr>
                <w:ilvl w:val="0"/>
                <w:numId w:val="293"/>
              </w:numPr>
              <w:autoSpaceDE w:val="0"/>
              <w:autoSpaceDN w:val="0"/>
              <w:adjustRightInd w:val="0"/>
            </w:pPr>
            <w:r>
              <w:t xml:space="preserve">vidēja un ilgtermiņa finansēšanas programmu koordinācija, administrācija un pārvaldība un grupas vienību refinansēšana </w:t>
            </w:r>
          </w:p>
          <w:p w14:paraId="7FE1C272" w14:textId="064C2167" w:rsidR="00952395" w:rsidRDefault="0083775C">
            <w:pPr>
              <w:pStyle w:val="P68B1DB1-ListParagraph53"/>
              <w:numPr>
                <w:ilvl w:val="0"/>
                <w:numId w:val="293"/>
              </w:numPr>
              <w:autoSpaceDE w:val="0"/>
              <w:autoSpaceDN w:val="0"/>
              <w:adjustRightInd w:val="0"/>
            </w:pPr>
            <w:r>
              <w:t>refinansēšanas koordinācija, administrācija un pārvaldība, jo īpaši īstermiņa jautājumos</w:t>
            </w:r>
          </w:p>
          <w:p w14:paraId="7FE1C273" w14:textId="31AA1016" w:rsidR="00952395" w:rsidRDefault="0083775C">
            <w:pPr>
              <w:pStyle w:val="P68B1DB1-ListParagraph53"/>
              <w:numPr>
                <w:ilvl w:val="0"/>
                <w:numId w:val="293"/>
              </w:numPr>
              <w:autoSpaceDE w:val="0"/>
              <w:autoSpaceDN w:val="0"/>
              <w:adjustRightInd w:val="0"/>
            </w:pPr>
            <w:r>
              <w:t>cits ar kasi saistītu pakalpojumu veids</w:t>
            </w:r>
          </w:p>
          <w:p w14:paraId="7FE1C274" w14:textId="77777777" w:rsidR="00952395" w:rsidRDefault="00952395">
            <w:pPr>
              <w:autoSpaceDE w:val="0"/>
              <w:autoSpaceDN w:val="0"/>
              <w:adjustRightInd w:val="0"/>
              <w:rPr>
                <w:rFonts w:ascii="Times New Roman" w:eastAsia="MS Mincho" w:hAnsi="Times New Roman" w:cs="Times New Roman"/>
                <w:sz w:val="20"/>
                <w:szCs w:val="20"/>
              </w:rPr>
            </w:pPr>
          </w:p>
          <w:p w14:paraId="7FE1C275" w14:textId="6437F825" w:rsidR="00952395" w:rsidRDefault="0083775C">
            <w:pPr>
              <w:pStyle w:val="P68B1DB1-Normal52"/>
              <w:autoSpaceDE w:val="0"/>
              <w:autoSpaceDN w:val="0"/>
              <w:adjustRightInd w:val="0"/>
            </w:pPr>
            <w:r>
              <w:t xml:space="preserve">Tirdzniecība/aktīvu pārvaldība </w:t>
            </w:r>
          </w:p>
          <w:p w14:paraId="7FE1C276" w14:textId="52377E11" w:rsidR="00952395" w:rsidRDefault="0083775C">
            <w:pPr>
              <w:pStyle w:val="P68B1DB1-ListParagraph53"/>
              <w:numPr>
                <w:ilvl w:val="0"/>
                <w:numId w:val="294"/>
              </w:numPr>
              <w:autoSpaceDE w:val="0"/>
              <w:autoSpaceDN w:val="0"/>
              <w:adjustRightInd w:val="0"/>
            </w:pPr>
            <w:r>
              <w:t xml:space="preserve">operāciju apstrāde: tirdzniecības pārņemšana, izstrāde, realizācija, tirdzniecības produktu apkalpošana </w:t>
            </w:r>
          </w:p>
          <w:p w14:paraId="7FE1C277" w14:textId="35EC336F" w:rsidR="00952395" w:rsidRDefault="0083775C">
            <w:pPr>
              <w:pStyle w:val="P68B1DB1-ListParagraph53"/>
              <w:numPr>
                <w:ilvl w:val="0"/>
                <w:numId w:val="294"/>
              </w:numPr>
              <w:autoSpaceDE w:val="0"/>
              <w:autoSpaceDN w:val="0"/>
              <w:adjustRightInd w:val="0"/>
            </w:pPr>
            <w:r>
              <w:t xml:space="preserve">apstiprināšana, norēķini, maksājumi </w:t>
            </w:r>
          </w:p>
          <w:p w14:paraId="7FE1C278" w14:textId="417DFA52" w:rsidR="00952395" w:rsidRDefault="0083775C">
            <w:pPr>
              <w:pStyle w:val="P68B1DB1-ListParagraph53"/>
              <w:numPr>
                <w:ilvl w:val="0"/>
                <w:numId w:val="294"/>
              </w:numPr>
              <w:autoSpaceDE w:val="0"/>
              <w:autoSpaceDN w:val="0"/>
              <w:adjustRightInd w:val="0"/>
            </w:pPr>
            <w:r>
              <w:t xml:space="preserve">pozīciju un darījumu partneru pārvaldība, ievērojot datu pārskatu sniegšanu un darījumu partneru attiecības </w:t>
            </w:r>
          </w:p>
          <w:p w14:paraId="7FE1C279" w14:textId="18F90331" w:rsidR="00952395" w:rsidRDefault="0083775C">
            <w:pPr>
              <w:pStyle w:val="P68B1DB1-ListParagraph53"/>
              <w:numPr>
                <w:ilvl w:val="0"/>
                <w:numId w:val="294"/>
              </w:numPr>
              <w:autoSpaceDE w:val="0"/>
              <w:autoSpaceDN w:val="0"/>
              <w:adjustRightInd w:val="0"/>
            </w:pPr>
            <w:r>
              <w:t xml:space="preserve">7.4. pozīciju pārvaldība (risks un saskaņošana) </w:t>
            </w:r>
          </w:p>
          <w:p w14:paraId="7FE1C27A" w14:textId="23FC3BC1" w:rsidR="00952395" w:rsidRDefault="0083775C">
            <w:pPr>
              <w:pStyle w:val="P68B1DB1-ListParagraph53"/>
              <w:numPr>
                <w:ilvl w:val="0"/>
                <w:numId w:val="294"/>
              </w:numPr>
              <w:autoSpaceDE w:val="0"/>
              <w:autoSpaceDN w:val="0"/>
              <w:adjustRightInd w:val="0"/>
            </w:pPr>
            <w:r>
              <w:t>cits tirdzniecības/aktīvu pārvaldības pakalpojuma veids</w:t>
            </w:r>
          </w:p>
          <w:p w14:paraId="7FE1C27B" w14:textId="77777777" w:rsidR="00952395" w:rsidRDefault="00952395">
            <w:pPr>
              <w:autoSpaceDE w:val="0"/>
              <w:autoSpaceDN w:val="0"/>
              <w:adjustRightInd w:val="0"/>
              <w:ind w:left="708"/>
              <w:rPr>
                <w:rFonts w:ascii="Times New Roman" w:eastAsia="MS Mincho" w:hAnsi="Times New Roman" w:cs="Times New Roman"/>
                <w:sz w:val="20"/>
                <w:szCs w:val="20"/>
              </w:rPr>
            </w:pPr>
          </w:p>
          <w:p w14:paraId="7FE1C27C" w14:textId="1E8D237F" w:rsidR="00952395" w:rsidRDefault="0083775C">
            <w:pPr>
              <w:pStyle w:val="P68B1DB1-Normal52"/>
              <w:autoSpaceDE w:val="0"/>
              <w:autoSpaceDN w:val="0"/>
              <w:adjustRightInd w:val="0"/>
            </w:pPr>
            <w:r>
              <w:t xml:space="preserve">Riska pārvaldība un novērtēšana </w:t>
            </w:r>
          </w:p>
          <w:p w14:paraId="7FE1C27D" w14:textId="27978472" w:rsidR="00952395" w:rsidRDefault="0083775C">
            <w:pPr>
              <w:pStyle w:val="P68B1DB1-ListParagraph53"/>
              <w:numPr>
                <w:ilvl w:val="0"/>
                <w:numId w:val="295"/>
              </w:numPr>
              <w:autoSpaceDE w:val="0"/>
              <w:autoSpaceDN w:val="0"/>
              <w:adjustRightInd w:val="0"/>
            </w:pPr>
            <w:r>
              <w:t>ar centrālās vai darbības jomas vai riska veidu saistīta riska pārvaldība</w:t>
            </w:r>
          </w:p>
          <w:p w14:paraId="7FE1C27E" w14:textId="7AC0E3ED" w:rsidR="00952395" w:rsidRDefault="0083775C">
            <w:pPr>
              <w:pStyle w:val="P68B1DB1-ListParagraph53"/>
              <w:numPr>
                <w:ilvl w:val="0"/>
                <w:numId w:val="295"/>
              </w:numPr>
              <w:autoSpaceDE w:val="0"/>
              <w:autoSpaceDN w:val="0"/>
              <w:adjustRightInd w:val="0"/>
            </w:pPr>
            <w:r>
              <w:t xml:space="preserve">riska pārskatu sagatavošana </w:t>
            </w:r>
          </w:p>
          <w:p w14:paraId="7FE1C27F" w14:textId="54F4E51F" w:rsidR="00952395" w:rsidRDefault="0083775C">
            <w:pPr>
              <w:pStyle w:val="P68B1DB1-ListParagraph53"/>
              <w:numPr>
                <w:ilvl w:val="0"/>
                <w:numId w:val="295"/>
              </w:numPr>
              <w:autoSpaceDE w:val="0"/>
              <w:autoSpaceDN w:val="0"/>
              <w:adjustRightInd w:val="0"/>
            </w:pPr>
            <w:r>
              <w:t>cits riska pārvaldības un vērtēšanas pakalpojuma veids</w:t>
            </w:r>
          </w:p>
          <w:p w14:paraId="7FE1C280" w14:textId="77777777" w:rsidR="00952395" w:rsidRDefault="00952395">
            <w:pPr>
              <w:autoSpaceDE w:val="0"/>
              <w:autoSpaceDN w:val="0"/>
              <w:adjustRightInd w:val="0"/>
              <w:rPr>
                <w:rFonts w:ascii="Times New Roman" w:eastAsia="MS Mincho" w:hAnsi="Times New Roman" w:cs="Times New Roman"/>
                <w:sz w:val="20"/>
                <w:szCs w:val="20"/>
              </w:rPr>
            </w:pPr>
          </w:p>
          <w:p w14:paraId="7FE1C281" w14:textId="5206B100" w:rsidR="00952395" w:rsidRDefault="0083775C">
            <w:pPr>
              <w:pStyle w:val="P68B1DB1-Normal52"/>
              <w:autoSpaceDE w:val="0"/>
              <w:autoSpaceDN w:val="0"/>
              <w:adjustRightInd w:val="0"/>
            </w:pPr>
            <w:r>
              <w:t xml:space="preserve">Uzskaite </w:t>
            </w:r>
          </w:p>
          <w:p w14:paraId="7FE1C282" w14:textId="65C12590" w:rsidR="00952395" w:rsidRDefault="0083775C">
            <w:pPr>
              <w:pStyle w:val="P68B1DB1-ListParagraph53"/>
              <w:numPr>
                <w:ilvl w:val="0"/>
                <w:numId w:val="296"/>
              </w:numPr>
              <w:autoSpaceDE w:val="0"/>
              <w:autoSpaceDN w:val="0"/>
              <w:adjustRightInd w:val="0"/>
            </w:pPr>
            <w:r>
              <w:t xml:space="preserve">tiesību aktos paredzēto un regulatīvo pārskatu sniegšana </w:t>
            </w:r>
          </w:p>
          <w:p w14:paraId="7FE1C283" w14:textId="3DCAF9FA" w:rsidR="00952395" w:rsidRDefault="0083775C">
            <w:pPr>
              <w:pStyle w:val="P68B1DB1-ListParagraph53"/>
              <w:numPr>
                <w:ilvl w:val="0"/>
                <w:numId w:val="296"/>
              </w:numPr>
              <w:autoSpaceDE w:val="0"/>
              <w:autoSpaceDN w:val="0"/>
              <w:adjustRightInd w:val="0"/>
            </w:pPr>
            <w:r>
              <w:t xml:space="preserve">novērtēšana, jo īpaši tirgus pozīciju novērtēšana </w:t>
            </w:r>
          </w:p>
          <w:p w14:paraId="7FE1C284" w14:textId="2EE4BE8B" w:rsidR="00952395" w:rsidRDefault="0083775C">
            <w:pPr>
              <w:pStyle w:val="P68B1DB1-ListParagraph53"/>
              <w:numPr>
                <w:ilvl w:val="0"/>
                <w:numId w:val="296"/>
              </w:numPr>
              <w:autoSpaceDE w:val="0"/>
              <w:autoSpaceDN w:val="0"/>
              <w:adjustRightInd w:val="0"/>
            </w:pPr>
            <w:r>
              <w:t xml:space="preserve">vadības sagatavotie pārskati </w:t>
            </w:r>
          </w:p>
          <w:p w14:paraId="7FE1C285" w14:textId="186EA25B" w:rsidR="00952395" w:rsidRDefault="0083775C">
            <w:pPr>
              <w:pStyle w:val="P68B1DB1-ListParagraph53"/>
              <w:numPr>
                <w:ilvl w:val="0"/>
                <w:numId w:val="296"/>
              </w:numPr>
              <w:autoSpaceDE w:val="0"/>
              <w:autoSpaceDN w:val="0"/>
              <w:adjustRightInd w:val="0"/>
            </w:pPr>
            <w:r>
              <w:t>cita veida grāmatvedības pakalpojums</w:t>
            </w:r>
          </w:p>
          <w:p w14:paraId="7FE1C286" w14:textId="77777777" w:rsidR="00952395" w:rsidRDefault="00952395">
            <w:pPr>
              <w:autoSpaceDE w:val="0"/>
              <w:autoSpaceDN w:val="0"/>
              <w:adjustRightInd w:val="0"/>
              <w:ind w:left="708"/>
              <w:rPr>
                <w:rFonts w:ascii="Times New Roman" w:eastAsia="MS Mincho" w:hAnsi="Times New Roman" w:cs="Times New Roman"/>
                <w:sz w:val="20"/>
                <w:szCs w:val="20"/>
              </w:rPr>
            </w:pPr>
          </w:p>
          <w:p w14:paraId="7FE1C287" w14:textId="675737F3" w:rsidR="00952395" w:rsidRDefault="0083775C">
            <w:pPr>
              <w:pStyle w:val="P68B1DB1-Normal54"/>
              <w:autoSpaceDE w:val="0"/>
              <w:autoSpaceDN w:val="0"/>
              <w:adjustRightInd w:val="0"/>
              <w:rPr>
                <w:sz w:val="24"/>
              </w:rPr>
            </w:pPr>
            <w:r>
              <w:rPr>
                <w:sz w:val="20"/>
              </w:rPr>
              <w:t>Skaidras naudas apstrāde</w:t>
            </w:r>
            <w:r>
              <w:rPr>
                <w:sz w:val="24"/>
              </w:rPr>
              <w:t xml:space="preserve"> </w:t>
            </w:r>
          </w:p>
          <w:p w14:paraId="7FE1C288" w14:textId="77777777" w:rsidR="00952395" w:rsidRDefault="00952395">
            <w:pPr>
              <w:autoSpaceDE w:val="0"/>
              <w:autoSpaceDN w:val="0"/>
              <w:adjustRightInd w:val="0"/>
              <w:rPr>
                <w:rFonts w:ascii="Times New Roman" w:eastAsia="MS Mincho" w:hAnsi="Times New Roman" w:cs="Times New Roman"/>
                <w:sz w:val="24"/>
                <w:szCs w:val="20"/>
              </w:rPr>
            </w:pPr>
          </w:p>
          <w:p w14:paraId="7FE1C289" w14:textId="180A5CA4" w:rsidR="00952395" w:rsidRDefault="0083775C">
            <w:pPr>
              <w:pStyle w:val="P68B1DB1-Normal52"/>
              <w:autoSpaceDE w:val="0"/>
              <w:autoSpaceDN w:val="0"/>
              <w:adjustRightInd w:val="0"/>
            </w:pPr>
            <w:r>
              <w:t>Cits pakalpojuma veids</w:t>
            </w:r>
          </w:p>
          <w:p w14:paraId="7FE1C28B" w14:textId="56625F93" w:rsidR="00952395" w:rsidRDefault="00952395">
            <w:pPr>
              <w:spacing w:line="276" w:lineRule="auto"/>
              <w:jc w:val="both"/>
              <w:rPr>
                <w:rFonts w:ascii="Times New Roman" w:eastAsia="Calibri" w:hAnsi="Times New Roman" w:cs="Times New Roman"/>
                <w:b/>
                <w:i/>
                <w:sz w:val="20"/>
                <w:szCs w:val="20"/>
              </w:rPr>
            </w:pPr>
          </w:p>
        </w:tc>
      </w:tr>
      <w:tr w:rsidR="00952395" w14:paraId="7FE1C292" w14:textId="77777777">
        <w:trPr>
          <w:trHeight w:val="463"/>
        </w:trPr>
        <w:tc>
          <w:tcPr>
            <w:tcW w:w="1129" w:type="dxa"/>
            <w:shd w:val="clear" w:color="auto" w:fill="FFFFFF" w:themeFill="background1"/>
          </w:tcPr>
          <w:p w14:paraId="7FE1C28D" w14:textId="77777777" w:rsidR="00952395" w:rsidRDefault="0083775C">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952395" w:rsidRDefault="0083775C">
            <w:pPr>
              <w:pStyle w:val="P68B1DB1-Normal49"/>
              <w:spacing w:line="276" w:lineRule="auto"/>
              <w:jc w:val="both"/>
              <w:rPr>
                <w:bCs/>
              </w:rPr>
            </w:pPr>
            <w:r>
              <w:t>Unikāls pakalpojuma nosaukums saskaņā ar bankas taksonomiju</w:t>
            </w:r>
          </w:p>
          <w:p w14:paraId="1C0060B3" w14:textId="77777777" w:rsidR="00952395" w:rsidRDefault="0083775C">
            <w:pPr>
              <w:rPr>
                <w:rFonts w:ascii="Times New Roman" w:eastAsiaTheme="minorHAnsi" w:hAnsi="Times New Roman" w:cs="Times New Roman"/>
                <w:sz w:val="24"/>
              </w:rPr>
            </w:pPr>
            <w:r>
              <w:rPr>
                <w:rFonts w:ascii="Times New Roman" w:eastAsia="Calibri" w:hAnsi="Times New Roman" w:cs="Times New Roman"/>
                <w:sz w:val="20"/>
              </w:rPr>
              <w:t xml:space="preserve">Pakalpojuma nosaukums/īss apraksts saskaņā ar bankas diferencēto taksonomiju (3. līmenis), kas klasificē pakalpojumus un šo pakalpojumu apakškopas hierarhiskā līmenī. Piemēram, pakalpojumu taksonomiju, kas klasificē pakalpojumus trīs hierarhijas līmeņos, kur augstākajā līmenī ir pakalpojumu grupa (L1: Finanšu pakalpojumi), kuros pakalpojumi ir pārstāvēti otrajā </w:t>
            </w:r>
            <w:r>
              <w:rPr>
                <w:rFonts w:ascii="Times New Roman" w:eastAsia="Calibri" w:hAnsi="Times New Roman" w:cs="Times New Roman"/>
                <w:sz w:val="20"/>
              </w:rPr>
              <w:lastRenderedPageBreak/>
              <w:t>līmenī (L2: valsts kase, finanšu analīze, nodokļi, attiecības ar ieguldītājiem utt.) un apakšpakalpojumi trešajā līmenī (L3 — valsts kasē: likviditātes pārvaldība, aktīvu un pasīvu pārvaldība, nodrošinājuma pārvaldība utt.). Tiek sagaidīts, ka banka ziņos par pakalpojumiem detalizētākā līmenī nekā 2. līmenī (0010.c.) sniegtajā pārskatā, lai katrs konkrētais pakalpojums tiktu precīzi un mērķtiecīgi definēts.</w:t>
            </w:r>
            <w:r>
              <w:rPr>
                <w:rFonts w:ascii="Times New Roman" w:eastAsiaTheme="minorHAnsi" w:hAnsi="Times New Roman" w:cs="Times New Roman"/>
                <w:sz w:val="24"/>
              </w:rPr>
              <w:t xml:space="preserve"> </w:t>
            </w:r>
          </w:p>
          <w:p w14:paraId="7FE1C290" w14:textId="77777777" w:rsidR="00952395" w:rsidRDefault="00952395">
            <w:pPr>
              <w:spacing w:line="276" w:lineRule="auto"/>
              <w:jc w:val="both"/>
              <w:rPr>
                <w:rFonts w:ascii="Times New Roman" w:eastAsia="Calibri" w:hAnsi="Times New Roman" w:cs="Times New Roman"/>
                <w:sz w:val="20"/>
              </w:rPr>
            </w:pPr>
          </w:p>
          <w:p w14:paraId="7FE1C291" w14:textId="77777777" w:rsidR="00952395" w:rsidRDefault="00952395">
            <w:pPr>
              <w:spacing w:line="276" w:lineRule="auto"/>
              <w:jc w:val="both"/>
              <w:rPr>
                <w:rFonts w:ascii="Times New Roman" w:eastAsia="Calibri" w:hAnsi="Times New Roman" w:cs="Times New Roman"/>
                <w:i/>
                <w:sz w:val="20"/>
              </w:rPr>
            </w:pPr>
          </w:p>
        </w:tc>
      </w:tr>
      <w:tr w:rsidR="00952395" w14:paraId="7FE1C298" w14:textId="77777777">
        <w:trPr>
          <w:trHeight w:val="463"/>
        </w:trPr>
        <w:tc>
          <w:tcPr>
            <w:tcW w:w="1129" w:type="dxa"/>
            <w:shd w:val="clear" w:color="auto" w:fill="FFFFFF" w:themeFill="background1"/>
          </w:tcPr>
          <w:p w14:paraId="7FE1C293" w14:textId="77777777" w:rsidR="00952395" w:rsidRDefault="0083775C">
            <w:pPr>
              <w:pStyle w:val="P68B1DB1-Normal50"/>
              <w:spacing w:before="120" w:after="120" w:line="276" w:lineRule="auto"/>
            </w:pPr>
            <w:r>
              <w:lastRenderedPageBreak/>
              <w:t>0030–0040</w:t>
            </w:r>
          </w:p>
          <w:p w14:paraId="7FE1C294" w14:textId="77777777" w:rsidR="00952395" w:rsidRDefault="0095239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952395" w:rsidRDefault="0083775C">
            <w:pPr>
              <w:pStyle w:val="P68B1DB1-Normal49"/>
              <w:spacing w:line="276" w:lineRule="auto"/>
              <w:jc w:val="both"/>
              <w:rPr>
                <w:bCs/>
              </w:rPr>
            </w:pPr>
            <w:r>
              <w:t>Pakalpojuma saņēmējs</w:t>
            </w:r>
          </w:p>
          <w:p w14:paraId="7FE1C296" w14:textId="6BB16960" w:rsidR="00952395" w:rsidRDefault="0083775C">
            <w:pPr>
              <w:pStyle w:val="P68B1DB1-Normal45"/>
              <w:spacing w:line="276" w:lineRule="auto"/>
              <w:jc w:val="both"/>
            </w:pPr>
            <w:r>
              <w:t>Grupas vienība, kas saņem 0010. slejā norādīto pakalpojumu no citas 0050.–0110. slejā minētas grupas vienības vai ārēja pakalpojumu sniedzēja.</w:t>
            </w:r>
          </w:p>
          <w:p w14:paraId="7FE1C297" w14:textId="77777777" w:rsidR="00952395" w:rsidRDefault="00952395">
            <w:pPr>
              <w:spacing w:line="276" w:lineRule="auto"/>
              <w:jc w:val="both"/>
              <w:rPr>
                <w:rFonts w:ascii="Times New Roman" w:eastAsia="Calibri" w:hAnsi="Times New Roman" w:cs="Times New Roman"/>
                <w:sz w:val="20"/>
              </w:rPr>
            </w:pPr>
          </w:p>
        </w:tc>
      </w:tr>
      <w:tr w:rsidR="00952395" w14:paraId="7FE1C29F" w14:textId="77777777">
        <w:trPr>
          <w:trHeight w:val="463"/>
        </w:trPr>
        <w:tc>
          <w:tcPr>
            <w:tcW w:w="1129" w:type="dxa"/>
            <w:shd w:val="clear" w:color="auto" w:fill="FFFFFF" w:themeFill="background1"/>
          </w:tcPr>
          <w:p w14:paraId="7FE1C299" w14:textId="77777777" w:rsidR="00952395" w:rsidRDefault="0083775C">
            <w:pPr>
              <w:pStyle w:val="P68B1DB1-Normal50"/>
              <w:spacing w:before="120" w:after="120" w:line="276" w:lineRule="auto"/>
            </w:pPr>
            <w:r>
              <w:t>0030</w:t>
            </w:r>
          </w:p>
          <w:p w14:paraId="7FE1C29A" w14:textId="77777777" w:rsidR="00952395" w:rsidRDefault="0095239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952395" w:rsidRDefault="0083775C">
            <w:pPr>
              <w:pStyle w:val="P68B1DB1-Normal49"/>
              <w:spacing w:before="120" w:after="120" w:line="276" w:lineRule="auto"/>
              <w:rPr>
                <w:bCs/>
              </w:rPr>
            </w:pPr>
            <w:r>
              <w:t>Nosaukums</w:t>
            </w:r>
          </w:p>
          <w:p w14:paraId="7FE1C29C" w14:textId="5429A4DF" w:rsidR="00952395" w:rsidRDefault="0083775C">
            <w:pPr>
              <w:pStyle w:val="P68B1DB1-Normal45"/>
              <w:spacing w:line="276" w:lineRule="auto"/>
              <w:jc w:val="both"/>
            </w:pPr>
            <w:r>
              <w:t>Tam jāatšķiras no 0050. slejā norādītā nosaukuma, ja vien pakalpojums nav vienības iekšējais pakalpojums. Šajā gadījumā paredzams, ka pakalpojumu saņēmēja subjekta nosaukums un pakalpojumu sniedzēja subjekta nosaukums sakritīs.</w:t>
            </w:r>
          </w:p>
          <w:p w14:paraId="7FE1C29D" w14:textId="77777777" w:rsidR="00952395" w:rsidRDefault="00952395">
            <w:pPr>
              <w:spacing w:line="276" w:lineRule="auto"/>
              <w:jc w:val="both"/>
              <w:rPr>
                <w:rFonts w:ascii="Times New Roman" w:eastAsia="Calibri" w:hAnsi="Times New Roman" w:cs="Times New Roman"/>
                <w:sz w:val="20"/>
              </w:rPr>
            </w:pPr>
          </w:p>
          <w:p w14:paraId="7FE1C29E" w14:textId="77777777" w:rsidR="00952395" w:rsidRDefault="00952395">
            <w:pPr>
              <w:spacing w:line="276" w:lineRule="auto"/>
              <w:jc w:val="both"/>
              <w:rPr>
                <w:rFonts w:ascii="Times New Roman" w:eastAsia="Calibri" w:hAnsi="Times New Roman" w:cs="Times New Roman"/>
                <w:b/>
                <w:sz w:val="20"/>
              </w:rPr>
            </w:pPr>
          </w:p>
        </w:tc>
      </w:tr>
      <w:tr w:rsidR="00952395" w14:paraId="7FE1C2A6" w14:textId="77777777">
        <w:trPr>
          <w:trHeight w:val="463"/>
        </w:trPr>
        <w:tc>
          <w:tcPr>
            <w:tcW w:w="1129" w:type="dxa"/>
            <w:shd w:val="clear" w:color="auto" w:fill="FFFFFF" w:themeFill="background1"/>
          </w:tcPr>
          <w:p w14:paraId="7FE1C2A0" w14:textId="77777777" w:rsidR="00952395" w:rsidRDefault="0083775C">
            <w:pPr>
              <w:pStyle w:val="P68B1DB1-Normal50"/>
              <w:spacing w:before="120" w:after="120" w:line="276" w:lineRule="auto"/>
            </w:pPr>
            <w:r>
              <w:t>0040</w:t>
            </w:r>
          </w:p>
          <w:p w14:paraId="7FE1C2A1" w14:textId="77777777" w:rsidR="00952395" w:rsidRDefault="0095239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952395" w:rsidRDefault="0083775C">
            <w:pPr>
              <w:pStyle w:val="P68B1DB1-Normal49"/>
              <w:spacing w:before="120" w:after="120" w:line="276" w:lineRule="auto"/>
              <w:rPr>
                <w:bCs/>
              </w:rPr>
            </w:pPr>
            <w:r>
              <w:t>Kods</w:t>
            </w:r>
          </w:p>
          <w:p w14:paraId="7FE1C2A3" w14:textId="77777777" w:rsidR="00952395" w:rsidRDefault="0083775C">
            <w:pPr>
              <w:pStyle w:val="P68B1DB1-Normal45"/>
              <w:spacing w:line="276" w:lineRule="auto"/>
              <w:jc w:val="both"/>
            </w:pPr>
            <w:r>
              <w:t>Juridiskās personas unikālais identifikators 0030. slejā, kā norādīts veidnē Z 01.01 (ORG).</w:t>
            </w:r>
          </w:p>
          <w:p w14:paraId="7FE1C2A4" w14:textId="77777777" w:rsidR="00952395" w:rsidRDefault="0083775C">
            <w:pPr>
              <w:pStyle w:val="P68B1DB1-Normal45"/>
              <w:spacing w:line="276" w:lineRule="auto"/>
              <w:jc w:val="both"/>
            </w:pPr>
            <w:r>
              <w:t>Tam jāatšķiras no 0060. slejā norādītā identifikatora, ja vien pakalpojums nav vienības iekšējais pakalpojums. Šajā gadījumā paredzams, ka pakalpojuma saņēmēja kods un pakalpojuma sniedzēja kods atbildīs.</w:t>
            </w:r>
          </w:p>
          <w:p w14:paraId="7FE1C2A5" w14:textId="77777777" w:rsidR="00952395" w:rsidRDefault="00952395">
            <w:pPr>
              <w:spacing w:line="276" w:lineRule="auto"/>
              <w:jc w:val="both"/>
              <w:rPr>
                <w:rFonts w:ascii="Times New Roman" w:eastAsia="Calibri" w:hAnsi="Times New Roman" w:cs="Times New Roman"/>
                <w:b/>
                <w:i/>
                <w:sz w:val="20"/>
              </w:rPr>
            </w:pPr>
          </w:p>
        </w:tc>
      </w:tr>
      <w:tr w:rsidR="00952395" w14:paraId="7FE1C2AC" w14:textId="77777777">
        <w:trPr>
          <w:trHeight w:val="463"/>
        </w:trPr>
        <w:tc>
          <w:tcPr>
            <w:tcW w:w="1129" w:type="dxa"/>
            <w:shd w:val="clear" w:color="auto" w:fill="FFFFFF" w:themeFill="background1"/>
          </w:tcPr>
          <w:p w14:paraId="7FE1C2A7" w14:textId="77777777" w:rsidR="00952395" w:rsidRDefault="0083775C">
            <w:pPr>
              <w:pStyle w:val="P68B1DB1-Normal50"/>
              <w:spacing w:before="120" w:after="120" w:line="276" w:lineRule="auto"/>
            </w:pPr>
            <w:r>
              <w:t>0050–0110</w:t>
            </w:r>
          </w:p>
          <w:p w14:paraId="7FE1C2A8" w14:textId="77777777" w:rsidR="00952395" w:rsidRDefault="00952395">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952395" w:rsidRDefault="0083775C">
            <w:pPr>
              <w:pStyle w:val="P68B1DB1-Normal55"/>
              <w:spacing w:line="276" w:lineRule="auto"/>
              <w:jc w:val="both"/>
              <w:rPr>
                <w:bCs/>
              </w:rPr>
            </w:pPr>
            <w:r>
              <w:rPr>
                <w:szCs w:val="20"/>
              </w:rPr>
              <w:t>Pakalpojumu sniedzējs</w:t>
            </w:r>
            <w:r>
              <w:t xml:space="preserve"> </w:t>
            </w:r>
          </w:p>
          <w:p w14:paraId="7FE1C2AA" w14:textId="77777777" w:rsidR="00952395" w:rsidRDefault="0083775C">
            <w:pPr>
              <w:pStyle w:val="P68B1DB1-Normal45"/>
              <w:spacing w:line="276" w:lineRule="auto"/>
              <w:jc w:val="both"/>
            </w:pPr>
            <w:r>
              <w:t>Juridiska persona (vienības vai grupas iekšējiem pakalpojumiem) vai ārējais pakalpojumu sniedzējs (ārējiem pakalpojumiem), kas sniedz 0020. slejā uzrādīto pakalpojumu grupas vienībai, kura uzrādīta 0030. slejā.</w:t>
            </w:r>
          </w:p>
          <w:p w14:paraId="7FE1C2AB" w14:textId="77777777" w:rsidR="00952395" w:rsidRDefault="00952395">
            <w:pPr>
              <w:spacing w:line="276" w:lineRule="auto"/>
              <w:jc w:val="both"/>
              <w:rPr>
                <w:rFonts w:ascii="Times New Roman" w:eastAsia="Calibri" w:hAnsi="Times New Roman" w:cs="Times New Roman"/>
                <w:sz w:val="20"/>
              </w:rPr>
            </w:pPr>
          </w:p>
        </w:tc>
      </w:tr>
      <w:tr w:rsidR="00952395" w14:paraId="244B34A5" w14:textId="77777777">
        <w:trPr>
          <w:trHeight w:val="463"/>
        </w:trPr>
        <w:tc>
          <w:tcPr>
            <w:tcW w:w="1129" w:type="dxa"/>
            <w:shd w:val="clear" w:color="auto" w:fill="FFFFFF" w:themeFill="background1"/>
          </w:tcPr>
          <w:p w14:paraId="26770022" w14:textId="77E4D0B7" w:rsidR="00952395" w:rsidRDefault="0083775C">
            <w:pPr>
              <w:pStyle w:val="P68B1DB1-Normal50"/>
              <w:spacing w:before="120" w:after="120" w:line="276" w:lineRule="auto"/>
            </w:pPr>
            <w:r>
              <w:t>0050–0070</w:t>
            </w:r>
          </w:p>
        </w:tc>
        <w:tc>
          <w:tcPr>
            <w:tcW w:w="7938" w:type="dxa"/>
            <w:shd w:val="clear" w:color="auto" w:fill="FFFFFF" w:themeFill="background1"/>
          </w:tcPr>
          <w:p w14:paraId="3E4CD319" w14:textId="6DCA5709" w:rsidR="00952395" w:rsidRDefault="0083775C">
            <w:pPr>
              <w:pStyle w:val="P68B1DB1-Normal49"/>
              <w:spacing w:line="276" w:lineRule="auto"/>
              <w:jc w:val="both"/>
              <w:rPr>
                <w:bCs/>
              </w:rPr>
            </w:pPr>
            <w:r>
              <w:t>Vienība un/vai persona</w:t>
            </w:r>
          </w:p>
        </w:tc>
      </w:tr>
      <w:tr w:rsidR="00952395" w14:paraId="7FE1C2B2" w14:textId="77777777">
        <w:trPr>
          <w:trHeight w:val="463"/>
        </w:trPr>
        <w:tc>
          <w:tcPr>
            <w:tcW w:w="1129" w:type="dxa"/>
            <w:shd w:val="clear" w:color="auto" w:fill="FFFFFF" w:themeFill="background1"/>
          </w:tcPr>
          <w:p w14:paraId="7FE1C2AD" w14:textId="77777777" w:rsidR="00952395" w:rsidRDefault="0083775C">
            <w:pPr>
              <w:pStyle w:val="P68B1DB1-Normal50"/>
              <w:spacing w:before="120" w:after="120" w:line="276" w:lineRule="auto"/>
            </w:pPr>
            <w:r>
              <w:t>0050</w:t>
            </w:r>
          </w:p>
          <w:p w14:paraId="7FE1C2AE" w14:textId="77777777" w:rsidR="00952395" w:rsidRDefault="00952395">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952395" w:rsidRDefault="0083775C">
            <w:pPr>
              <w:pStyle w:val="P68B1DB1-Normal49"/>
              <w:spacing w:before="120" w:after="120" w:line="276" w:lineRule="auto"/>
              <w:rPr>
                <w:bCs/>
              </w:rPr>
            </w:pPr>
            <w:r>
              <w:t>Nosaukums</w:t>
            </w:r>
          </w:p>
          <w:p w14:paraId="7FE1C2B0" w14:textId="77777777" w:rsidR="00952395" w:rsidRDefault="0083775C">
            <w:pPr>
              <w:pStyle w:val="P68B1DB1-Normal45"/>
              <w:spacing w:line="276" w:lineRule="auto"/>
              <w:jc w:val="both"/>
            </w:pPr>
            <w:r>
              <w:t>Tam jāatšķiras no 0030. slejā norādītā nosaukuma, ja vien pakalpojums nav vienības iekšējais pakalpojums. Šajā gadījumā ir sagaidāms, ka pakalpojuma saņēmēja subjekta nosaukums un pakalpojumu sniedzēja vienības nosaukums atbildīs.</w:t>
            </w:r>
          </w:p>
          <w:p w14:paraId="7FE1C2B1" w14:textId="77777777" w:rsidR="00952395" w:rsidRDefault="00952395">
            <w:pPr>
              <w:spacing w:line="276" w:lineRule="auto"/>
              <w:jc w:val="both"/>
              <w:rPr>
                <w:rFonts w:ascii="Times New Roman" w:eastAsia="Calibri" w:hAnsi="Times New Roman" w:cs="Times New Roman"/>
                <w:b/>
                <w:sz w:val="20"/>
              </w:rPr>
            </w:pPr>
          </w:p>
        </w:tc>
      </w:tr>
      <w:tr w:rsidR="00952395" w14:paraId="7FE1C2BE" w14:textId="77777777">
        <w:trPr>
          <w:trHeight w:val="463"/>
        </w:trPr>
        <w:tc>
          <w:tcPr>
            <w:tcW w:w="1129" w:type="dxa"/>
            <w:shd w:val="clear" w:color="auto" w:fill="FFFFFF" w:themeFill="background1"/>
          </w:tcPr>
          <w:p w14:paraId="7FE1C2B3" w14:textId="77777777" w:rsidR="00952395" w:rsidRDefault="0083775C">
            <w:pPr>
              <w:pStyle w:val="P68B1DB1-Normal45"/>
              <w:spacing w:line="276" w:lineRule="auto"/>
              <w:jc w:val="both"/>
            </w:pPr>
            <w:r>
              <w:t>0060</w:t>
            </w:r>
          </w:p>
          <w:p w14:paraId="7FE1C2B4" w14:textId="77777777" w:rsidR="00952395" w:rsidRDefault="00952395">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952395" w:rsidRDefault="0083775C">
            <w:pPr>
              <w:pStyle w:val="P68B1DB1-Normal55"/>
              <w:spacing w:line="276" w:lineRule="auto"/>
              <w:jc w:val="both"/>
              <w:rPr>
                <w:bCs/>
              </w:rPr>
            </w:pPr>
            <w:r>
              <w:t>Kods</w:t>
            </w:r>
          </w:p>
          <w:p w14:paraId="7FE1C2B6" w14:textId="77777777" w:rsidR="00952395" w:rsidRDefault="0083775C">
            <w:pPr>
              <w:pStyle w:val="P68B1DB1-Normal45"/>
              <w:spacing w:line="276" w:lineRule="auto"/>
              <w:jc w:val="both"/>
              <w:rPr>
                <w:strike/>
              </w:rPr>
            </w:pPr>
            <w:r>
              <w:t>Juridiskās personas unikālais identifikators 0050. slejā. Tam jāatšķiras no 0040. slejā norādītā identifikatora, ja vien pakalpojums nav vienības iekšējais pakalpojums. Šajā gadījumā paredzams, ka pakalpojuma saņēmēja kods un pakalpojuma sniedzēja kods atbildīs.</w:t>
            </w:r>
          </w:p>
          <w:p w14:paraId="7FE1C2B7" w14:textId="77777777" w:rsidR="00952395" w:rsidRDefault="0083775C">
            <w:pPr>
              <w:pStyle w:val="P68B1DB1-Normal45"/>
              <w:spacing w:line="276" w:lineRule="auto"/>
              <w:jc w:val="both"/>
            </w:pPr>
            <w:r>
              <w:t>Ja pakalpojuma sniedzējs ir grupas vienība, kods ir vienāds ar veidnē Z 01.01 (ORG) norādīto.</w:t>
            </w:r>
          </w:p>
          <w:p w14:paraId="7FE1C2B8" w14:textId="77777777" w:rsidR="00952395" w:rsidRDefault="0083775C">
            <w:pPr>
              <w:pStyle w:val="P68B1DB1-Normal45"/>
              <w:spacing w:line="276" w:lineRule="auto"/>
              <w:jc w:val="both"/>
            </w:pPr>
            <w:r>
              <w:t>Ja pakalpojuma sniedzējs nav grupas vienība, attiecīgās vienības kods ir:</w:t>
            </w:r>
          </w:p>
          <w:p w14:paraId="7FE1C2B9" w14:textId="77777777" w:rsidR="00952395" w:rsidRDefault="0083775C">
            <w:pPr>
              <w:pStyle w:val="P68B1DB1-Normal45"/>
              <w:spacing w:line="276" w:lineRule="auto"/>
              <w:jc w:val="both"/>
            </w:pPr>
            <w:r>
              <w:t>— vienībām ar juridiskās personas identifikatoru (LEI) — 20 ciparu burtciparu LEI kods;</w:t>
            </w:r>
          </w:p>
          <w:p w14:paraId="7FE1C2BA" w14:textId="77777777" w:rsidR="00952395" w:rsidRDefault="0083775C">
            <w:pPr>
              <w:pStyle w:val="P68B1DB1-Normal45"/>
              <w:spacing w:line="276" w:lineRule="auto"/>
              <w:jc w:val="both"/>
            </w:pPr>
            <w:r>
              <w:t>— subjektiem, kuriem nav LEI, korporatīvās reģistrācijas numurs saskaņā ar valsts tiesību aktiem</w:t>
            </w:r>
            <w:r>
              <w:rPr>
                <w:strike/>
              </w:rPr>
              <w:t>.</w:t>
            </w:r>
          </w:p>
          <w:p w14:paraId="7FE1C2BB" w14:textId="77777777" w:rsidR="00952395" w:rsidRDefault="00952395">
            <w:pPr>
              <w:spacing w:line="276" w:lineRule="auto"/>
              <w:jc w:val="both"/>
              <w:rPr>
                <w:rFonts w:ascii="Times New Roman" w:eastAsia="Calibri" w:hAnsi="Times New Roman" w:cs="Times New Roman"/>
                <w:sz w:val="20"/>
              </w:rPr>
            </w:pPr>
          </w:p>
          <w:p w14:paraId="7FE1C2BC" w14:textId="77777777" w:rsidR="00952395" w:rsidRDefault="0083775C">
            <w:pPr>
              <w:pStyle w:val="P68B1DB1-Normal45"/>
              <w:spacing w:line="276" w:lineRule="auto"/>
              <w:jc w:val="both"/>
            </w:pPr>
            <w:r>
              <w:t>Abiem gadījumiem kods jābūt unikālam, un tas veidnēs jāizmanto konsekventi.</w:t>
            </w:r>
          </w:p>
          <w:p w14:paraId="7FE1C2BD" w14:textId="77777777" w:rsidR="00952395" w:rsidRDefault="0083775C">
            <w:pPr>
              <w:pStyle w:val="P68B1DB1-Normal56"/>
              <w:spacing w:line="276" w:lineRule="auto"/>
              <w:jc w:val="both"/>
            </w:pPr>
            <w:r>
              <w:t xml:space="preserve"> </w:t>
            </w:r>
          </w:p>
        </w:tc>
      </w:tr>
      <w:tr w:rsidR="00952395" w14:paraId="7FE1C2C7" w14:textId="77777777">
        <w:trPr>
          <w:trHeight w:val="463"/>
        </w:trPr>
        <w:tc>
          <w:tcPr>
            <w:tcW w:w="1129" w:type="dxa"/>
            <w:shd w:val="clear" w:color="auto" w:fill="FFFFFF" w:themeFill="background1"/>
          </w:tcPr>
          <w:p w14:paraId="7FE1C2BF" w14:textId="77777777" w:rsidR="00952395" w:rsidRDefault="0083775C">
            <w:pPr>
              <w:pStyle w:val="P68B1DB1-Normal45"/>
              <w:spacing w:line="276" w:lineRule="auto"/>
              <w:jc w:val="both"/>
            </w:pPr>
            <w:r>
              <w:lastRenderedPageBreak/>
              <w:t>0070</w:t>
            </w:r>
          </w:p>
        </w:tc>
        <w:tc>
          <w:tcPr>
            <w:tcW w:w="7938" w:type="dxa"/>
            <w:shd w:val="clear" w:color="auto" w:fill="FFFFFF" w:themeFill="background1"/>
          </w:tcPr>
          <w:p w14:paraId="7FE1C2C0" w14:textId="77777777" w:rsidR="00952395" w:rsidRDefault="0083775C">
            <w:pPr>
              <w:pStyle w:val="P68B1DB1-Normal55"/>
              <w:spacing w:line="276" w:lineRule="auto"/>
              <w:jc w:val="both"/>
              <w:rPr>
                <w:bCs/>
              </w:rPr>
            </w:pPr>
            <w:r>
              <w:t xml:space="preserve">Koda veids </w:t>
            </w:r>
          </w:p>
          <w:p w14:paraId="7FE1C2C3" w14:textId="5EDF8AF2" w:rsidR="00952395" w:rsidRDefault="0083775C">
            <w:pPr>
              <w:pStyle w:val="P68B1DB1-Normal57"/>
              <w:spacing w:line="276" w:lineRule="auto"/>
              <w:contextualSpacing/>
              <w:jc w:val="both"/>
              <w:rPr>
                <w:bCs/>
              </w:rPr>
            </w:pPr>
            <w:r>
              <w:t>Norādīt vienu no šādām vērtībām:</w:t>
            </w:r>
          </w:p>
          <w:p w14:paraId="7FE1C2C4" w14:textId="77777777" w:rsidR="00952395" w:rsidRDefault="0083775C">
            <w:pPr>
              <w:pStyle w:val="P68B1DB1-ListParagraph58"/>
              <w:numPr>
                <w:ilvl w:val="0"/>
                <w:numId w:val="64"/>
              </w:numPr>
              <w:spacing w:line="276" w:lineRule="auto"/>
              <w:contextualSpacing/>
              <w:jc w:val="both"/>
            </w:pPr>
            <w:r>
              <w:t>JPI (LEI)</w:t>
            </w:r>
          </w:p>
          <w:p w14:paraId="7FE1C2C5" w14:textId="77777777" w:rsidR="00952395" w:rsidRDefault="0083775C">
            <w:pPr>
              <w:pStyle w:val="P68B1DB1-ListParagraph58"/>
              <w:numPr>
                <w:ilvl w:val="0"/>
                <w:numId w:val="64"/>
              </w:numPr>
              <w:spacing w:line="276" w:lineRule="auto"/>
              <w:contextualSpacing/>
              <w:jc w:val="both"/>
            </w:pPr>
            <w:r>
              <w:t>Uzņēmuma reģistrācijas numurs</w:t>
            </w:r>
          </w:p>
          <w:p w14:paraId="7FE1C2C6" w14:textId="77777777" w:rsidR="00952395" w:rsidRDefault="00952395">
            <w:pPr>
              <w:spacing w:line="276" w:lineRule="auto"/>
              <w:jc w:val="both"/>
              <w:rPr>
                <w:rFonts w:ascii="Times New Roman" w:eastAsia="Calibri" w:hAnsi="Times New Roman" w:cs="Times New Roman"/>
                <w:sz w:val="20"/>
              </w:rPr>
            </w:pPr>
          </w:p>
        </w:tc>
      </w:tr>
      <w:tr w:rsidR="00952395" w14:paraId="5AC7028E" w14:textId="77777777">
        <w:trPr>
          <w:trHeight w:val="463"/>
        </w:trPr>
        <w:tc>
          <w:tcPr>
            <w:tcW w:w="1129" w:type="dxa"/>
            <w:shd w:val="clear" w:color="auto" w:fill="FFFFFF" w:themeFill="background1"/>
          </w:tcPr>
          <w:p w14:paraId="3ECEFB75" w14:textId="74BF0EC5" w:rsidR="00952395" w:rsidRDefault="0083775C">
            <w:pPr>
              <w:pStyle w:val="P68B1DB1-Normal45"/>
              <w:spacing w:line="276" w:lineRule="auto"/>
              <w:jc w:val="both"/>
            </w:pPr>
            <w:r>
              <w:t>0080–0100</w:t>
            </w:r>
          </w:p>
        </w:tc>
        <w:tc>
          <w:tcPr>
            <w:tcW w:w="7938" w:type="dxa"/>
            <w:shd w:val="clear" w:color="auto" w:fill="FFFFFF" w:themeFill="background1"/>
          </w:tcPr>
          <w:p w14:paraId="259185CE" w14:textId="65A5A83F" w:rsidR="00952395" w:rsidRDefault="0083775C">
            <w:pPr>
              <w:pStyle w:val="P68B1DB1-Normal55"/>
              <w:spacing w:line="276" w:lineRule="auto"/>
              <w:jc w:val="both"/>
              <w:rPr>
                <w:bCs/>
              </w:rPr>
            </w:pPr>
            <w:r>
              <w:t>Mātesuzņēmums</w:t>
            </w:r>
          </w:p>
        </w:tc>
      </w:tr>
      <w:tr w:rsidR="00952395" w14:paraId="7FE1C2CC" w14:textId="77777777">
        <w:trPr>
          <w:trHeight w:val="463"/>
        </w:trPr>
        <w:tc>
          <w:tcPr>
            <w:tcW w:w="1129" w:type="dxa"/>
          </w:tcPr>
          <w:p w14:paraId="7FE1C2C8" w14:textId="77777777" w:rsidR="00952395" w:rsidRDefault="0083775C">
            <w:pPr>
              <w:pStyle w:val="P68B1DB1-Normal45"/>
              <w:spacing w:line="276" w:lineRule="auto"/>
              <w:jc w:val="both"/>
            </w:pPr>
            <w:r>
              <w:t>0080</w:t>
            </w:r>
          </w:p>
        </w:tc>
        <w:tc>
          <w:tcPr>
            <w:tcW w:w="7938" w:type="dxa"/>
            <w:shd w:val="clear" w:color="auto" w:fill="FFFFFF" w:themeFill="background1"/>
          </w:tcPr>
          <w:p w14:paraId="0DC1DDCB" w14:textId="24E6B1FE" w:rsidR="00952395" w:rsidRDefault="0083775C">
            <w:pPr>
              <w:pStyle w:val="P68B1DB1-Normal55"/>
              <w:spacing w:line="276" w:lineRule="auto"/>
              <w:jc w:val="both"/>
            </w:pPr>
            <w:r>
              <w:t>Nosaukums</w:t>
            </w:r>
          </w:p>
          <w:p w14:paraId="7FE1C2CA" w14:textId="07E2401A" w:rsidR="00952395" w:rsidRDefault="0083775C">
            <w:pPr>
              <w:pStyle w:val="P68B1DB1-Normal45"/>
              <w:spacing w:line="276" w:lineRule="auto"/>
              <w:jc w:val="both"/>
            </w:pPr>
            <w:r>
              <w:t>Pakalpojumu sniedzēja (galīgā) mātesuzņēmuma nosaukums, kas norādīts 0050. slejā, ja tā nav grupas sabiedrība. Pārējos gadījumos — ne.</w:t>
            </w:r>
          </w:p>
          <w:p w14:paraId="7FE1C2CB" w14:textId="77777777" w:rsidR="00952395" w:rsidRDefault="00952395">
            <w:pPr>
              <w:spacing w:line="276" w:lineRule="auto"/>
              <w:jc w:val="both"/>
              <w:rPr>
                <w:rFonts w:ascii="Times New Roman" w:hAnsi="Times New Roman" w:cs="Times New Roman"/>
              </w:rPr>
            </w:pPr>
          </w:p>
        </w:tc>
      </w:tr>
      <w:tr w:rsidR="00952395" w14:paraId="7FE1C2D3" w14:textId="77777777">
        <w:trPr>
          <w:trHeight w:val="463"/>
        </w:trPr>
        <w:tc>
          <w:tcPr>
            <w:tcW w:w="1129" w:type="dxa"/>
          </w:tcPr>
          <w:p w14:paraId="7FE1C2CD" w14:textId="77777777" w:rsidR="00952395" w:rsidRDefault="0083775C">
            <w:pPr>
              <w:pStyle w:val="P68B1DB1-Normal45"/>
              <w:spacing w:line="276" w:lineRule="auto"/>
              <w:jc w:val="both"/>
            </w:pPr>
            <w:r>
              <w:t>0090</w:t>
            </w:r>
          </w:p>
        </w:tc>
        <w:tc>
          <w:tcPr>
            <w:tcW w:w="7938" w:type="dxa"/>
            <w:shd w:val="clear" w:color="auto" w:fill="FFFFFF" w:themeFill="background1"/>
          </w:tcPr>
          <w:p w14:paraId="7FE1C2CE" w14:textId="414718EB" w:rsidR="00952395" w:rsidRDefault="0083775C">
            <w:pPr>
              <w:pStyle w:val="P68B1DB1-Normal55"/>
              <w:spacing w:line="276" w:lineRule="auto"/>
              <w:jc w:val="both"/>
              <w:rPr>
                <w:bCs/>
              </w:rPr>
            </w:pPr>
            <w:r>
              <w:t>Kods</w:t>
            </w:r>
          </w:p>
          <w:p w14:paraId="7FE1C2CF" w14:textId="77777777" w:rsidR="00952395" w:rsidRDefault="0083775C">
            <w:pPr>
              <w:pStyle w:val="P68B1DB1-Normal45"/>
              <w:spacing w:line="276" w:lineRule="auto"/>
              <w:jc w:val="both"/>
            </w:pPr>
            <w:r>
              <w:t>Slejā uzrādītais mātesuzņēmuma kods ir:</w:t>
            </w:r>
          </w:p>
          <w:p w14:paraId="7FE1C2D0" w14:textId="77777777" w:rsidR="00952395" w:rsidRDefault="0083775C">
            <w:pPr>
              <w:pStyle w:val="P68B1DB1-Normal45"/>
              <w:spacing w:line="276" w:lineRule="auto"/>
              <w:jc w:val="both"/>
            </w:pPr>
            <w:r>
              <w:t>— vienībām ar juridiskās personas identifikatoru (LEI) — 20 zīmju burtciparu LEI kods;</w:t>
            </w:r>
          </w:p>
          <w:p w14:paraId="7FE1C2D1" w14:textId="77777777" w:rsidR="00952395" w:rsidRDefault="0083775C">
            <w:pPr>
              <w:pStyle w:val="P68B1DB1-Normal45"/>
              <w:spacing w:line="276" w:lineRule="auto"/>
              <w:jc w:val="both"/>
            </w:pPr>
            <w:r>
              <w:t xml:space="preserve">— subjektiem bez LEI — korporatīvās reģistrācijas numurs saskaņā ar valsts tiesību aktiem. </w:t>
            </w:r>
          </w:p>
          <w:p w14:paraId="7FE1C2D2" w14:textId="77777777" w:rsidR="00952395" w:rsidRDefault="00952395">
            <w:pPr>
              <w:spacing w:line="276" w:lineRule="auto"/>
              <w:jc w:val="both"/>
              <w:rPr>
                <w:rFonts w:ascii="Times New Roman" w:eastAsia="Calibri" w:hAnsi="Times New Roman" w:cs="Times New Roman"/>
                <w:sz w:val="20"/>
              </w:rPr>
            </w:pPr>
          </w:p>
        </w:tc>
      </w:tr>
      <w:tr w:rsidR="00952395" w14:paraId="7FE1C2DC" w14:textId="77777777">
        <w:trPr>
          <w:trHeight w:val="463"/>
        </w:trPr>
        <w:tc>
          <w:tcPr>
            <w:tcW w:w="1129" w:type="dxa"/>
          </w:tcPr>
          <w:p w14:paraId="7FE1C2D4" w14:textId="77777777" w:rsidR="00952395" w:rsidRDefault="0083775C">
            <w:pPr>
              <w:pStyle w:val="P68B1DB1-Normal45"/>
              <w:spacing w:line="276" w:lineRule="auto"/>
              <w:jc w:val="both"/>
            </w:pPr>
            <w:r>
              <w:t>0100</w:t>
            </w:r>
          </w:p>
        </w:tc>
        <w:tc>
          <w:tcPr>
            <w:tcW w:w="7938" w:type="dxa"/>
            <w:shd w:val="clear" w:color="auto" w:fill="FFFFFF" w:themeFill="background1"/>
          </w:tcPr>
          <w:p w14:paraId="7FE1C2D5" w14:textId="77777777" w:rsidR="00952395" w:rsidRDefault="0083775C">
            <w:pPr>
              <w:pStyle w:val="P68B1DB1-Normal55"/>
              <w:spacing w:line="276" w:lineRule="auto"/>
              <w:jc w:val="both"/>
              <w:rPr>
                <w:bCs/>
              </w:rPr>
            </w:pPr>
            <w:r>
              <w:t xml:space="preserve">Koda veids </w:t>
            </w:r>
          </w:p>
          <w:p w14:paraId="7FE1C2D6" w14:textId="77777777" w:rsidR="00952395" w:rsidRDefault="0083775C">
            <w:pPr>
              <w:pStyle w:val="P68B1DB1-Normal57"/>
              <w:spacing w:line="276" w:lineRule="auto"/>
              <w:contextualSpacing/>
              <w:jc w:val="both"/>
              <w:rPr>
                <w:bCs/>
              </w:rPr>
            </w:pPr>
            <w:r>
              <w:t>Norādīt vienu no šādām vērtībām:</w:t>
            </w:r>
          </w:p>
          <w:p w14:paraId="7FE1C2D7" w14:textId="77777777" w:rsidR="00952395" w:rsidRDefault="0083775C">
            <w:pPr>
              <w:pStyle w:val="P68B1DB1-ListParagraph58"/>
              <w:numPr>
                <w:ilvl w:val="0"/>
                <w:numId w:val="64"/>
              </w:numPr>
              <w:spacing w:line="276" w:lineRule="auto"/>
              <w:contextualSpacing/>
              <w:jc w:val="both"/>
            </w:pPr>
            <w:r>
              <w:t>JPI (LEI)</w:t>
            </w:r>
          </w:p>
          <w:p w14:paraId="7FE1C2D8" w14:textId="77777777" w:rsidR="00952395" w:rsidRDefault="0083775C">
            <w:pPr>
              <w:pStyle w:val="P68B1DB1-ListParagraph58"/>
              <w:numPr>
                <w:ilvl w:val="0"/>
                <w:numId w:val="64"/>
              </w:numPr>
              <w:spacing w:line="276" w:lineRule="auto"/>
              <w:contextualSpacing/>
              <w:jc w:val="both"/>
            </w:pPr>
            <w:r>
              <w:t>Uzņēmuma reģistrācijas numurs</w:t>
            </w:r>
          </w:p>
          <w:p w14:paraId="7FE1C2DB" w14:textId="010B0D6D" w:rsidR="00952395" w:rsidRDefault="00952395">
            <w:pPr>
              <w:spacing w:line="276" w:lineRule="auto"/>
              <w:jc w:val="both"/>
              <w:rPr>
                <w:rFonts w:ascii="Times New Roman" w:eastAsia="Calibri" w:hAnsi="Times New Roman" w:cs="Times New Roman"/>
                <w:sz w:val="20"/>
              </w:rPr>
            </w:pPr>
          </w:p>
        </w:tc>
      </w:tr>
      <w:tr w:rsidR="00952395" w14:paraId="7FE1C2E4" w14:textId="77777777">
        <w:trPr>
          <w:trHeight w:val="463"/>
        </w:trPr>
        <w:tc>
          <w:tcPr>
            <w:tcW w:w="1129" w:type="dxa"/>
            <w:shd w:val="clear" w:color="auto" w:fill="FFFFFF" w:themeFill="background1"/>
          </w:tcPr>
          <w:p w14:paraId="7FE1C2DD" w14:textId="77777777" w:rsidR="00952395" w:rsidRDefault="0083775C">
            <w:pPr>
              <w:pStyle w:val="P68B1DB1-Normal45"/>
              <w:spacing w:line="276" w:lineRule="auto"/>
              <w:jc w:val="both"/>
            </w:pPr>
            <w:r>
              <w:t>0110</w:t>
            </w:r>
          </w:p>
        </w:tc>
        <w:tc>
          <w:tcPr>
            <w:tcW w:w="7938" w:type="dxa"/>
            <w:shd w:val="clear" w:color="auto" w:fill="FFFFFF" w:themeFill="background1"/>
          </w:tcPr>
          <w:p w14:paraId="7FE1C2DE" w14:textId="77777777" w:rsidR="00952395" w:rsidRDefault="0083775C">
            <w:pPr>
              <w:pStyle w:val="P68B1DB1-Normal45"/>
              <w:spacing w:line="276" w:lineRule="auto"/>
              <w:jc w:val="both"/>
            </w:pPr>
            <w:r>
              <w:rPr>
                <w:b/>
              </w:rPr>
              <w:t>Pakalpojumu sniegšana</w:t>
            </w:r>
            <w:r>
              <w:t xml:space="preserve"> </w:t>
            </w:r>
          </w:p>
          <w:p w14:paraId="7FE1C2DF" w14:textId="77777777" w:rsidR="00952395" w:rsidRDefault="0083775C">
            <w:pPr>
              <w:pStyle w:val="P68B1DB1-Normal45"/>
              <w:spacing w:line="276" w:lineRule="auto"/>
              <w:jc w:val="both"/>
            </w:pPr>
            <w:r>
              <w:t>“Vienība”, ja viena uzņēmējdarbības vienība sniedz pakalpojumu tās pašas juridiskās personas citai uzņēmējdarbības vienībai.</w:t>
            </w:r>
          </w:p>
          <w:p w14:paraId="7FE1C2E0" w14:textId="200EB8B6" w:rsidR="00952395" w:rsidRDefault="0083775C">
            <w:pPr>
              <w:spacing w:line="276" w:lineRule="auto"/>
              <w:jc w:val="both"/>
              <w:rPr>
                <w:rFonts w:ascii="Times New Roman" w:eastAsia="Calibri" w:hAnsi="Times New Roman" w:cs="Times New Roman"/>
                <w:sz w:val="20"/>
              </w:rPr>
            </w:pPr>
            <w:r>
              <w:rPr>
                <w:rFonts w:ascii="Times New Roman" w:eastAsia="Calibri" w:hAnsi="Times New Roman" w:cs="Times New Roman"/>
                <w:sz w:val="20"/>
              </w:rPr>
              <w:t>“Grupas iekšienē — regulēta vienība”, ja pakalpojumu</w:t>
            </w:r>
            <w:r>
              <w:rPr>
                <w:rFonts w:ascii="Times New Roman" w:hAnsi="Times New Roman" w:cs="Times New Roman"/>
              </w:rPr>
              <w:t xml:space="preserve"> </w:t>
            </w:r>
            <w:r>
              <w:rPr>
                <w:rFonts w:ascii="Times New Roman" w:eastAsia="Calibri" w:hAnsi="Times New Roman" w:cs="Times New Roman"/>
                <w:sz w:val="20"/>
              </w:rPr>
              <w:t>sniedz grupas vienība, uz kuru individuāli attiecas prudenciālais regulējums attiecībā uz kapitālu/likviditāti, tostarp gadījumos, kad prudenciālās prasības ir atceltas.</w:t>
            </w:r>
          </w:p>
          <w:p w14:paraId="7FE1C2E1" w14:textId="6FD0E03D" w:rsidR="00952395" w:rsidRDefault="0083775C">
            <w:pPr>
              <w:pStyle w:val="P68B1DB1-Normal45"/>
              <w:spacing w:line="276" w:lineRule="auto"/>
              <w:jc w:val="both"/>
            </w:pPr>
            <w:r>
              <w:t>“Grupas iekšienē — neregulēta sabiedrība”, ja pakalpojumu sniedz grupas vienība, kas ir darbspējīga vienība, uz kuru individuāli neattiecas prudenciālais regulējums attiecībā uz kapitālu/likviditāti, tostarp, ja prudenciālās prasības ir atceltas.</w:t>
            </w:r>
          </w:p>
          <w:p w14:paraId="7FE1C2E2" w14:textId="7B6AA381" w:rsidR="00952395" w:rsidRDefault="0083775C">
            <w:pPr>
              <w:pStyle w:val="P68B1DB1-Normal45"/>
              <w:spacing w:line="276" w:lineRule="auto"/>
              <w:jc w:val="both"/>
            </w:pPr>
            <w:r>
              <w:t>“Ārējs subjekts”, ja pakalpojumu sniedz ārējs pakalpojumu sniedzējs, kas ir ārpus grupas.</w:t>
            </w:r>
          </w:p>
          <w:p w14:paraId="7FE1C2E3" w14:textId="77777777" w:rsidR="00952395" w:rsidRDefault="00952395">
            <w:pPr>
              <w:spacing w:line="276" w:lineRule="auto"/>
              <w:jc w:val="both"/>
              <w:rPr>
                <w:rFonts w:ascii="Times New Roman" w:eastAsia="Calibri" w:hAnsi="Times New Roman" w:cs="Times New Roman"/>
                <w:i/>
                <w:sz w:val="20"/>
              </w:rPr>
            </w:pPr>
          </w:p>
        </w:tc>
      </w:tr>
      <w:tr w:rsidR="00952395" w14:paraId="7FE1C2EB" w14:textId="77777777">
        <w:trPr>
          <w:trHeight w:val="463"/>
        </w:trPr>
        <w:tc>
          <w:tcPr>
            <w:tcW w:w="1129" w:type="dxa"/>
            <w:shd w:val="clear" w:color="auto" w:fill="FFFFFF" w:themeFill="background1"/>
          </w:tcPr>
          <w:p w14:paraId="7FE1C2E5" w14:textId="77777777" w:rsidR="00952395" w:rsidRDefault="0083775C">
            <w:pPr>
              <w:pStyle w:val="P68B1DB1-Normal50"/>
              <w:spacing w:line="276" w:lineRule="auto"/>
              <w:jc w:val="both"/>
            </w:pPr>
            <w:r>
              <w:t>0120</w:t>
            </w:r>
          </w:p>
          <w:p w14:paraId="7FE1C2E6" w14:textId="77777777" w:rsidR="00952395" w:rsidRDefault="00952395">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952395" w:rsidRDefault="0083775C">
            <w:pPr>
              <w:pStyle w:val="P68B1DB1-Normal49"/>
              <w:spacing w:line="276" w:lineRule="auto"/>
              <w:jc w:val="both"/>
              <w:rPr>
                <w:bCs/>
                <w:strike/>
              </w:rPr>
            </w:pPr>
            <w:r>
              <w:t>Svarīgums</w:t>
            </w:r>
            <w:r>
              <w:rPr>
                <w:strike/>
              </w:rPr>
              <w:t xml:space="preserve"> </w:t>
            </w:r>
          </w:p>
          <w:p w14:paraId="7FE1C2E8" w14:textId="77777777" w:rsidR="00952395" w:rsidRDefault="0083775C">
            <w:pPr>
              <w:pStyle w:val="P68B1DB1-ListParagraph58"/>
              <w:numPr>
                <w:ilvl w:val="0"/>
                <w:numId w:val="239"/>
              </w:numPr>
              <w:spacing w:line="276" w:lineRule="auto"/>
              <w:contextualSpacing/>
              <w:jc w:val="both"/>
            </w:pPr>
            <w:r>
              <w:t>Kritiski svarīgi: ja pakalpojums ir nepieciešams vienas vai vairāku kritiski svarīgu funkciju veikšanai un kuru pārtraukšana nopietni kavētu vai kavētu šo kritiski svarīgo funkciju izpildi.</w:t>
            </w:r>
          </w:p>
          <w:p w14:paraId="7FE1C2E9" w14:textId="77777777" w:rsidR="00952395" w:rsidRDefault="0083775C">
            <w:pPr>
              <w:pStyle w:val="P68B1DB1-ListParagraph9"/>
              <w:numPr>
                <w:ilvl w:val="0"/>
                <w:numId w:val="239"/>
              </w:numPr>
              <w:spacing w:line="276" w:lineRule="auto"/>
              <w:contextualSpacing/>
              <w:jc w:val="both"/>
              <w:rPr>
                <w:sz w:val="20"/>
              </w:rPr>
            </w:pPr>
            <w:r>
              <w:rPr>
                <w:sz w:val="20"/>
              </w:rPr>
              <w:t>Būtiskie kritēriji ja kļūda</w:t>
            </w:r>
            <w:r>
              <w:t xml:space="preserve"> </w:t>
            </w:r>
            <w:r>
              <w:rPr>
                <w:sz w:val="20"/>
              </w:rPr>
              <w:t>ir saistīta ar galvenajām darbības jomām, kuru nepārtrauktība ir nepieciešama noregulējuma stratēģijas efektīvai īstenošanai un jebkādai no tās izrietošai pārstrukturēšanai.</w:t>
            </w:r>
          </w:p>
          <w:p w14:paraId="7FE1C2EA" w14:textId="3B37659B" w:rsidR="00952395" w:rsidRDefault="0083775C">
            <w:pPr>
              <w:pStyle w:val="P68B1DB1-ListParagraph58"/>
              <w:numPr>
                <w:ilvl w:val="0"/>
                <w:numId w:val="239"/>
              </w:numPr>
              <w:spacing w:line="276" w:lineRule="auto"/>
              <w:contextualSpacing/>
              <w:jc w:val="both"/>
            </w:pPr>
            <w:r>
              <w:t>Kritiski un būtiski</w:t>
            </w:r>
          </w:p>
        </w:tc>
      </w:tr>
      <w:tr w:rsidR="00952395" w14:paraId="7FE1C2F0" w14:textId="77777777">
        <w:trPr>
          <w:trHeight w:val="463"/>
        </w:trPr>
        <w:tc>
          <w:tcPr>
            <w:tcW w:w="1129" w:type="dxa"/>
            <w:shd w:val="clear" w:color="auto" w:fill="FFFFFF" w:themeFill="background1"/>
          </w:tcPr>
          <w:p w14:paraId="7FE1C2EC" w14:textId="77777777" w:rsidR="00952395" w:rsidRDefault="0083775C">
            <w:pPr>
              <w:pStyle w:val="P68B1DB1-Normal45"/>
              <w:spacing w:line="276" w:lineRule="auto"/>
              <w:jc w:val="both"/>
            </w:pPr>
            <w:r>
              <w:t>0130</w:t>
            </w:r>
          </w:p>
        </w:tc>
        <w:tc>
          <w:tcPr>
            <w:tcW w:w="7938" w:type="dxa"/>
            <w:shd w:val="clear" w:color="auto" w:fill="FFFFFF" w:themeFill="background1"/>
          </w:tcPr>
          <w:p w14:paraId="7FE1C2ED" w14:textId="77777777" w:rsidR="00952395" w:rsidRDefault="0083775C">
            <w:pPr>
              <w:pStyle w:val="P68B1DB1-Normal49"/>
              <w:spacing w:line="276" w:lineRule="auto"/>
              <w:jc w:val="both"/>
              <w:rPr>
                <w:bCs/>
              </w:rPr>
            </w:pPr>
            <w:r>
              <w:t>Līguma ID</w:t>
            </w:r>
          </w:p>
          <w:p w14:paraId="7FE1C2EE" w14:textId="77777777" w:rsidR="00952395" w:rsidRDefault="0083775C">
            <w:pPr>
              <w:pStyle w:val="P68B1DB1-Normal45"/>
              <w:spacing w:line="276" w:lineRule="auto"/>
              <w:jc w:val="both"/>
            </w:pPr>
            <w:r>
              <w:t>Pakalpojuma pamatā esošā līguma unikālais identifikators saskaņā ar grupas pakalpojumu taksonomiju.</w:t>
            </w:r>
          </w:p>
          <w:p w14:paraId="7FE1C2EF" w14:textId="77777777" w:rsidR="00952395" w:rsidRDefault="00952395">
            <w:pPr>
              <w:spacing w:line="276" w:lineRule="auto"/>
              <w:jc w:val="both"/>
              <w:rPr>
                <w:rFonts w:ascii="Times New Roman" w:eastAsia="Calibri" w:hAnsi="Times New Roman" w:cs="Times New Roman"/>
                <w:sz w:val="20"/>
              </w:rPr>
            </w:pPr>
          </w:p>
        </w:tc>
      </w:tr>
      <w:tr w:rsidR="00952395" w14:paraId="7FE1C2F6" w14:textId="77777777">
        <w:trPr>
          <w:trHeight w:val="628"/>
        </w:trPr>
        <w:tc>
          <w:tcPr>
            <w:tcW w:w="1129" w:type="dxa"/>
          </w:tcPr>
          <w:p w14:paraId="7FE1C2F1" w14:textId="77777777" w:rsidR="00952395" w:rsidRDefault="0083775C">
            <w:pPr>
              <w:pStyle w:val="P68B1DB1-Normal45"/>
              <w:spacing w:line="276" w:lineRule="auto"/>
              <w:jc w:val="both"/>
            </w:pPr>
            <w:r>
              <w:t>0140</w:t>
            </w:r>
          </w:p>
          <w:p w14:paraId="7FE1C2F2" w14:textId="77777777" w:rsidR="00952395" w:rsidRDefault="00952395">
            <w:pPr>
              <w:spacing w:line="276" w:lineRule="auto"/>
              <w:jc w:val="both"/>
              <w:rPr>
                <w:rFonts w:ascii="Times New Roman" w:eastAsia="Calibri" w:hAnsi="Times New Roman" w:cs="Times New Roman"/>
                <w:strike/>
                <w:sz w:val="20"/>
              </w:rPr>
            </w:pPr>
          </w:p>
        </w:tc>
        <w:tc>
          <w:tcPr>
            <w:tcW w:w="7938" w:type="dxa"/>
          </w:tcPr>
          <w:p w14:paraId="7FE1C2F3" w14:textId="77777777" w:rsidR="00952395" w:rsidRDefault="0083775C">
            <w:pPr>
              <w:pStyle w:val="P68B1DB1-Normal55"/>
              <w:spacing w:line="276" w:lineRule="auto"/>
              <w:jc w:val="both"/>
            </w:pPr>
            <w:r>
              <w:rPr>
                <w:szCs w:val="20"/>
              </w:rPr>
              <w:t>Reglamentējošie tiesību akti</w:t>
            </w:r>
            <w:r>
              <w:t xml:space="preserve"> </w:t>
            </w:r>
          </w:p>
          <w:p w14:paraId="7FE1C2F4" w14:textId="77777777" w:rsidR="00952395" w:rsidRDefault="0083775C">
            <w:pPr>
              <w:pStyle w:val="P68B1DB1-Normal45"/>
              <w:spacing w:line="276" w:lineRule="auto"/>
              <w:jc w:val="both"/>
            </w:pPr>
            <w:r>
              <w:t>Tās valsts ISO kods, kuras tiesību akti līgumam ir piemērojami.</w:t>
            </w:r>
          </w:p>
          <w:p w14:paraId="7FE1C2F5" w14:textId="77777777" w:rsidR="00952395" w:rsidRDefault="00952395">
            <w:pPr>
              <w:spacing w:line="276" w:lineRule="auto"/>
              <w:jc w:val="both"/>
              <w:rPr>
                <w:rFonts w:ascii="Times New Roman" w:eastAsia="Calibri" w:hAnsi="Times New Roman" w:cs="Times New Roman"/>
                <w:sz w:val="20"/>
              </w:rPr>
            </w:pPr>
          </w:p>
        </w:tc>
      </w:tr>
      <w:tr w:rsidR="00952395" w14:paraId="7FE1C2FC" w14:textId="77777777">
        <w:trPr>
          <w:trHeight w:val="628"/>
        </w:trPr>
        <w:tc>
          <w:tcPr>
            <w:tcW w:w="1129" w:type="dxa"/>
          </w:tcPr>
          <w:p w14:paraId="7FE1C2F7" w14:textId="77777777" w:rsidR="00952395" w:rsidRDefault="0083775C">
            <w:pPr>
              <w:pStyle w:val="P68B1DB1-Normal45"/>
              <w:spacing w:line="276" w:lineRule="auto"/>
              <w:jc w:val="both"/>
            </w:pPr>
            <w:r>
              <w:lastRenderedPageBreak/>
              <w:t>0150–0170</w:t>
            </w:r>
          </w:p>
          <w:p w14:paraId="7FE1C2F8" w14:textId="77777777" w:rsidR="00952395" w:rsidRDefault="00952395">
            <w:pPr>
              <w:spacing w:line="276" w:lineRule="auto"/>
              <w:jc w:val="both"/>
              <w:rPr>
                <w:rFonts w:ascii="Times New Roman" w:eastAsia="Calibri" w:hAnsi="Times New Roman" w:cs="Times New Roman"/>
                <w:strike/>
                <w:sz w:val="20"/>
              </w:rPr>
            </w:pPr>
          </w:p>
        </w:tc>
        <w:tc>
          <w:tcPr>
            <w:tcW w:w="7938" w:type="dxa"/>
          </w:tcPr>
          <w:p w14:paraId="7FE1C2F9" w14:textId="77777777" w:rsidR="00952395" w:rsidRDefault="0083775C">
            <w:pPr>
              <w:pStyle w:val="P68B1DB1-Normal49"/>
              <w:spacing w:before="120" w:after="120" w:line="276" w:lineRule="auto"/>
              <w:rPr>
                <w:bCs/>
                <w:iCs/>
              </w:rPr>
            </w:pPr>
            <w:r>
              <w:t xml:space="preserve">Noregulējuma noturība </w:t>
            </w:r>
          </w:p>
          <w:p w14:paraId="7FE1C2FA" w14:textId="77777777" w:rsidR="00952395" w:rsidRDefault="0083775C">
            <w:pPr>
              <w:pStyle w:val="P68B1DB1-NormalWeb59"/>
              <w:spacing w:before="0" w:beforeAutospacing="0" w:after="0" w:afterAutospacing="0"/>
              <w:rPr>
                <w:iCs/>
                <w:szCs w:val="20"/>
              </w:rPr>
            </w:pPr>
            <w:r>
              <w:rPr>
                <w:szCs w:val="20"/>
              </w:rPr>
              <w:t xml:space="preserve">Novērtējumu par to, vai līgumu, kas atbalsta 0020. slejā norādīto pakalpojumu, varētu turpināt un nodot noregulējuma stratēģijas, tostarp uzņēmējdarbības reorganizācijas plāna, īstenošanas laikā </w:t>
            </w:r>
            <w:r>
              <w:t>saskaņā ar EBA/GL/2022/01 un attiecīgajiem valsts tiesību aktiem.</w:t>
            </w:r>
          </w:p>
          <w:p w14:paraId="7FE1C2FB" w14:textId="77777777" w:rsidR="00952395" w:rsidRDefault="00952395">
            <w:pPr>
              <w:spacing w:line="276" w:lineRule="auto"/>
              <w:jc w:val="both"/>
              <w:rPr>
                <w:rFonts w:ascii="Times New Roman" w:eastAsia="Calibri" w:hAnsi="Times New Roman" w:cs="Times New Roman"/>
                <w:iCs/>
                <w:sz w:val="20"/>
                <w:szCs w:val="20"/>
              </w:rPr>
            </w:pPr>
          </w:p>
        </w:tc>
      </w:tr>
      <w:tr w:rsidR="00952395" w14:paraId="7FE1C30C" w14:textId="77777777">
        <w:trPr>
          <w:trHeight w:val="2120"/>
        </w:trPr>
        <w:tc>
          <w:tcPr>
            <w:tcW w:w="1129" w:type="dxa"/>
          </w:tcPr>
          <w:p w14:paraId="7FE1C2FD" w14:textId="77777777" w:rsidR="00952395" w:rsidRDefault="0083775C">
            <w:pPr>
              <w:pStyle w:val="P68B1DB1-Normal45"/>
              <w:spacing w:line="276" w:lineRule="auto"/>
              <w:jc w:val="both"/>
            </w:pPr>
            <w:r>
              <w:t>0150</w:t>
            </w:r>
          </w:p>
        </w:tc>
        <w:tc>
          <w:tcPr>
            <w:tcW w:w="7938" w:type="dxa"/>
          </w:tcPr>
          <w:p w14:paraId="7FE1C2FE" w14:textId="77777777" w:rsidR="00952395" w:rsidRDefault="0083775C">
            <w:pPr>
              <w:pStyle w:val="P68B1DB1-Normal55"/>
              <w:spacing w:line="276" w:lineRule="auto"/>
              <w:jc w:val="both"/>
              <w:rPr>
                <w:bCs/>
              </w:rPr>
            </w:pPr>
            <w:r>
              <w:rPr>
                <w:szCs w:val="20"/>
              </w:rPr>
              <w:t>Noregulējuma noturības elementi</w:t>
            </w:r>
            <w:r>
              <w:t xml:space="preserve"> </w:t>
            </w:r>
          </w:p>
          <w:p w14:paraId="7FE1C2FF" w14:textId="77777777" w:rsidR="00952395" w:rsidRDefault="0083775C">
            <w:pPr>
              <w:pStyle w:val="P68B1DB1-Normal50"/>
              <w:spacing w:line="276" w:lineRule="auto"/>
              <w:jc w:val="both"/>
              <w:rPr>
                <w:iCs/>
              </w:rPr>
            </w:pPr>
            <w:r>
              <w:t>Pret noregulējumu noturīgas iezīmes ir īpašības, kas, kā paredzams, būs attiecīgais pakalpojumu līgums, lai to varētu uzskatīt par pret noregulējumu noturīgām. Tie ietver šādus elementus, ar noteikumu, ka tiek turpināta līgumā paredzēto materiālo saistību izpilde:</w:t>
            </w:r>
          </w:p>
          <w:p w14:paraId="7FE1C300" w14:textId="77777777" w:rsidR="00952395" w:rsidRDefault="0083775C">
            <w:pPr>
              <w:pStyle w:val="P68B1DB1-ListParagraph60"/>
              <w:numPr>
                <w:ilvl w:val="0"/>
                <w:numId w:val="240"/>
              </w:numPr>
              <w:spacing w:line="276" w:lineRule="auto"/>
              <w:ind w:left="500"/>
              <w:contextualSpacing/>
              <w:jc w:val="both"/>
              <w:rPr>
                <w:iCs/>
              </w:rPr>
            </w:pPr>
            <w:r>
              <w:t xml:space="preserve">nekāda izbeigšana, apturēšana vai grozīšana noregulējuma dēļ (tostarp uzņēmējdarbības reorganizācija saskaņā ar Direktīvas 2014/59/ES 51. pantu); </w:t>
            </w:r>
          </w:p>
          <w:p w14:paraId="7FE1C301" w14:textId="77777777" w:rsidR="00952395" w:rsidRDefault="0083775C">
            <w:pPr>
              <w:pStyle w:val="P68B1DB1-ListParagraph60"/>
              <w:numPr>
                <w:ilvl w:val="0"/>
                <w:numId w:val="240"/>
              </w:numPr>
              <w:spacing w:line="276" w:lineRule="auto"/>
              <w:ind w:left="500"/>
              <w:contextualSpacing/>
              <w:jc w:val="both"/>
              <w:rPr>
                <w:iCs/>
              </w:rPr>
            </w:pPr>
            <w:r>
              <w:t xml:space="preserve">pakalpojumu sniegšanas pārvedamība jaunam saņēmējam, ko veic pakalpojuma saņēmējs vai noregulējuma iestāde noregulējuma dēļ (tostarp reorganizācija saskaņā ar Direktīvas 2014/59/ES 51. pantu); </w:t>
            </w:r>
          </w:p>
          <w:p w14:paraId="7FE1C302" w14:textId="77777777" w:rsidR="00952395" w:rsidRDefault="0083775C">
            <w:pPr>
              <w:pStyle w:val="P68B1DB1-ListParagraph60"/>
              <w:numPr>
                <w:ilvl w:val="0"/>
                <w:numId w:val="240"/>
              </w:numPr>
              <w:spacing w:line="276" w:lineRule="auto"/>
              <w:ind w:left="500"/>
              <w:contextualSpacing/>
              <w:jc w:val="both"/>
              <w:rPr>
                <w:iCs/>
              </w:rPr>
            </w:pPr>
            <w:r>
              <w:t>atbalstu pārveduma vai izbeigšanas gadījumā, kas notiek noregulējuma laikā (tostarp reorganizācija saskaņā ar Direktīvas 2014/59/ES 51. pantu) uz saprātīgu laikposmu (piemēram, 24 mēnešus) un ko veic pašreizējais pakalpojumu sniedzējs saskaņā ar tādiem pašiem noteikumiem un nosacījumiem; kā arī</w:t>
            </w:r>
          </w:p>
          <w:p w14:paraId="7FE1C303" w14:textId="77777777" w:rsidR="00952395" w:rsidRDefault="0083775C">
            <w:pPr>
              <w:pStyle w:val="P68B1DB1-ListParagraph60"/>
              <w:numPr>
                <w:ilvl w:val="0"/>
                <w:numId w:val="240"/>
              </w:numPr>
              <w:spacing w:line="276" w:lineRule="auto"/>
              <w:ind w:left="500"/>
              <w:contextualSpacing/>
              <w:jc w:val="both"/>
              <w:rPr>
                <w:iCs/>
              </w:rPr>
            </w:pPr>
            <w:r>
              <w:t>pakalpojumu sniegšanas turpināšana atsavinātai grupas vienībai noregulējuma laikā (tostarp reorganizācija saskaņā ar Direktīvas 2014/59/ES 51. pantu) saprātīgu laikposmu pēc atsavināšanas, piemēram, 24 mēnešus.</w:t>
            </w:r>
          </w:p>
          <w:p w14:paraId="7FE1C304" w14:textId="77777777" w:rsidR="00952395" w:rsidRDefault="0083775C">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Tas attiecas uz līgumiem, uz kuriem attiecas ES dalībvalsts tiesību akti un jurisdikcija</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(“ES līgumi”), un līgumiem, kuriem piemēro trešās valsts tiesību aktus.</w:t>
            </w:r>
          </w:p>
          <w:p w14:paraId="7FE1C305" w14:textId="77777777" w:rsidR="00952395" w:rsidRDefault="00952395">
            <w:pPr>
              <w:spacing w:line="276" w:lineRule="auto"/>
              <w:jc w:val="both"/>
              <w:rPr>
                <w:rFonts w:ascii="Times New Roman" w:eastAsia="Calibri" w:hAnsi="Times New Roman" w:cs="Times New Roman"/>
                <w:sz w:val="20"/>
              </w:rPr>
            </w:pPr>
          </w:p>
          <w:p w14:paraId="7FE1C306" w14:textId="77777777" w:rsidR="00952395" w:rsidRDefault="0083775C">
            <w:pPr>
              <w:pStyle w:val="P68B1DB1-Normal45"/>
              <w:spacing w:line="276" w:lineRule="auto"/>
              <w:jc w:val="both"/>
            </w:pPr>
            <w:r>
              <w:t>Norādīt vienu no šādām vērtībām:</w:t>
            </w:r>
          </w:p>
          <w:p w14:paraId="7FE1C307" w14:textId="77777777" w:rsidR="00952395" w:rsidRDefault="0083775C">
            <w:pPr>
              <w:pStyle w:val="P68B1DB1-Normal50"/>
              <w:spacing w:line="276" w:lineRule="auto"/>
              <w:jc w:val="both"/>
            </w:pPr>
            <w:r>
              <w:t>“Jā” — ja līgums tiek novērtēts kā</w:t>
            </w:r>
            <w:r>
              <w:rPr>
                <w:strike/>
              </w:rPr>
              <w:t xml:space="preserve">noregulējuma apliecinājums </w:t>
            </w:r>
          </w:p>
          <w:p w14:paraId="7FE1C308" w14:textId="77777777" w:rsidR="00952395" w:rsidRDefault="0083775C">
            <w:pPr>
              <w:pStyle w:val="P68B1DB1-Normal50"/>
              <w:spacing w:line="276" w:lineRule="auto"/>
              <w:jc w:val="both"/>
            </w:pPr>
            <w:r>
              <w:t>“Nē” — ja līgums netiek novērtēts kā</w:t>
            </w:r>
            <w:r>
              <w:rPr>
                <w:strike/>
              </w:rPr>
              <w:t xml:space="preserve"> noregulējuma apliecinājums </w:t>
            </w:r>
          </w:p>
          <w:p w14:paraId="7FE1C309" w14:textId="77777777" w:rsidR="00952395" w:rsidRDefault="0083775C">
            <w:pPr>
              <w:pStyle w:val="P68B1DB1-Normal50"/>
              <w:spacing w:line="276" w:lineRule="auto"/>
              <w:jc w:val="both"/>
            </w:pPr>
            <w:r>
              <w:t>“Nav novērtēts” — ja nekāds vērtējums nav veikts</w:t>
            </w:r>
          </w:p>
          <w:p w14:paraId="7FE1C30A" w14:textId="5741BAA8" w:rsidR="00952395" w:rsidRDefault="0083775C">
            <w:pPr>
              <w:pStyle w:val="P68B1DB1-Normal50"/>
              <w:spacing w:line="276" w:lineRule="auto"/>
              <w:jc w:val="both"/>
            </w:pPr>
            <w:r>
              <w:t>“Nav PIEŅEMTS” — attiecībā uz vienības iekšējiem pakalpojumiem</w:t>
            </w:r>
          </w:p>
          <w:p w14:paraId="7FE1C30B" w14:textId="77777777" w:rsidR="00952395" w:rsidRDefault="00952395">
            <w:pPr>
              <w:spacing w:line="276" w:lineRule="auto"/>
              <w:jc w:val="both"/>
              <w:rPr>
                <w:rFonts w:ascii="Times New Roman" w:eastAsia="Calibri" w:hAnsi="Times New Roman" w:cs="Times New Roman"/>
                <w:sz w:val="20"/>
              </w:rPr>
            </w:pPr>
          </w:p>
        </w:tc>
      </w:tr>
      <w:tr w:rsidR="00952395" w14:paraId="7FE1C316" w14:textId="77777777">
        <w:trPr>
          <w:trHeight w:val="2120"/>
        </w:trPr>
        <w:tc>
          <w:tcPr>
            <w:tcW w:w="1129" w:type="dxa"/>
          </w:tcPr>
          <w:p w14:paraId="7FE1C30D" w14:textId="77777777" w:rsidR="00952395" w:rsidRDefault="0083775C">
            <w:pPr>
              <w:pStyle w:val="P68B1DB1-Normal45"/>
              <w:spacing w:line="276" w:lineRule="auto"/>
              <w:jc w:val="both"/>
            </w:pPr>
            <w:r>
              <w:t>0160</w:t>
            </w:r>
          </w:p>
        </w:tc>
        <w:tc>
          <w:tcPr>
            <w:tcW w:w="7938" w:type="dxa"/>
          </w:tcPr>
          <w:p w14:paraId="7FE1C30E" w14:textId="77777777" w:rsidR="00952395" w:rsidRDefault="0083775C">
            <w:pPr>
              <w:pStyle w:val="P68B1DB1-Normal55"/>
              <w:spacing w:line="276" w:lineRule="auto"/>
              <w:jc w:val="both"/>
              <w:rPr>
                <w:bCs/>
                <w:iCs/>
              </w:rPr>
            </w:pPr>
            <w:r>
              <w:t>Uzņēmējdarbības reorganizācijas plāns (BRP)</w:t>
            </w:r>
          </w:p>
          <w:p w14:paraId="7FE1C30F" w14:textId="77777777" w:rsidR="00952395" w:rsidRDefault="0083775C">
            <w:pPr>
              <w:pStyle w:val="P68B1DB1-Normal45"/>
              <w:spacing w:line="276" w:lineRule="auto"/>
              <w:jc w:val="both"/>
              <w:rPr>
                <w:iCs/>
              </w:rPr>
            </w:pPr>
            <w:r>
              <w:t xml:space="preserve">Ja noregulējuma stratēģijā (vēlamajā vai variantā) ir nepieciešams uzņēmējdarbības reorganizācijas plāns (BRP), paredzams, ka ES līgumos būs iekļautas skaidras klauzulas, lai nodrošinātu to noregulējuma noturību BRP īstenošanā. </w:t>
            </w:r>
          </w:p>
          <w:p w14:paraId="7FE1C310" w14:textId="77777777" w:rsidR="00952395" w:rsidRDefault="00952395">
            <w:pPr>
              <w:spacing w:line="276" w:lineRule="auto"/>
              <w:jc w:val="both"/>
              <w:rPr>
                <w:rFonts w:ascii="Times New Roman" w:eastAsia="Calibri" w:hAnsi="Times New Roman" w:cs="Times New Roman"/>
                <w:iCs/>
                <w:sz w:val="20"/>
              </w:rPr>
            </w:pPr>
          </w:p>
          <w:p w14:paraId="7FE1C311" w14:textId="77777777" w:rsidR="00952395" w:rsidRDefault="0083775C">
            <w:pPr>
              <w:pStyle w:val="P68B1DB1-Normal45"/>
              <w:spacing w:line="276" w:lineRule="auto"/>
              <w:jc w:val="both"/>
              <w:rPr>
                <w:iCs/>
              </w:rPr>
            </w:pPr>
            <w:r>
              <w:t>Norādīt vienu no šādām vērtībām:</w:t>
            </w:r>
          </w:p>
          <w:p w14:paraId="7FE1C312" w14:textId="77777777" w:rsidR="00952395" w:rsidRDefault="0083775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Jā” — ja līgumā ir iekļautas skaidras klauzulas, lai nodrošinātu to noregulējuma noturību BRP īstenošanā</w:t>
            </w:r>
          </w:p>
          <w:p w14:paraId="7FE1C313" w14:textId="77777777" w:rsidR="00952395" w:rsidRDefault="0083775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Nē” — ja līgumā nav iekļautas skaidras klauzulas, lai nodrošinātu to noregulējuma noturību BRP īstenošanā</w:t>
            </w:r>
          </w:p>
          <w:p w14:paraId="7FE1C314" w14:textId="77777777" w:rsidR="00952395" w:rsidRDefault="0083775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Nav novērtēts” — ja nekāds vērtējums nav veikts</w:t>
            </w:r>
          </w:p>
          <w:p w14:paraId="7FE1C315" w14:textId="0FA2A696" w:rsidR="00952395" w:rsidRDefault="0083775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Nav PIEŅEMTS” — attiecībā uz vienības iekšējiem pakalpojumiem vai grupas iekšējiem un ārējiem pakalpojumiem, ja noregulējuma stratēģijai (vēlamajam un variantam) nav nepieciešams uzņēmējdarbības reorganizācijas plāns </w:t>
            </w:r>
          </w:p>
        </w:tc>
      </w:tr>
      <w:tr w:rsidR="00952395" w14:paraId="7FE1C320" w14:textId="77777777">
        <w:trPr>
          <w:trHeight w:val="416"/>
        </w:trPr>
        <w:tc>
          <w:tcPr>
            <w:tcW w:w="1129" w:type="dxa"/>
          </w:tcPr>
          <w:p w14:paraId="7FE1C317" w14:textId="77777777" w:rsidR="00952395" w:rsidRDefault="0083775C">
            <w:pPr>
              <w:pStyle w:val="P68B1DB1-Normal45"/>
              <w:spacing w:line="276" w:lineRule="auto"/>
              <w:jc w:val="both"/>
            </w:pPr>
            <w:r>
              <w:lastRenderedPageBreak/>
              <w:t>0170</w:t>
            </w:r>
          </w:p>
        </w:tc>
        <w:tc>
          <w:tcPr>
            <w:tcW w:w="7938" w:type="dxa"/>
          </w:tcPr>
          <w:p w14:paraId="7FE1C318" w14:textId="77777777" w:rsidR="00952395" w:rsidRDefault="0083775C">
            <w:pPr>
              <w:pStyle w:val="P68B1DB1-Normal55"/>
              <w:spacing w:line="276" w:lineRule="auto"/>
              <w:jc w:val="both"/>
              <w:rPr>
                <w:bCs/>
              </w:rPr>
            </w:pPr>
            <w:r>
              <w:t xml:space="preserve">Alternatīvi riska mazināšanas pasākumi </w:t>
            </w:r>
          </w:p>
          <w:p w14:paraId="7FE1C319" w14:textId="77777777" w:rsidR="00952395" w:rsidRDefault="0083775C">
            <w:pPr>
              <w:pStyle w:val="P68B1DB1-Normal45"/>
              <w:spacing w:line="276" w:lineRule="auto"/>
              <w:jc w:val="both"/>
            </w:pPr>
            <w:r>
              <w:t xml:space="preserve">Ja paredzams, ka noregulējuma noturība tiks sasniegta, bet bankas nav spējušas to darīt, tiek sagaidīts, ka bankas izpētīs alternatīvas riska mazināšanas darbības. </w:t>
            </w:r>
          </w:p>
          <w:p w14:paraId="7FE1C31A" w14:textId="77777777" w:rsidR="00952395" w:rsidRDefault="00952395">
            <w:pPr>
              <w:spacing w:line="276" w:lineRule="auto"/>
              <w:jc w:val="both"/>
              <w:rPr>
                <w:rFonts w:ascii="Times New Roman" w:eastAsia="Calibri" w:hAnsi="Times New Roman" w:cs="Times New Roman"/>
                <w:sz w:val="20"/>
              </w:rPr>
            </w:pPr>
          </w:p>
          <w:p w14:paraId="7FE1C31B" w14:textId="77777777" w:rsidR="00952395" w:rsidRDefault="0083775C">
            <w:pPr>
              <w:pStyle w:val="P68B1DB1-Normal45"/>
              <w:spacing w:line="276" w:lineRule="auto"/>
              <w:jc w:val="both"/>
              <w:rPr>
                <w:iCs/>
              </w:rPr>
            </w:pPr>
            <w:r>
              <w:t>Norādīt vienu no šādām vērtībām:</w:t>
            </w:r>
          </w:p>
          <w:p w14:paraId="7FE1C31C" w14:textId="77777777" w:rsidR="00952395" w:rsidRDefault="0083775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Jā” — ja banka ir īstenojusi alternatīvus riska mazināšanas pasākumus</w:t>
            </w:r>
          </w:p>
          <w:p w14:paraId="7FE1C31D" w14:textId="77777777" w:rsidR="00952395" w:rsidRDefault="0083775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Nē” — ja banka nav īstenojusi alternatīvus riska mazināšanas pasākumus</w:t>
            </w:r>
          </w:p>
          <w:p w14:paraId="7FE1C31E" w14:textId="7B22C50F" w:rsidR="00952395" w:rsidRDefault="0083775C">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Nav APLIECINĀJUMS” — gadījumos, kad kāda no 0150. un 0160. slejām ir atzīmēta ar “Jā” vai “NAV PIEŅEMTS”</w:t>
            </w:r>
          </w:p>
          <w:p w14:paraId="7FE1C31F" w14:textId="77777777" w:rsidR="00952395" w:rsidRDefault="00952395">
            <w:pPr>
              <w:spacing w:line="276" w:lineRule="auto"/>
              <w:jc w:val="both"/>
              <w:rPr>
                <w:rFonts w:ascii="Times New Roman" w:eastAsia="Calibri" w:hAnsi="Times New Roman" w:cs="Times New Roman"/>
                <w:sz w:val="20"/>
              </w:rPr>
            </w:pPr>
          </w:p>
        </w:tc>
      </w:tr>
      <w:tr w:rsidR="00952395" w14:paraId="7FE1C327" w14:textId="77777777">
        <w:trPr>
          <w:trHeight w:val="1257"/>
        </w:trPr>
        <w:tc>
          <w:tcPr>
            <w:tcW w:w="1129" w:type="dxa"/>
          </w:tcPr>
          <w:p w14:paraId="7FE1C321" w14:textId="77777777" w:rsidR="00952395" w:rsidRDefault="0083775C">
            <w:pPr>
              <w:pStyle w:val="P68B1DB1-Normal45"/>
              <w:spacing w:line="276" w:lineRule="auto"/>
              <w:jc w:val="both"/>
            </w:pPr>
            <w:r>
              <w:t>0180</w:t>
            </w:r>
          </w:p>
        </w:tc>
        <w:tc>
          <w:tcPr>
            <w:tcW w:w="7938" w:type="dxa"/>
          </w:tcPr>
          <w:p w14:paraId="7FE1C322" w14:textId="77777777" w:rsidR="00952395" w:rsidRDefault="0083775C">
            <w:pPr>
              <w:pStyle w:val="P68B1DB1-Normal55"/>
              <w:spacing w:line="276" w:lineRule="auto"/>
              <w:jc w:val="both"/>
              <w:rPr>
                <w:iCs/>
              </w:rPr>
            </w:pPr>
            <w:r>
              <w:rPr>
                <w:szCs w:val="20"/>
              </w:rPr>
              <w:t>Kritiski svarīga trešā persona, kas sniedz IKT pakalpojumus saskaņā ar DORA</w:t>
            </w:r>
            <w:r>
              <w:t xml:space="preserve"> </w:t>
            </w:r>
          </w:p>
          <w:p w14:paraId="7FE1C323" w14:textId="77777777" w:rsidR="00952395" w:rsidRDefault="0083775C">
            <w:pPr>
              <w:pStyle w:val="P68B1DB1-Normal45"/>
              <w:spacing w:line="276" w:lineRule="auto"/>
              <w:jc w:val="both"/>
              <w:rPr>
                <w:iCs/>
              </w:rPr>
            </w:pPr>
            <w:r>
              <w:t>Norādīt vienu no šādām vērtībām:</w:t>
            </w:r>
          </w:p>
          <w:p w14:paraId="7FE1C324" w14:textId="77777777" w:rsidR="00952395" w:rsidRDefault="0083775C">
            <w:pPr>
              <w:pStyle w:val="P68B1DB1-Normal50"/>
              <w:spacing w:line="276" w:lineRule="auto"/>
              <w:jc w:val="both"/>
            </w:pPr>
            <w:r>
              <w:t>“Jā” — ja tā ir kritiski svarīga trešā persona, kas sniedz IKT pakalpojumus saskaņā ar Regulas 2022/2554 (DORA) 3. panta 23. punktu</w:t>
            </w:r>
          </w:p>
          <w:p w14:paraId="7FE1C325" w14:textId="77777777" w:rsidR="00952395" w:rsidRDefault="0083775C">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Nē” — ja tā nav kritiski svarīga trešā persona, kas sniedz IKT pakalpojumus saskaņā ar Regulas 2022/2554 (DORA) 3. panta 23. punktu</w:t>
            </w:r>
          </w:p>
          <w:p w14:paraId="7FE1C326" w14:textId="77777777" w:rsidR="00952395" w:rsidRDefault="00952395">
            <w:pPr>
              <w:spacing w:line="276" w:lineRule="auto"/>
              <w:jc w:val="both"/>
              <w:rPr>
                <w:rFonts w:ascii="Times New Roman" w:eastAsia="Calibri" w:hAnsi="Times New Roman" w:cs="Times New Roman"/>
                <w:sz w:val="20"/>
              </w:rPr>
            </w:pPr>
          </w:p>
        </w:tc>
      </w:tr>
      <w:tr w:rsidR="00952395" w14:paraId="7FE1C32E" w14:textId="77777777">
        <w:trPr>
          <w:trHeight w:val="1257"/>
        </w:trPr>
        <w:tc>
          <w:tcPr>
            <w:tcW w:w="1129" w:type="dxa"/>
          </w:tcPr>
          <w:p w14:paraId="7FE1C328" w14:textId="77777777" w:rsidR="00952395" w:rsidRDefault="0083775C">
            <w:pPr>
              <w:pStyle w:val="P68B1DB1-Normal45"/>
              <w:spacing w:line="276" w:lineRule="auto"/>
              <w:jc w:val="both"/>
            </w:pPr>
            <w:r>
              <w:t>0190</w:t>
            </w:r>
          </w:p>
        </w:tc>
        <w:tc>
          <w:tcPr>
            <w:tcW w:w="7938" w:type="dxa"/>
          </w:tcPr>
          <w:p w14:paraId="7FE1C329" w14:textId="77777777" w:rsidR="00952395" w:rsidRDefault="0083775C">
            <w:pPr>
              <w:pStyle w:val="P68B1DB1-Normal55"/>
              <w:spacing w:line="276" w:lineRule="auto"/>
              <w:jc w:val="both"/>
              <w:rPr>
                <w:iCs/>
              </w:rPr>
            </w:pPr>
            <w:r>
              <w:rPr>
                <w:szCs w:val="20"/>
              </w:rPr>
              <w:t>IKT pakalpojums saskaņā ar DORA</w:t>
            </w:r>
            <w:r>
              <w:t xml:space="preserve"> </w:t>
            </w:r>
          </w:p>
          <w:p w14:paraId="7FE1C32A" w14:textId="77777777" w:rsidR="00952395" w:rsidRDefault="0083775C">
            <w:pPr>
              <w:pStyle w:val="P68B1DB1-Normal45"/>
              <w:spacing w:line="276" w:lineRule="auto"/>
              <w:jc w:val="both"/>
              <w:rPr>
                <w:iCs/>
              </w:rPr>
            </w:pPr>
            <w:r>
              <w:t>Norādīt vienu no šādām vērtībām:</w:t>
            </w:r>
          </w:p>
          <w:p w14:paraId="7FE1C32B" w14:textId="3A99D278" w:rsidR="00952395" w:rsidRDefault="0083775C">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“Jā” — ja tas ir IKT pakalpojums saskaņā ar Regulas 2022/2554</w:t>
            </w:r>
            <w:r>
              <w:rPr>
                <w:rStyle w:val="FootnoteReference"/>
                <w:rFonts w:eastAsia="Calibri" w:cs="Times New Roman"/>
              </w:rPr>
              <w:footnoteReference w:id="27"/>
            </w:r>
            <w:r>
              <w:rPr>
                <w:rFonts w:ascii="Times New Roman" w:eastAsia="Calibri" w:hAnsi="Times New Roman" w:cs="Times New Roman"/>
                <w:sz w:val="20"/>
                <w:szCs w:val="20"/>
              </w:rPr>
              <w:t xml:space="preserve"> (DORA) 3. panta 21. punktu</w:t>
            </w:r>
          </w:p>
          <w:p w14:paraId="7FE1C32C" w14:textId="77777777" w:rsidR="00952395" w:rsidRDefault="0083775C">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Nē” — ja tas nav IKT pakalpojums saskaņā ar Regulas 2022/2554 (DORA) 3. panta 21. punktu</w:t>
            </w:r>
          </w:p>
          <w:p w14:paraId="7FE1C32D" w14:textId="77777777" w:rsidR="00952395" w:rsidRDefault="00952395">
            <w:pPr>
              <w:spacing w:line="276" w:lineRule="auto"/>
              <w:jc w:val="both"/>
              <w:rPr>
                <w:rFonts w:ascii="Times New Roman" w:eastAsia="Calibri" w:hAnsi="Times New Roman" w:cs="Times New Roman"/>
                <w:iCs/>
                <w:sz w:val="20"/>
              </w:rPr>
            </w:pPr>
          </w:p>
        </w:tc>
      </w:tr>
    </w:tbl>
    <w:p w14:paraId="7FE1C32F" w14:textId="77777777" w:rsidR="00952395" w:rsidRDefault="00952395">
      <w:pPr>
        <w:spacing w:line="276" w:lineRule="auto"/>
        <w:jc w:val="both"/>
        <w:rPr>
          <w:rFonts w:ascii="Times New Roman" w:eastAsia="Calibri" w:hAnsi="Times New Roman" w:cs="Times New Roman"/>
          <w:color w:val="0070C0"/>
          <w:sz w:val="20"/>
        </w:rPr>
      </w:pPr>
    </w:p>
    <w:p w14:paraId="7FE1C478" w14:textId="77777777" w:rsidR="00952395" w:rsidRDefault="00952395">
      <w:pPr>
        <w:rPr>
          <w:rFonts w:ascii="Times New Roman" w:eastAsia="Times New Roman" w:hAnsi="Times New Roman" w:cs="Times New Roman"/>
          <w:sz w:val="20"/>
          <w:szCs w:val="20"/>
          <w:u w:val="single"/>
        </w:rPr>
      </w:pPr>
    </w:p>
    <w:p w14:paraId="7FE1C479" w14:textId="77777777" w:rsidR="00952395" w:rsidRDefault="00952395">
      <w:pPr>
        <w:rPr>
          <w:rFonts w:ascii="Times New Roman" w:eastAsia="Times New Roman" w:hAnsi="Times New Roman" w:cs="Times New Roman"/>
          <w:sz w:val="20"/>
          <w:szCs w:val="20"/>
          <w:u w:val="single"/>
        </w:rPr>
      </w:pPr>
    </w:p>
    <w:p w14:paraId="7FE1C47A" w14:textId="77777777" w:rsidR="00952395" w:rsidRDefault="0083775C">
      <w:pPr>
        <w:pStyle w:val="P68B1DB1-Instructionsberschrift25"/>
        <w:numPr>
          <w:ilvl w:val="1"/>
          <w:numId w:val="49"/>
        </w:numPr>
        <w:ind w:left="357" w:hanging="357"/>
        <w:rPr>
          <w:szCs w:val="20"/>
        </w:rPr>
      </w:pPr>
      <w:bookmarkStart w:id="128" w:name="_Toc208244965"/>
      <w:r>
        <w:t>Z 08.02 — Attiecīgie pakalpojumi — attiecināšana uz operacionālajiem aktīviem (SERV 2)</w:t>
      </w:r>
      <w:bookmarkEnd w:id="128"/>
    </w:p>
    <w:p w14:paraId="7FE1C47B" w14:textId="77777777" w:rsidR="00952395" w:rsidRDefault="0083775C">
      <w:pPr>
        <w:pStyle w:val="P68B1DB1-Normal50"/>
        <w:spacing w:line="276" w:lineRule="auto"/>
        <w:jc w:val="both"/>
      </w:pPr>
      <w:r>
        <w:t>Vispārīgi norādījumi</w:t>
      </w:r>
    </w:p>
    <w:p w14:paraId="7FE1C47C" w14:textId="77777777" w:rsidR="00952395" w:rsidRDefault="0083775C">
      <w:pPr>
        <w:pStyle w:val="P68B1DB1-Instructionsberschrift346"/>
        <w:numPr>
          <w:ilvl w:val="4"/>
          <w:numId w:val="259"/>
        </w:numPr>
        <w:contextualSpacing/>
        <w:jc w:val="both"/>
        <w:rPr>
          <w:color w:val="auto"/>
        </w:rPr>
      </w:pPr>
      <w:bookmarkStart w:id="129" w:name="_Hlk161330001"/>
      <w:r>
        <w:rPr>
          <w:color w:val="auto"/>
          <w:szCs w:val="24"/>
        </w:rPr>
        <w:t>Šajā veidnē prasīto informāciju norāda vienu reizi visai grupai, uzskaita kritiski svarīgos pakalpojumus, ko saņēmusi kāda vienība grupā, un sasaista tos ar grupas veiktajām kritiski svarīgajām funkcijām</w:t>
      </w:r>
      <w:r>
        <w:t>.</w:t>
      </w:r>
    </w:p>
    <w:p w14:paraId="7FE1C47D" w14:textId="790BE864" w:rsidR="00952395" w:rsidRDefault="0083775C">
      <w:pPr>
        <w:pStyle w:val="P68B1DB1-Instructionsberschrift348"/>
        <w:numPr>
          <w:ilvl w:val="4"/>
          <w:numId w:val="49"/>
        </w:numPr>
        <w:contextualSpacing/>
        <w:jc w:val="both"/>
        <w:rPr>
          <w:color w:val="auto"/>
        </w:rPr>
      </w:pPr>
      <w:r>
        <w:t>Šīs veidnes 0010., 0020., 0030. un 0080. slejā norādītās vērtības veido primāro atslēgu, kurai jābūt unikālai katrā veidnes rindā.</w:t>
      </w:r>
    </w:p>
    <w:bookmarkEnd w:id="129"/>
    <w:p w14:paraId="7FE1C482" w14:textId="77777777" w:rsidR="00952395" w:rsidRDefault="00952395">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952395" w14:paraId="7FE1C54A" w14:textId="77777777">
        <w:trPr>
          <w:trHeight w:val="495"/>
          <w:tblHeader/>
        </w:trPr>
        <w:tc>
          <w:tcPr>
            <w:tcW w:w="1418" w:type="dxa"/>
            <w:shd w:val="clear" w:color="auto" w:fill="E7E6E6"/>
          </w:tcPr>
          <w:p w14:paraId="7FE1C548" w14:textId="77777777" w:rsidR="00952395" w:rsidRDefault="0083775C">
            <w:pPr>
              <w:pStyle w:val="P68B1DB1-Normal61"/>
              <w:spacing w:before="120" w:after="120" w:line="276" w:lineRule="auto"/>
            </w:pPr>
            <w:r>
              <w:t>Slejas</w:t>
            </w:r>
          </w:p>
        </w:tc>
        <w:tc>
          <w:tcPr>
            <w:tcW w:w="7791" w:type="dxa"/>
            <w:shd w:val="clear" w:color="auto" w:fill="E7E6E6"/>
          </w:tcPr>
          <w:p w14:paraId="7FE1C549" w14:textId="77777777" w:rsidR="00952395" w:rsidRDefault="0083775C">
            <w:pPr>
              <w:pStyle w:val="P68B1DB1-Normal61"/>
              <w:spacing w:before="120" w:after="120" w:line="276" w:lineRule="auto"/>
            </w:pPr>
            <w:r>
              <w:t>Norādījumi</w:t>
            </w:r>
          </w:p>
        </w:tc>
      </w:tr>
      <w:tr w:rsidR="00952395" w14:paraId="7FE1C550" w14:textId="77777777">
        <w:trPr>
          <w:trHeight w:val="450"/>
        </w:trPr>
        <w:tc>
          <w:tcPr>
            <w:tcW w:w="1418" w:type="dxa"/>
            <w:shd w:val="clear" w:color="auto" w:fill="FFFFFF" w:themeFill="background1"/>
          </w:tcPr>
          <w:p w14:paraId="7FE1C54B" w14:textId="77777777" w:rsidR="00952395" w:rsidRDefault="0083775C">
            <w:pPr>
              <w:pStyle w:val="P68B1DB1-Normal62"/>
              <w:spacing w:before="120" w:after="120" w:line="276" w:lineRule="auto"/>
            </w:pPr>
            <w:r>
              <w:t>0005</w:t>
            </w:r>
          </w:p>
        </w:tc>
        <w:tc>
          <w:tcPr>
            <w:tcW w:w="7791" w:type="dxa"/>
            <w:shd w:val="clear" w:color="auto" w:fill="FFFFFF" w:themeFill="background1"/>
          </w:tcPr>
          <w:p w14:paraId="7FE1C54C" w14:textId="77777777" w:rsidR="00952395" w:rsidRDefault="0083775C">
            <w:pPr>
              <w:pStyle w:val="P68B1DB1-Normal61"/>
              <w:spacing w:before="120" w:after="120" w:line="276" w:lineRule="auto"/>
            </w:pPr>
            <w:r>
              <w:t xml:space="preserve">Pakalpojuma identifikators </w:t>
            </w:r>
          </w:p>
          <w:p w14:paraId="7FE1C54D" w14:textId="77777777" w:rsidR="00952395" w:rsidRDefault="0083775C">
            <w:pPr>
              <w:pStyle w:val="P68B1DB1-Normal62"/>
              <w:spacing w:before="120" w:after="120" w:line="276" w:lineRule="auto"/>
            </w:pPr>
            <w:r>
              <w:t>Izmanto pakalpojuma identifikatoru, kas norādīts laukā Z 08.01 (SERV 1).</w:t>
            </w:r>
          </w:p>
          <w:p w14:paraId="7FE1C54E" w14:textId="77777777" w:rsidR="00952395" w:rsidRDefault="0083775C">
            <w:pPr>
              <w:pStyle w:val="P68B1DB1-Normal62"/>
              <w:spacing w:before="120" w:after="120" w:line="276" w:lineRule="auto"/>
            </w:pPr>
            <w:r>
              <w:t>Pakalpojuma identifikators attiecas uz pakalpojumu, kas uzrādīts 0020. slejā.</w:t>
            </w:r>
          </w:p>
          <w:p w14:paraId="7FE1C54F" w14:textId="77777777" w:rsidR="00952395" w:rsidRDefault="00952395">
            <w:pPr>
              <w:spacing w:before="120" w:after="120" w:line="276" w:lineRule="auto"/>
              <w:rPr>
                <w:rFonts w:ascii="Times New Roman" w:hAnsi="Times New Roman"/>
                <w:i/>
                <w:sz w:val="20"/>
                <w:szCs w:val="20"/>
              </w:rPr>
            </w:pPr>
          </w:p>
        </w:tc>
      </w:tr>
      <w:tr w:rsidR="00952395" w14:paraId="7FE1C594" w14:textId="77777777">
        <w:trPr>
          <w:trHeight w:val="450"/>
        </w:trPr>
        <w:tc>
          <w:tcPr>
            <w:tcW w:w="1418" w:type="dxa"/>
            <w:shd w:val="clear" w:color="auto" w:fill="FFFFFF" w:themeFill="background1"/>
          </w:tcPr>
          <w:p w14:paraId="7FE1C551" w14:textId="77777777" w:rsidR="00952395" w:rsidRDefault="0083775C">
            <w:pPr>
              <w:pStyle w:val="P68B1DB1-Normal62"/>
              <w:spacing w:before="120" w:after="120" w:line="276" w:lineRule="auto"/>
            </w:pPr>
            <w:r>
              <w:lastRenderedPageBreak/>
              <w:t>0010</w:t>
            </w:r>
          </w:p>
        </w:tc>
        <w:tc>
          <w:tcPr>
            <w:tcW w:w="7791" w:type="dxa"/>
            <w:shd w:val="clear" w:color="auto" w:fill="FFFFFF" w:themeFill="background1"/>
          </w:tcPr>
          <w:p w14:paraId="7FE1C552" w14:textId="77777777" w:rsidR="00952395" w:rsidRDefault="0083775C">
            <w:pPr>
              <w:pStyle w:val="P68B1DB1-Normal61"/>
              <w:autoSpaceDE w:val="0"/>
              <w:autoSpaceDN w:val="0"/>
              <w:adjustRightInd w:val="0"/>
              <w:rPr>
                <w:rFonts w:eastAsia="MS Mincho"/>
              </w:rPr>
            </w:pPr>
            <w:r>
              <w:t xml:space="preserve">Pakalpojuma veids </w:t>
            </w:r>
          </w:p>
          <w:p w14:paraId="7FE1C57A" w14:textId="35040E48" w:rsidR="00952395" w:rsidRDefault="0083775C">
            <w:pPr>
              <w:pStyle w:val="P68B1DB1-Normal63"/>
              <w:autoSpaceDE w:val="0"/>
              <w:autoSpaceDN w:val="0"/>
              <w:adjustRightInd w:val="0"/>
            </w:pPr>
            <w:r>
              <w:t>Pakalpojuma veids ir viens no iepriekš Z 08.01 0010 minētajiem pakalpojumu veidiem.</w:t>
            </w:r>
          </w:p>
          <w:p w14:paraId="7FE1C593" w14:textId="77777777" w:rsidR="00952395" w:rsidRDefault="00952395">
            <w:pPr>
              <w:autoSpaceDE w:val="0"/>
              <w:autoSpaceDN w:val="0"/>
              <w:adjustRightInd w:val="0"/>
              <w:rPr>
                <w:rFonts w:ascii="Times New Roman" w:hAnsi="Times New Roman"/>
                <w:sz w:val="20"/>
                <w:szCs w:val="20"/>
              </w:rPr>
            </w:pPr>
          </w:p>
        </w:tc>
      </w:tr>
      <w:tr w:rsidR="00952395" w14:paraId="7FE1C599" w14:textId="77777777">
        <w:trPr>
          <w:trHeight w:val="450"/>
        </w:trPr>
        <w:tc>
          <w:tcPr>
            <w:tcW w:w="1418" w:type="dxa"/>
            <w:shd w:val="clear" w:color="auto" w:fill="FFFFFF" w:themeFill="background1"/>
          </w:tcPr>
          <w:p w14:paraId="7FE1C595" w14:textId="77777777" w:rsidR="00952395" w:rsidRDefault="0083775C">
            <w:pPr>
              <w:pStyle w:val="P68B1DB1-Normal62"/>
              <w:spacing w:before="120" w:after="120" w:line="276" w:lineRule="auto"/>
            </w:pPr>
            <w:r>
              <w:t>0020</w:t>
            </w:r>
          </w:p>
        </w:tc>
        <w:tc>
          <w:tcPr>
            <w:tcW w:w="7791" w:type="dxa"/>
            <w:shd w:val="clear" w:color="auto" w:fill="FFFFFF" w:themeFill="background1"/>
          </w:tcPr>
          <w:p w14:paraId="7FE1C596" w14:textId="77777777" w:rsidR="00952395" w:rsidRDefault="0083775C">
            <w:pPr>
              <w:pStyle w:val="P68B1DB1-Normal61"/>
              <w:spacing w:line="276" w:lineRule="auto"/>
              <w:jc w:val="both"/>
              <w:rPr>
                <w:bCs/>
              </w:rPr>
            </w:pPr>
            <w:r>
              <w:t xml:space="preserve">Unikāls pakalpojuma nosaukums saskaņā ar bankas taksonomiju </w:t>
            </w:r>
          </w:p>
          <w:p w14:paraId="7FE1C597" w14:textId="31873D66" w:rsidR="00952395" w:rsidRDefault="0083775C">
            <w:pPr>
              <w:pStyle w:val="P68B1DB1-Normal64"/>
              <w:rPr>
                <w:rFonts w:eastAsiaTheme="minorHAnsi"/>
                <w:sz w:val="24"/>
              </w:rPr>
            </w:pPr>
            <w:r>
              <w:t>Pakalpojuma nosaukums/īss apraksts saskaņā ar bankas diferencēto taksonomiju (3. līmenis), kā norādīts Z 08.01 (SERV 1) 0020. slejā. Tiek sagaidīts, ka banka ziņos par pakalpojumiem detalizētākā līmenī nekā 2. līmenī (0010.c.) sniegtajā pārskatā, lai katrs konkrētais pakalpojums tiktu precīzi un mērķtiecīgi definēts.</w:t>
            </w:r>
          </w:p>
          <w:p w14:paraId="7FE1C598" w14:textId="77777777" w:rsidR="00952395" w:rsidRDefault="00952395">
            <w:pPr>
              <w:spacing w:before="120" w:after="120" w:line="276" w:lineRule="auto"/>
              <w:rPr>
                <w:rFonts w:ascii="Times New Roman" w:hAnsi="Times New Roman"/>
                <w:sz w:val="20"/>
                <w:szCs w:val="20"/>
              </w:rPr>
            </w:pPr>
          </w:p>
        </w:tc>
      </w:tr>
      <w:tr w:rsidR="00952395" w14:paraId="7FE1C59E" w14:textId="77777777">
        <w:trPr>
          <w:trHeight w:val="450"/>
        </w:trPr>
        <w:tc>
          <w:tcPr>
            <w:tcW w:w="1418" w:type="dxa"/>
            <w:shd w:val="clear" w:color="auto" w:fill="FFFFFF" w:themeFill="background1"/>
          </w:tcPr>
          <w:p w14:paraId="7FE1C59A" w14:textId="77777777" w:rsidR="00952395" w:rsidRDefault="0083775C">
            <w:pPr>
              <w:pStyle w:val="P68B1DB1-Normal62"/>
              <w:spacing w:before="120" w:after="120" w:line="276" w:lineRule="auto"/>
            </w:pPr>
            <w:r>
              <w:t>0030</w:t>
            </w:r>
          </w:p>
        </w:tc>
        <w:tc>
          <w:tcPr>
            <w:tcW w:w="7791" w:type="dxa"/>
            <w:shd w:val="clear" w:color="auto" w:fill="FFFFFF" w:themeFill="background1"/>
          </w:tcPr>
          <w:p w14:paraId="7FE1C59B" w14:textId="77777777" w:rsidR="00952395" w:rsidRDefault="0083775C">
            <w:pPr>
              <w:pStyle w:val="P68B1DB1-Normal61"/>
              <w:spacing w:before="120" w:after="120" w:line="276" w:lineRule="auto"/>
              <w:rPr>
                <w:bCs/>
              </w:rPr>
            </w:pPr>
            <w:r>
              <w:t>Aktīva identifikators</w:t>
            </w:r>
          </w:p>
          <w:p w14:paraId="7FE1C59C" w14:textId="77777777" w:rsidR="00952395" w:rsidRDefault="0083775C">
            <w:pPr>
              <w:pStyle w:val="P68B1DB1-Normal64"/>
              <w:spacing w:line="276" w:lineRule="auto"/>
              <w:jc w:val="both"/>
            </w:pPr>
            <w:r>
              <w:t>Aktīva identifikators attiecas uz aktīvu, kas uzrādīts 0050. postenī.</w:t>
            </w:r>
          </w:p>
          <w:p w14:paraId="7FE1C59D" w14:textId="77777777" w:rsidR="00952395" w:rsidRDefault="00952395">
            <w:pPr>
              <w:spacing w:before="120" w:after="120" w:line="276" w:lineRule="auto"/>
              <w:rPr>
                <w:rFonts w:ascii="Times New Roman" w:hAnsi="Times New Roman"/>
                <w:sz w:val="20"/>
                <w:szCs w:val="20"/>
              </w:rPr>
            </w:pPr>
          </w:p>
        </w:tc>
      </w:tr>
      <w:tr w:rsidR="00952395" w14:paraId="7FE1C5AD" w14:textId="77777777">
        <w:trPr>
          <w:trHeight w:val="450"/>
        </w:trPr>
        <w:tc>
          <w:tcPr>
            <w:tcW w:w="1418" w:type="dxa"/>
            <w:shd w:val="clear" w:color="auto" w:fill="FFFFFF" w:themeFill="background1"/>
          </w:tcPr>
          <w:p w14:paraId="7FE1C59F" w14:textId="77777777" w:rsidR="00952395" w:rsidRDefault="0083775C">
            <w:pPr>
              <w:pStyle w:val="P68B1DB1-Normal62"/>
              <w:spacing w:before="120" w:after="120" w:line="276" w:lineRule="auto"/>
            </w:pPr>
            <w:r>
              <w:t>0040</w:t>
            </w:r>
          </w:p>
        </w:tc>
        <w:tc>
          <w:tcPr>
            <w:tcW w:w="7791" w:type="dxa"/>
            <w:shd w:val="clear" w:color="auto" w:fill="FFFFFF" w:themeFill="background1"/>
          </w:tcPr>
          <w:p w14:paraId="7FE1C5A0" w14:textId="77777777" w:rsidR="00952395" w:rsidRDefault="0083775C">
            <w:pPr>
              <w:pStyle w:val="P68B1DB1-Normal64"/>
              <w:spacing w:line="276" w:lineRule="auto"/>
              <w:jc w:val="both"/>
            </w:pPr>
            <w:r>
              <w:rPr>
                <w:b/>
                <w:szCs w:val="20"/>
              </w:rPr>
              <w:t>Aktīva veids</w:t>
            </w:r>
            <w:r>
              <w:t xml:space="preserve"> </w:t>
            </w:r>
          </w:p>
          <w:p w14:paraId="7FE1C5A1" w14:textId="77777777" w:rsidR="00952395" w:rsidRDefault="0083775C">
            <w:pPr>
              <w:pStyle w:val="P68B1DB1-Normal64"/>
              <w:spacing w:line="276" w:lineRule="auto"/>
              <w:jc w:val="both"/>
            </w:pPr>
            <w:r>
              <w:t xml:space="preserve">— IT un komunikāciju aparatūra </w:t>
            </w:r>
          </w:p>
          <w:p w14:paraId="7FE1C5A2" w14:textId="77777777" w:rsidR="00952395" w:rsidRDefault="00952395">
            <w:pPr>
              <w:spacing w:line="276" w:lineRule="auto"/>
              <w:rPr>
                <w:rFonts w:ascii="Times New Roman" w:hAnsi="Times New Roman"/>
                <w:sz w:val="20"/>
              </w:rPr>
            </w:pPr>
          </w:p>
          <w:p w14:paraId="7FE1C5A3" w14:textId="77777777" w:rsidR="00952395" w:rsidRDefault="0083775C">
            <w:pPr>
              <w:pStyle w:val="P68B1DB1-Normal64"/>
              <w:spacing w:line="276" w:lineRule="auto"/>
            </w:pPr>
            <w:r>
              <w:t>— Cita IT infrastruktūra (piemēram, darbstacijas, telekomunikācijas, serveri, datu centri un saistītie aktīvi)</w:t>
            </w:r>
          </w:p>
          <w:p w14:paraId="7FE1C5A4" w14:textId="77777777" w:rsidR="00952395" w:rsidRDefault="00952395">
            <w:pPr>
              <w:spacing w:line="276" w:lineRule="auto"/>
              <w:rPr>
                <w:rFonts w:ascii="Times New Roman" w:hAnsi="Times New Roman"/>
                <w:sz w:val="20"/>
              </w:rPr>
            </w:pPr>
          </w:p>
          <w:p w14:paraId="7FE1C5A5" w14:textId="77777777" w:rsidR="00952395" w:rsidRDefault="0083775C">
            <w:pPr>
              <w:pStyle w:val="P68B1DB1-Normal64"/>
              <w:spacing w:line="276" w:lineRule="auto"/>
            </w:pPr>
            <w:r>
              <w:t xml:space="preserve">— Telpas un glabāšana </w:t>
            </w:r>
          </w:p>
          <w:p w14:paraId="7FE1C5A6" w14:textId="77777777" w:rsidR="00952395" w:rsidRDefault="00952395">
            <w:pPr>
              <w:spacing w:line="276" w:lineRule="auto"/>
              <w:rPr>
                <w:rFonts w:ascii="Times New Roman" w:hAnsi="Times New Roman"/>
                <w:sz w:val="20"/>
              </w:rPr>
            </w:pPr>
          </w:p>
          <w:p w14:paraId="7FE1C5A7" w14:textId="77777777" w:rsidR="00952395" w:rsidRDefault="0083775C">
            <w:pPr>
              <w:pStyle w:val="P68B1DB1-Normal64"/>
              <w:spacing w:line="276" w:lineRule="auto"/>
            </w:pPr>
            <w:r>
              <w:t>— Intelektuālais īpašums (piemēram, patenti, preču zīmes u. c.)</w:t>
            </w:r>
          </w:p>
          <w:p w14:paraId="7FE1C5A8" w14:textId="77777777" w:rsidR="00952395" w:rsidRDefault="00952395">
            <w:pPr>
              <w:spacing w:line="276" w:lineRule="auto"/>
              <w:rPr>
                <w:rFonts w:ascii="Times New Roman" w:hAnsi="Times New Roman"/>
                <w:sz w:val="20"/>
              </w:rPr>
            </w:pPr>
          </w:p>
          <w:p w14:paraId="7FE1C5A9" w14:textId="77777777" w:rsidR="00952395" w:rsidRDefault="0083775C">
            <w:pPr>
              <w:pStyle w:val="P68B1DB1-Normal64"/>
              <w:spacing w:line="276" w:lineRule="auto"/>
            </w:pPr>
            <w:r>
              <w:t xml:space="preserve"> — Pašapkalpošanās ierīces filiālēs un bankomātos</w:t>
            </w:r>
          </w:p>
          <w:p w14:paraId="7FE1C5AA" w14:textId="77777777" w:rsidR="00952395" w:rsidRDefault="00952395">
            <w:pPr>
              <w:spacing w:line="276" w:lineRule="auto"/>
              <w:rPr>
                <w:rFonts w:ascii="Times New Roman" w:hAnsi="Times New Roman"/>
                <w:sz w:val="20"/>
              </w:rPr>
            </w:pPr>
          </w:p>
          <w:p w14:paraId="7FE1C5AB" w14:textId="07413E54" w:rsidR="00952395" w:rsidRDefault="0083775C">
            <w:pPr>
              <w:pStyle w:val="P68B1DB1-Normal62"/>
              <w:spacing w:line="276" w:lineRule="auto"/>
              <w:jc w:val="both"/>
              <w:rPr>
                <w:b/>
              </w:rPr>
            </w:pPr>
            <w:r>
              <w:t>— Cita veida aktīvi</w:t>
            </w:r>
          </w:p>
          <w:p w14:paraId="7FE1C5AC" w14:textId="77777777" w:rsidR="00952395" w:rsidRDefault="00952395">
            <w:pPr>
              <w:spacing w:line="276" w:lineRule="auto"/>
              <w:jc w:val="both"/>
              <w:rPr>
                <w:rFonts w:ascii="Times New Roman" w:hAnsi="Times New Roman"/>
                <w:sz w:val="20"/>
              </w:rPr>
            </w:pPr>
          </w:p>
        </w:tc>
      </w:tr>
      <w:tr w:rsidR="00952395" w14:paraId="7FE1C5B2" w14:textId="77777777">
        <w:trPr>
          <w:trHeight w:val="450"/>
        </w:trPr>
        <w:tc>
          <w:tcPr>
            <w:tcW w:w="1418" w:type="dxa"/>
            <w:shd w:val="clear" w:color="auto" w:fill="FFFFFF" w:themeFill="background1"/>
          </w:tcPr>
          <w:p w14:paraId="7FE1C5AE" w14:textId="77777777" w:rsidR="00952395" w:rsidRDefault="0083775C">
            <w:pPr>
              <w:pStyle w:val="P68B1DB1-Normal62"/>
              <w:spacing w:before="120" w:after="120" w:line="276" w:lineRule="auto"/>
            </w:pPr>
            <w:r>
              <w:t>0050</w:t>
            </w:r>
          </w:p>
        </w:tc>
        <w:tc>
          <w:tcPr>
            <w:tcW w:w="7791" w:type="dxa"/>
            <w:shd w:val="clear" w:color="auto" w:fill="FFFFFF" w:themeFill="background1"/>
          </w:tcPr>
          <w:p w14:paraId="7FE1C5AF" w14:textId="77777777" w:rsidR="00952395" w:rsidRDefault="0083775C">
            <w:pPr>
              <w:pStyle w:val="P68B1DB1-Normal61"/>
              <w:spacing w:line="276" w:lineRule="auto"/>
              <w:jc w:val="both"/>
            </w:pPr>
            <w:r>
              <w:t xml:space="preserve">Aktīva nosaukums </w:t>
            </w:r>
          </w:p>
          <w:p w14:paraId="7FE1C5B0" w14:textId="77777777" w:rsidR="00952395" w:rsidRDefault="0083775C">
            <w:pPr>
              <w:pStyle w:val="P68B1DB1-Normal64"/>
              <w:spacing w:line="276" w:lineRule="auto"/>
              <w:jc w:val="both"/>
            </w:pPr>
            <w:r>
              <w:t>Aktīva komerciālais vai iekšējais nosaukums.</w:t>
            </w:r>
          </w:p>
          <w:p w14:paraId="7FE1C5B1" w14:textId="77777777" w:rsidR="00952395" w:rsidRDefault="00952395">
            <w:pPr>
              <w:spacing w:line="276" w:lineRule="auto"/>
              <w:jc w:val="both"/>
              <w:rPr>
                <w:rFonts w:ascii="Times New Roman" w:hAnsi="Times New Roman"/>
                <w:sz w:val="20"/>
              </w:rPr>
            </w:pPr>
          </w:p>
        </w:tc>
      </w:tr>
      <w:tr w:rsidR="00952395" w14:paraId="7FE1C5BA" w14:textId="77777777">
        <w:trPr>
          <w:trHeight w:val="450"/>
        </w:trPr>
        <w:tc>
          <w:tcPr>
            <w:tcW w:w="1418" w:type="dxa"/>
            <w:shd w:val="clear" w:color="auto" w:fill="FFFFFF" w:themeFill="background1"/>
          </w:tcPr>
          <w:p w14:paraId="7FE1C5B3" w14:textId="77777777" w:rsidR="00952395" w:rsidRDefault="0083775C">
            <w:pPr>
              <w:pStyle w:val="P68B1DB1-Normal62"/>
              <w:spacing w:before="120" w:after="120" w:line="276" w:lineRule="auto"/>
            </w:pPr>
            <w:r>
              <w:t>0060</w:t>
            </w:r>
          </w:p>
        </w:tc>
        <w:tc>
          <w:tcPr>
            <w:tcW w:w="7791" w:type="dxa"/>
            <w:shd w:val="clear" w:color="auto" w:fill="FFFFFF" w:themeFill="background1"/>
          </w:tcPr>
          <w:p w14:paraId="7FE1C5B4" w14:textId="77777777" w:rsidR="00952395" w:rsidRDefault="0083775C">
            <w:pPr>
              <w:pStyle w:val="P68B1DB1-Normal65"/>
              <w:spacing w:line="276" w:lineRule="auto"/>
              <w:jc w:val="both"/>
              <w:rPr>
                <w:iCs/>
              </w:rPr>
            </w:pPr>
            <w:r>
              <w:rPr>
                <w:szCs w:val="20"/>
              </w:rPr>
              <w:t>Svarīgums</w:t>
            </w:r>
            <w:r>
              <w:t xml:space="preserve"> </w:t>
            </w:r>
          </w:p>
          <w:p w14:paraId="7FE1C5B5" w14:textId="77777777" w:rsidR="00952395" w:rsidRDefault="0083775C">
            <w:pPr>
              <w:pStyle w:val="P68B1DB1-Normal64"/>
              <w:spacing w:line="276" w:lineRule="auto"/>
              <w:jc w:val="both"/>
              <w:rPr>
                <w:iCs/>
              </w:rPr>
            </w:pPr>
            <w:r>
              <w:t>Norādīt vienu no šādām vērtībām:</w:t>
            </w:r>
          </w:p>
          <w:p w14:paraId="7FE1C5B6" w14:textId="77777777" w:rsidR="00952395" w:rsidRDefault="0083775C">
            <w:pPr>
              <w:pStyle w:val="P68B1DB1-ListParagraph58"/>
              <w:numPr>
                <w:ilvl w:val="0"/>
                <w:numId w:val="236"/>
              </w:numPr>
              <w:spacing w:line="276" w:lineRule="auto"/>
              <w:contextualSpacing/>
              <w:jc w:val="both"/>
              <w:rPr>
                <w:iCs/>
              </w:rPr>
            </w:pPr>
            <w:r>
              <w:t>Kritiski svarīgi: ja pakalpojums ir nepieciešams vienas vai vairāku kritiski svarīgu funkciju veikšanai un kuru pārtraukšana nopietni kavētu vai kavētu šo kritiski svarīgo funkciju izpildi.</w:t>
            </w:r>
          </w:p>
          <w:p w14:paraId="7FE1C5B7" w14:textId="77777777" w:rsidR="00952395" w:rsidRDefault="0083775C">
            <w:pPr>
              <w:pStyle w:val="P68B1DB1-ListParagraph58"/>
              <w:numPr>
                <w:ilvl w:val="0"/>
                <w:numId w:val="236"/>
              </w:numPr>
              <w:spacing w:line="276" w:lineRule="auto"/>
              <w:contextualSpacing/>
              <w:jc w:val="both"/>
              <w:rPr>
                <w:iCs/>
              </w:rPr>
            </w:pPr>
            <w:r>
              <w:t>Būtiskie kritēriji ja pakalpojums ir saistīts ar galvenajām darbības jomām, kuru nepārtrauktība ir nepieciešama noregulējuma stratēģijas efektīvai īstenošanai un jebkādai no tās izrietošai pārstrukturēšanai.</w:t>
            </w:r>
          </w:p>
          <w:p w14:paraId="7FE1C5B8" w14:textId="475A76CC" w:rsidR="00952395" w:rsidRDefault="0083775C">
            <w:pPr>
              <w:pStyle w:val="P68B1DB1-ListParagraph58"/>
              <w:numPr>
                <w:ilvl w:val="0"/>
                <w:numId w:val="236"/>
              </w:numPr>
              <w:spacing w:line="276" w:lineRule="auto"/>
              <w:contextualSpacing/>
              <w:jc w:val="both"/>
              <w:rPr>
                <w:iCs/>
              </w:rPr>
            </w:pPr>
            <w:r>
              <w:t>Kritiski un būtiski</w:t>
            </w:r>
          </w:p>
          <w:p w14:paraId="7FE1C5B9" w14:textId="77777777" w:rsidR="00952395" w:rsidRDefault="00952395">
            <w:pPr>
              <w:spacing w:line="276" w:lineRule="auto"/>
              <w:jc w:val="both"/>
              <w:rPr>
                <w:rFonts w:ascii="Times New Roman" w:hAnsi="Times New Roman"/>
                <w:sz w:val="20"/>
              </w:rPr>
            </w:pPr>
          </w:p>
        </w:tc>
      </w:tr>
      <w:tr w:rsidR="00952395" w14:paraId="7FE1C5C3" w14:textId="77777777">
        <w:trPr>
          <w:trHeight w:val="450"/>
        </w:trPr>
        <w:tc>
          <w:tcPr>
            <w:tcW w:w="1418" w:type="dxa"/>
            <w:shd w:val="clear" w:color="auto" w:fill="FFFFFF" w:themeFill="background1"/>
          </w:tcPr>
          <w:p w14:paraId="7FE1C5BB" w14:textId="77777777" w:rsidR="00952395" w:rsidRDefault="0083775C">
            <w:pPr>
              <w:pStyle w:val="P68B1DB1-Normal62"/>
              <w:spacing w:before="120" w:after="120" w:line="276" w:lineRule="auto"/>
            </w:pPr>
            <w:r>
              <w:t>0070</w:t>
            </w:r>
          </w:p>
        </w:tc>
        <w:tc>
          <w:tcPr>
            <w:tcW w:w="7791" w:type="dxa"/>
            <w:shd w:val="clear" w:color="auto" w:fill="FFFFFF" w:themeFill="background1"/>
          </w:tcPr>
          <w:p w14:paraId="7FE1C5BC" w14:textId="77777777" w:rsidR="00952395" w:rsidRDefault="0083775C">
            <w:pPr>
              <w:pStyle w:val="P68B1DB1-Normal64"/>
              <w:spacing w:line="276" w:lineRule="auto"/>
              <w:jc w:val="both"/>
              <w:rPr>
                <w:iCs/>
              </w:rPr>
            </w:pPr>
            <w:r>
              <w:rPr>
                <w:b/>
                <w:szCs w:val="20"/>
              </w:rPr>
              <w:t>Juridiskais/līguma veids</w:t>
            </w:r>
            <w:r>
              <w:t xml:space="preserve"> </w:t>
            </w:r>
          </w:p>
          <w:p w14:paraId="7FE1C5BD" w14:textId="77777777" w:rsidR="00952395" w:rsidRDefault="0083775C">
            <w:pPr>
              <w:pStyle w:val="P68B1DB1-Normal64"/>
              <w:spacing w:line="276" w:lineRule="auto"/>
              <w:jc w:val="both"/>
              <w:rPr>
                <w:iCs/>
              </w:rPr>
            </w:pPr>
            <w:r>
              <w:t>Norādīt vienu no šādām vērtībām:</w:t>
            </w:r>
          </w:p>
          <w:p w14:paraId="7FE1C5BE" w14:textId="77777777" w:rsidR="00952395" w:rsidRDefault="0083775C">
            <w:pPr>
              <w:pStyle w:val="P68B1DB1-Normal66"/>
              <w:numPr>
                <w:ilvl w:val="0"/>
                <w:numId w:val="236"/>
              </w:numPr>
              <w:contextualSpacing/>
              <w:jc w:val="both"/>
            </w:pPr>
            <w:r>
              <w:t>Piederēja</w:t>
            </w:r>
          </w:p>
          <w:p w14:paraId="7FE1C5BF" w14:textId="77777777" w:rsidR="00952395" w:rsidRDefault="0083775C">
            <w:pPr>
              <w:pStyle w:val="P68B1DB1-Normal66"/>
              <w:numPr>
                <w:ilvl w:val="0"/>
                <w:numId w:val="236"/>
              </w:numPr>
              <w:contextualSpacing/>
              <w:jc w:val="both"/>
            </w:pPr>
            <w:r>
              <w:t>Nomāti</w:t>
            </w:r>
          </w:p>
          <w:p w14:paraId="7FE1C5C0" w14:textId="77777777" w:rsidR="00952395" w:rsidRDefault="0083775C">
            <w:pPr>
              <w:pStyle w:val="P68B1DB1-Normal66"/>
              <w:numPr>
                <w:ilvl w:val="0"/>
                <w:numId w:val="236"/>
              </w:numPr>
              <w:contextualSpacing/>
              <w:jc w:val="both"/>
            </w:pPr>
            <w:r>
              <w:t>Licencēti</w:t>
            </w:r>
          </w:p>
          <w:p w14:paraId="7FE1C5C1" w14:textId="3AFF0D43" w:rsidR="00952395" w:rsidRDefault="0083775C">
            <w:pPr>
              <w:pStyle w:val="P68B1DB1-Normal66"/>
              <w:numPr>
                <w:ilvl w:val="0"/>
                <w:numId w:val="236"/>
              </w:numPr>
              <w:contextualSpacing/>
              <w:jc w:val="both"/>
            </w:pPr>
            <w:r>
              <w:t>Cits juridisks/līguma veids</w:t>
            </w:r>
          </w:p>
          <w:p w14:paraId="7FE1C5C2" w14:textId="77777777" w:rsidR="00952395" w:rsidRDefault="00952395">
            <w:pPr>
              <w:spacing w:line="276" w:lineRule="auto"/>
              <w:jc w:val="both"/>
              <w:rPr>
                <w:rFonts w:ascii="Times New Roman" w:hAnsi="Times New Roman"/>
                <w:sz w:val="20"/>
              </w:rPr>
            </w:pPr>
          </w:p>
        </w:tc>
      </w:tr>
      <w:tr w:rsidR="00952395" w14:paraId="7FE1C5C9" w14:textId="77777777">
        <w:trPr>
          <w:trHeight w:val="450"/>
        </w:trPr>
        <w:tc>
          <w:tcPr>
            <w:tcW w:w="1418" w:type="dxa"/>
            <w:shd w:val="clear" w:color="auto" w:fill="FFFFFF" w:themeFill="background1"/>
          </w:tcPr>
          <w:p w14:paraId="7FE1C5C4" w14:textId="77777777" w:rsidR="00952395" w:rsidRDefault="0083775C">
            <w:pPr>
              <w:pStyle w:val="P68B1DB1-Normal62"/>
              <w:spacing w:before="120" w:after="120" w:line="276" w:lineRule="auto"/>
            </w:pPr>
            <w:r>
              <w:lastRenderedPageBreak/>
              <w:t>0080</w:t>
            </w:r>
          </w:p>
        </w:tc>
        <w:tc>
          <w:tcPr>
            <w:tcW w:w="7791" w:type="dxa"/>
            <w:shd w:val="clear" w:color="auto" w:fill="FFFFFF" w:themeFill="background1"/>
          </w:tcPr>
          <w:p w14:paraId="7FE1C5C5" w14:textId="77777777" w:rsidR="00952395" w:rsidRDefault="0083775C">
            <w:pPr>
              <w:pStyle w:val="P68B1DB1-Normal61"/>
              <w:spacing w:before="120" w:after="120" w:line="276" w:lineRule="auto"/>
              <w:rPr>
                <w:bCs/>
              </w:rPr>
            </w:pPr>
            <w:r>
              <w:t>Līguma ID</w:t>
            </w:r>
          </w:p>
          <w:p w14:paraId="7FE1C5C6" w14:textId="77777777" w:rsidR="00952395" w:rsidRDefault="0083775C">
            <w:pPr>
              <w:pStyle w:val="P68B1DB1-Normal64"/>
              <w:spacing w:line="276" w:lineRule="auto"/>
              <w:jc w:val="both"/>
              <w:rPr>
                <w:i/>
              </w:rPr>
            </w:pPr>
            <w:r>
              <w:t>Aktīva pamatā esošā līguma unikālais identifikators saskaņā ar grupas pakalpojumu taksonomiju.</w:t>
            </w:r>
          </w:p>
          <w:p w14:paraId="7FE1C5C7" w14:textId="77777777" w:rsidR="00952395" w:rsidRDefault="00952395">
            <w:pPr>
              <w:spacing w:line="276" w:lineRule="auto"/>
              <w:jc w:val="both"/>
              <w:rPr>
                <w:rFonts w:ascii="Times New Roman" w:hAnsi="Times New Roman"/>
                <w:i/>
                <w:sz w:val="20"/>
              </w:rPr>
            </w:pPr>
          </w:p>
          <w:p w14:paraId="7FE1C5C8" w14:textId="77777777" w:rsidR="00952395" w:rsidRDefault="00952395">
            <w:pPr>
              <w:spacing w:line="276" w:lineRule="auto"/>
              <w:jc w:val="both"/>
              <w:rPr>
                <w:rFonts w:ascii="Times New Roman" w:hAnsi="Times New Roman"/>
                <w:iCs/>
                <w:sz w:val="20"/>
              </w:rPr>
            </w:pPr>
          </w:p>
        </w:tc>
      </w:tr>
      <w:tr w:rsidR="00952395" w14:paraId="7FE1C5CE" w14:textId="77777777">
        <w:trPr>
          <w:trHeight w:val="450"/>
        </w:trPr>
        <w:tc>
          <w:tcPr>
            <w:tcW w:w="1418" w:type="dxa"/>
            <w:shd w:val="clear" w:color="auto" w:fill="FFFFFF" w:themeFill="background1"/>
          </w:tcPr>
          <w:p w14:paraId="7FE1C5CA" w14:textId="77777777" w:rsidR="00952395" w:rsidRDefault="0083775C">
            <w:pPr>
              <w:pStyle w:val="P68B1DB1-Normal62"/>
              <w:spacing w:before="120" w:after="120" w:line="276" w:lineRule="auto"/>
            </w:pPr>
            <w:r>
              <w:t>0090</w:t>
            </w:r>
          </w:p>
        </w:tc>
        <w:tc>
          <w:tcPr>
            <w:tcW w:w="7791" w:type="dxa"/>
            <w:shd w:val="clear" w:color="auto" w:fill="FFFFFF" w:themeFill="background1"/>
          </w:tcPr>
          <w:p w14:paraId="7FE1C5CB" w14:textId="77777777" w:rsidR="00952395" w:rsidRDefault="0083775C">
            <w:pPr>
              <w:pStyle w:val="P68B1DB1-Normal65"/>
              <w:spacing w:line="276" w:lineRule="auto"/>
              <w:jc w:val="both"/>
            </w:pPr>
            <w:r>
              <w:rPr>
                <w:szCs w:val="20"/>
              </w:rPr>
              <w:t>Reglamentējošie tiesību akti</w:t>
            </w:r>
            <w:r>
              <w:t xml:space="preserve"> </w:t>
            </w:r>
          </w:p>
          <w:p w14:paraId="7FE1C5CC" w14:textId="77777777" w:rsidR="00952395" w:rsidRDefault="0083775C">
            <w:pPr>
              <w:pStyle w:val="P68B1DB1-Normal64"/>
              <w:spacing w:line="276" w:lineRule="auto"/>
              <w:jc w:val="both"/>
            </w:pPr>
            <w:r>
              <w:t>Tās valsts ISO kods, kuras tiesību akti līgumam ir piemērojami.</w:t>
            </w:r>
          </w:p>
          <w:p w14:paraId="7FE1C5CD" w14:textId="77777777" w:rsidR="00952395" w:rsidRDefault="00952395">
            <w:pPr>
              <w:spacing w:line="276" w:lineRule="auto"/>
              <w:jc w:val="both"/>
              <w:rPr>
                <w:rFonts w:ascii="Times New Roman" w:hAnsi="Times New Roman"/>
                <w:iCs/>
                <w:sz w:val="20"/>
              </w:rPr>
            </w:pPr>
          </w:p>
        </w:tc>
      </w:tr>
      <w:tr w:rsidR="00952395" w14:paraId="7FE1C5D4" w14:textId="77777777">
        <w:trPr>
          <w:trHeight w:val="463"/>
        </w:trPr>
        <w:tc>
          <w:tcPr>
            <w:tcW w:w="1418" w:type="dxa"/>
            <w:shd w:val="clear" w:color="auto" w:fill="FFFFFF" w:themeFill="background1"/>
          </w:tcPr>
          <w:p w14:paraId="7FE1C5CF" w14:textId="77777777" w:rsidR="00952395" w:rsidRDefault="0083775C">
            <w:pPr>
              <w:pStyle w:val="P68B1DB1-Normal64"/>
              <w:spacing w:line="276" w:lineRule="auto"/>
              <w:jc w:val="both"/>
            </w:pPr>
            <w:r>
              <w:t>0100–0120</w:t>
            </w:r>
          </w:p>
          <w:p w14:paraId="7FE1C5D0" w14:textId="77777777" w:rsidR="00952395" w:rsidRDefault="00952395">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952395" w:rsidRDefault="0083775C">
            <w:pPr>
              <w:pStyle w:val="P68B1DB1-Normal61"/>
              <w:spacing w:before="120" w:after="120" w:line="276" w:lineRule="auto"/>
              <w:rPr>
                <w:bCs/>
                <w:iCs/>
              </w:rPr>
            </w:pPr>
            <w:r>
              <w:t xml:space="preserve">Noregulējuma noturība </w:t>
            </w:r>
          </w:p>
          <w:p w14:paraId="7FE1C5D2" w14:textId="77777777" w:rsidR="00952395" w:rsidRDefault="0083775C">
            <w:pPr>
              <w:pStyle w:val="P68B1DB1-NormalWeb59"/>
              <w:spacing w:before="0" w:beforeAutospacing="0" w:after="0" w:afterAutospacing="0"/>
              <w:rPr>
                <w:iCs/>
                <w:szCs w:val="20"/>
              </w:rPr>
            </w:pPr>
            <w:r>
              <w:rPr>
                <w:szCs w:val="20"/>
              </w:rPr>
              <w:t xml:space="preserve">Novērtējumu par to, vai līgumu, ar ko atbalsta 0030. slejā uzrādīto aktīvu, varētu turpināt un pārvest noregulējuma stratēģijas, tostarp uzņēmējdarbības reorganizācijas plāna, īstenošanas laikā </w:t>
            </w:r>
            <w:r>
              <w:t>saskaņā ar Pamatnostādnēm EBA/GL/2022/01 un attiecīgajiem valsts tiesību aktiem.</w:t>
            </w:r>
          </w:p>
          <w:p w14:paraId="7FE1C5D3" w14:textId="77777777" w:rsidR="00952395" w:rsidRDefault="00952395">
            <w:pPr>
              <w:pStyle w:val="NormalWeb"/>
              <w:spacing w:before="0" w:beforeAutospacing="0" w:after="0" w:afterAutospacing="0"/>
              <w:rPr>
                <w:sz w:val="20"/>
              </w:rPr>
            </w:pPr>
          </w:p>
        </w:tc>
      </w:tr>
      <w:tr w:rsidR="00952395" w14:paraId="7FE1C5E4" w14:textId="77777777">
        <w:trPr>
          <w:trHeight w:val="463"/>
        </w:trPr>
        <w:tc>
          <w:tcPr>
            <w:tcW w:w="1418" w:type="dxa"/>
            <w:shd w:val="clear" w:color="auto" w:fill="FFFFFF" w:themeFill="background1"/>
          </w:tcPr>
          <w:p w14:paraId="7FE1C5D5" w14:textId="77777777" w:rsidR="00952395" w:rsidRDefault="0083775C">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952395" w:rsidRDefault="0083775C">
            <w:pPr>
              <w:pStyle w:val="P68B1DB1-Normal65"/>
              <w:spacing w:line="276" w:lineRule="auto"/>
              <w:jc w:val="both"/>
              <w:rPr>
                <w:bCs/>
              </w:rPr>
            </w:pPr>
            <w:r>
              <w:rPr>
                <w:szCs w:val="20"/>
              </w:rPr>
              <w:t>Noregulējuma noturības elementi</w:t>
            </w:r>
            <w:r>
              <w:t xml:space="preserve"> </w:t>
            </w:r>
          </w:p>
          <w:p w14:paraId="7FE1C5D7" w14:textId="77777777" w:rsidR="00952395" w:rsidRDefault="0083775C">
            <w:pPr>
              <w:pStyle w:val="P68B1DB1-Normal62"/>
              <w:spacing w:line="276" w:lineRule="auto"/>
              <w:jc w:val="both"/>
              <w:rPr>
                <w:iCs/>
              </w:rPr>
            </w:pPr>
            <w:r>
              <w:t>Pret noregulējumu noturīgas iezīmes ir īpašumi, par kuriem ir sagaidāms, ka tie būs attiecīgie līgumi, lai tos uzskatītu par pret noregulējumu noturīgiem. Tie ietver šādus elementus, ar noteikumu, ka tiek turpināta līgumā paredzēto materiālo saistību izpilde:</w:t>
            </w:r>
          </w:p>
          <w:p w14:paraId="7FE1C5D8" w14:textId="77777777" w:rsidR="00952395" w:rsidRDefault="0083775C">
            <w:pPr>
              <w:pStyle w:val="P68B1DB1-ListParagraph60"/>
              <w:numPr>
                <w:ilvl w:val="0"/>
                <w:numId w:val="263"/>
              </w:numPr>
              <w:spacing w:line="276" w:lineRule="auto"/>
              <w:contextualSpacing/>
              <w:jc w:val="both"/>
              <w:rPr>
                <w:iCs/>
              </w:rPr>
            </w:pPr>
            <w:r>
              <w:t xml:space="preserve">nekāda izbeigšana, apturēšana vai grozīšana noregulējuma dēļ (tostarp uzņēmējdarbības reorganizācija saskaņā ar Direktīvas 2014/59/ES 51. pantu); </w:t>
            </w:r>
          </w:p>
          <w:p w14:paraId="7FE1C5D9" w14:textId="77777777" w:rsidR="00952395" w:rsidRDefault="0083775C">
            <w:pPr>
              <w:pStyle w:val="P68B1DB1-ListParagraph60"/>
              <w:numPr>
                <w:ilvl w:val="0"/>
                <w:numId w:val="263"/>
              </w:numPr>
              <w:spacing w:line="276" w:lineRule="auto"/>
              <w:contextualSpacing/>
              <w:jc w:val="both"/>
              <w:rPr>
                <w:iCs/>
              </w:rPr>
            </w:pPr>
            <w:r>
              <w:t xml:space="preserve">pakalpojumu sniegšanas pārvedamība jaunam saņēmējam, ko veic pakalpojuma saņēmējs vai noregulējuma iestāde noregulējuma dēļ (tostarp reorganizācija saskaņā ar Direktīvas 2014/59/ES 51. pantu); </w:t>
            </w:r>
          </w:p>
          <w:p w14:paraId="7FE1C5DA" w14:textId="77777777" w:rsidR="00952395" w:rsidRDefault="0083775C">
            <w:pPr>
              <w:pStyle w:val="P68B1DB1-ListParagraph60"/>
              <w:numPr>
                <w:ilvl w:val="0"/>
                <w:numId w:val="263"/>
              </w:numPr>
              <w:spacing w:line="276" w:lineRule="auto"/>
              <w:contextualSpacing/>
              <w:jc w:val="both"/>
              <w:rPr>
                <w:iCs/>
              </w:rPr>
            </w:pPr>
            <w:r>
              <w:t>atbalstu pārveduma vai izbeigšanas gadījumā, kas notiek noregulējuma laikā (tostarp reorganizācija saskaņā ar Direktīvas 2014/59/ES 51. pantu) uz saprātīgu laikposmu (piemēram, 24 mēnešus) un ko veic pašreizējais pakalpojumu sniedzējs saskaņā ar tādiem pašiem noteikumiem un nosacījumiem; kā arī</w:t>
            </w:r>
          </w:p>
          <w:p w14:paraId="7FE1C5DB" w14:textId="77777777" w:rsidR="00952395" w:rsidRDefault="0083775C">
            <w:pPr>
              <w:pStyle w:val="P68B1DB1-ListParagraph60"/>
              <w:numPr>
                <w:ilvl w:val="0"/>
                <w:numId w:val="263"/>
              </w:numPr>
              <w:spacing w:line="276" w:lineRule="auto"/>
              <w:contextualSpacing/>
              <w:jc w:val="both"/>
              <w:rPr>
                <w:iCs/>
              </w:rPr>
            </w:pPr>
            <w:r>
              <w:t>pakalpojumu sniegšanas turpināšana atsavinātai grupas vienībai noregulējuma laikā (tostarp reorganizācija saskaņā ar Direktīvas 2014/59/ES 51. pantu) saprātīgu laikposmu pēc atsavināšanas, piemēram, 24 mēnešus.</w:t>
            </w:r>
          </w:p>
          <w:p w14:paraId="7FE1C5DC" w14:textId="77777777" w:rsidR="00952395" w:rsidRDefault="0083775C">
            <w:pPr>
              <w:spacing w:line="276" w:lineRule="auto"/>
              <w:jc w:val="both"/>
              <w:rPr>
                <w:rFonts w:ascii="Times New Roman" w:hAnsi="Times New Roman"/>
                <w:iCs/>
                <w:sz w:val="20"/>
                <w:szCs w:val="20"/>
              </w:rPr>
            </w:pPr>
            <w:r>
              <w:rPr>
                <w:rFonts w:ascii="Times New Roman" w:hAnsi="Times New Roman"/>
                <w:sz w:val="20"/>
                <w:szCs w:val="20"/>
              </w:rPr>
              <w:t>Tas attiecas uz līgumiem, uz kuriem attiecas ES dalībvalsts tiesību akti un jurisdikcija</w:t>
            </w:r>
            <w:r>
              <w:rPr>
                <w:rStyle w:val="FootnoteReference"/>
                <w:rFonts w:ascii="Times New Roman" w:hAnsi="Times New Roman"/>
                <w:sz w:val="20"/>
                <w:szCs w:val="20"/>
              </w:rPr>
              <w:footnoteReference w:id="28"/>
            </w:r>
            <w:r>
              <w:rPr>
                <w:rFonts w:ascii="Times New Roman" w:hAnsi="Times New Roman"/>
                <w:sz w:val="20"/>
                <w:szCs w:val="20"/>
              </w:rPr>
              <w:t xml:space="preserve"> (“ES līgumi”), un līgumiem, kuriem piemēro trešās valsts tiesību aktus.</w:t>
            </w:r>
          </w:p>
          <w:p w14:paraId="7FE1C5DD" w14:textId="77777777" w:rsidR="00952395" w:rsidRDefault="00952395">
            <w:pPr>
              <w:spacing w:line="276" w:lineRule="auto"/>
              <w:jc w:val="both"/>
              <w:rPr>
                <w:rFonts w:ascii="Times New Roman" w:hAnsi="Times New Roman"/>
                <w:sz w:val="20"/>
              </w:rPr>
            </w:pPr>
          </w:p>
          <w:p w14:paraId="7FE1C5DE" w14:textId="77777777" w:rsidR="00952395" w:rsidRDefault="0083775C">
            <w:pPr>
              <w:pStyle w:val="P68B1DB1-Normal64"/>
              <w:spacing w:line="276" w:lineRule="auto"/>
              <w:jc w:val="both"/>
            </w:pPr>
            <w:r>
              <w:t>Norādīt vienu no šādām vērtībām:</w:t>
            </w:r>
          </w:p>
          <w:p w14:paraId="7FE1C5DF" w14:textId="77777777" w:rsidR="00952395" w:rsidRDefault="0083775C">
            <w:pPr>
              <w:pStyle w:val="P68B1DB1-Normal62"/>
              <w:spacing w:line="276" w:lineRule="auto"/>
              <w:jc w:val="both"/>
            </w:pPr>
            <w:r>
              <w:t>“Jā” — ja līgums tiek novērtēts kā noregulējuma apliecinājums</w:t>
            </w:r>
          </w:p>
          <w:p w14:paraId="7FE1C5E0" w14:textId="77777777" w:rsidR="00952395" w:rsidRDefault="0083775C">
            <w:pPr>
              <w:pStyle w:val="P68B1DB1-Normal62"/>
              <w:spacing w:line="276" w:lineRule="auto"/>
              <w:jc w:val="both"/>
            </w:pPr>
            <w:r>
              <w:t>“Nē” — ja līgums netiek novērtēts kā noregulējuma apliecinājums</w:t>
            </w:r>
          </w:p>
          <w:p w14:paraId="7FE1C5E1" w14:textId="77777777" w:rsidR="00952395" w:rsidRDefault="0083775C">
            <w:pPr>
              <w:pStyle w:val="P68B1DB1-Normal62"/>
              <w:spacing w:line="276" w:lineRule="auto"/>
              <w:jc w:val="both"/>
            </w:pPr>
            <w:r>
              <w:t>“Nav novērtēts” — ja nekāds vērtējums nav veikts</w:t>
            </w:r>
          </w:p>
          <w:p w14:paraId="7FE1C5E2" w14:textId="748C3D0F" w:rsidR="00952395" w:rsidRDefault="0083775C">
            <w:pPr>
              <w:pStyle w:val="P68B1DB1-Normal62"/>
              <w:spacing w:line="276" w:lineRule="auto"/>
              <w:jc w:val="both"/>
            </w:pPr>
            <w:r>
              <w:t>“Nav PIEŅEMTS” — attiecībā uz vienības iekšējiem pakalpojumiem</w:t>
            </w:r>
          </w:p>
          <w:p w14:paraId="7FE1C5E3" w14:textId="77777777" w:rsidR="00952395" w:rsidRDefault="00952395">
            <w:pPr>
              <w:spacing w:line="276" w:lineRule="auto"/>
              <w:jc w:val="both"/>
              <w:rPr>
                <w:rFonts w:ascii="Times New Roman" w:hAnsi="Times New Roman"/>
                <w:sz w:val="20"/>
              </w:rPr>
            </w:pPr>
          </w:p>
        </w:tc>
      </w:tr>
      <w:tr w:rsidR="00952395" w14:paraId="7FE1C5EF" w14:textId="77777777">
        <w:trPr>
          <w:trHeight w:val="463"/>
        </w:trPr>
        <w:tc>
          <w:tcPr>
            <w:tcW w:w="1418" w:type="dxa"/>
            <w:shd w:val="clear" w:color="auto" w:fill="FFFFFF" w:themeFill="background1"/>
          </w:tcPr>
          <w:p w14:paraId="7FE1C5E5" w14:textId="77777777" w:rsidR="00952395" w:rsidRDefault="0083775C">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952395" w:rsidRDefault="0083775C">
            <w:pPr>
              <w:pStyle w:val="P68B1DB1-Normal65"/>
              <w:spacing w:line="276" w:lineRule="auto"/>
              <w:jc w:val="both"/>
              <w:rPr>
                <w:bCs/>
                <w:iCs/>
              </w:rPr>
            </w:pPr>
            <w:r>
              <w:t>Uzņēmējdarbības reorganizācijas plāns (BRP)</w:t>
            </w:r>
          </w:p>
          <w:p w14:paraId="7FE1C5E7" w14:textId="77777777" w:rsidR="00952395" w:rsidRDefault="0083775C">
            <w:pPr>
              <w:pStyle w:val="P68B1DB1-Normal64"/>
              <w:spacing w:line="276" w:lineRule="auto"/>
              <w:jc w:val="both"/>
              <w:rPr>
                <w:iCs/>
              </w:rPr>
            </w:pPr>
            <w:r>
              <w:t>Ja noregulējuma stratēģijā (vēlamajā vai variantā) ir nepieciešams uzņēmējdarbības reorganizācijas plāns, paredzams, ka ES līgumos būs iekļautas skaidras klauzulas, lai nodrošinātu to noregulējuma noturību uzņēmējdarbības reorganizācijas plānu (BRP) īstenošanā.</w:t>
            </w:r>
          </w:p>
          <w:p w14:paraId="7FE1C5E8" w14:textId="77777777" w:rsidR="00952395" w:rsidRDefault="00952395">
            <w:pPr>
              <w:spacing w:line="276" w:lineRule="auto"/>
              <w:jc w:val="both"/>
              <w:rPr>
                <w:rFonts w:ascii="Times New Roman" w:hAnsi="Times New Roman"/>
                <w:iCs/>
                <w:sz w:val="20"/>
              </w:rPr>
            </w:pPr>
          </w:p>
          <w:p w14:paraId="7FE1C5E9" w14:textId="77777777" w:rsidR="00952395" w:rsidRDefault="0083775C">
            <w:pPr>
              <w:pStyle w:val="P68B1DB1-Normal64"/>
              <w:spacing w:line="276" w:lineRule="auto"/>
              <w:jc w:val="both"/>
              <w:rPr>
                <w:iCs/>
              </w:rPr>
            </w:pPr>
            <w:r>
              <w:t>Norādīt vienu no šādām vērtībām:</w:t>
            </w:r>
          </w:p>
          <w:p w14:paraId="7FE1C5EA" w14:textId="77777777" w:rsidR="00952395" w:rsidRDefault="0083775C">
            <w:pPr>
              <w:pStyle w:val="P68B1DB1-Normal67"/>
              <w:spacing w:line="276" w:lineRule="auto"/>
              <w:jc w:val="both"/>
              <w:rPr>
                <w:iCs/>
                <w:sz w:val="20"/>
              </w:rPr>
            </w:pPr>
            <w:r>
              <w:lastRenderedPageBreak/>
              <w:t>“</w:t>
            </w:r>
            <w:r>
              <w:rPr>
                <w:sz w:val="20"/>
              </w:rPr>
              <w:t>Jā” — ja līgumā ir iekļautas skaidras klauzulas, lai nodrošinātu to noregulējuma noturību BRP īstenošanā</w:t>
            </w:r>
          </w:p>
          <w:p w14:paraId="7FE1C5EB" w14:textId="77777777" w:rsidR="00952395" w:rsidRDefault="0083775C">
            <w:pPr>
              <w:pStyle w:val="P68B1DB1-Normal67"/>
              <w:spacing w:line="276" w:lineRule="auto"/>
              <w:jc w:val="both"/>
              <w:rPr>
                <w:iCs/>
                <w:sz w:val="20"/>
              </w:rPr>
            </w:pPr>
            <w:r>
              <w:t>“</w:t>
            </w:r>
            <w:r>
              <w:rPr>
                <w:sz w:val="20"/>
              </w:rPr>
              <w:t>Nē” — ja līgumā nav iekļautas skaidras klauzulas, lai nodrošinātu to noregulējuma noturību BRP īstenošanā</w:t>
            </w:r>
          </w:p>
          <w:p w14:paraId="7FE1C5EC" w14:textId="77777777" w:rsidR="00952395" w:rsidRDefault="0083775C">
            <w:pPr>
              <w:pStyle w:val="P68B1DB1-Normal67"/>
              <w:spacing w:line="276" w:lineRule="auto"/>
              <w:jc w:val="both"/>
              <w:rPr>
                <w:iCs/>
                <w:sz w:val="20"/>
              </w:rPr>
            </w:pPr>
            <w:r>
              <w:t>“</w:t>
            </w:r>
            <w:r>
              <w:rPr>
                <w:sz w:val="20"/>
              </w:rPr>
              <w:t>Nav novērtēts” — ja nekāds vērtējums nav veikts</w:t>
            </w:r>
          </w:p>
          <w:p w14:paraId="7FE1C5ED" w14:textId="430F5732" w:rsidR="00952395" w:rsidRDefault="0083775C">
            <w:pPr>
              <w:pStyle w:val="P68B1DB1-Normal67"/>
              <w:spacing w:line="276" w:lineRule="auto"/>
              <w:jc w:val="both"/>
              <w:rPr>
                <w:iCs/>
                <w:sz w:val="20"/>
              </w:rPr>
            </w:pPr>
            <w:r>
              <w:t>“</w:t>
            </w:r>
            <w:r>
              <w:rPr>
                <w:sz w:val="20"/>
              </w:rPr>
              <w:t xml:space="preserve">Nav PIEŅEMTS” — attiecībā uz vienības iekšējiem pakalpojumiem vai grupas iekšējiem un ārējiem pakalpojumiem, ja noregulējuma stratēģijai (vēlamajam un variantam) nav nepieciešams uzņēmējdarbības reorganizācijas plāns </w:t>
            </w:r>
          </w:p>
          <w:p w14:paraId="7FE1C5EE" w14:textId="77777777" w:rsidR="00952395" w:rsidRDefault="00952395">
            <w:pPr>
              <w:spacing w:line="276" w:lineRule="auto"/>
              <w:jc w:val="both"/>
              <w:rPr>
                <w:rFonts w:ascii="Times New Roman" w:hAnsi="Times New Roman"/>
                <w:i/>
                <w:sz w:val="20"/>
              </w:rPr>
            </w:pPr>
          </w:p>
        </w:tc>
      </w:tr>
      <w:tr w:rsidR="00952395" w14:paraId="7FE1C5F9" w14:textId="77777777">
        <w:trPr>
          <w:trHeight w:val="463"/>
        </w:trPr>
        <w:tc>
          <w:tcPr>
            <w:tcW w:w="1418" w:type="dxa"/>
            <w:shd w:val="clear" w:color="auto" w:fill="FFFFFF" w:themeFill="background1"/>
          </w:tcPr>
          <w:p w14:paraId="7FE1C5F0" w14:textId="77777777" w:rsidR="00952395" w:rsidRDefault="0083775C">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952395" w:rsidRDefault="0083775C">
            <w:pPr>
              <w:pStyle w:val="P68B1DB1-Normal64"/>
              <w:spacing w:line="276" w:lineRule="auto"/>
              <w:jc w:val="both"/>
            </w:pPr>
            <w:r>
              <w:rPr>
                <w:b/>
              </w:rPr>
              <w:t>Alternatīvi riska mazināšanas pasākumi</w:t>
            </w:r>
            <w:r>
              <w:t xml:space="preserve"> </w:t>
            </w:r>
          </w:p>
          <w:p w14:paraId="7FE1C5F2" w14:textId="77777777" w:rsidR="00952395" w:rsidRDefault="0083775C">
            <w:pPr>
              <w:pStyle w:val="P68B1DB1-Normal64"/>
              <w:spacing w:line="276" w:lineRule="auto"/>
              <w:jc w:val="both"/>
            </w:pPr>
            <w:r>
              <w:t xml:space="preserve">Ja paredzams, ka noregulējuma noturība tiks sasniegta, bet bankas nav spējušas to darīt, tiek sagaidīts, ka bankas izpētīs alternatīvas riska mazināšanas darbības. </w:t>
            </w:r>
          </w:p>
          <w:p w14:paraId="7FE1C5F3" w14:textId="77777777" w:rsidR="00952395" w:rsidRDefault="00952395">
            <w:pPr>
              <w:spacing w:line="276" w:lineRule="auto"/>
              <w:jc w:val="both"/>
              <w:rPr>
                <w:rFonts w:ascii="Times New Roman" w:hAnsi="Times New Roman"/>
                <w:sz w:val="20"/>
              </w:rPr>
            </w:pPr>
          </w:p>
          <w:p w14:paraId="7FE1C5F4" w14:textId="77777777" w:rsidR="00952395" w:rsidRDefault="0083775C">
            <w:pPr>
              <w:pStyle w:val="P68B1DB1-Normal64"/>
              <w:spacing w:line="276" w:lineRule="auto"/>
              <w:jc w:val="both"/>
              <w:rPr>
                <w:iCs/>
              </w:rPr>
            </w:pPr>
            <w:r>
              <w:t>Norādīt vienu no šādām vērtībām:</w:t>
            </w:r>
          </w:p>
          <w:p w14:paraId="7FE1C5F5" w14:textId="77777777" w:rsidR="00952395" w:rsidRDefault="0083775C">
            <w:pPr>
              <w:pStyle w:val="P68B1DB1-Normal67"/>
              <w:spacing w:line="276" w:lineRule="auto"/>
              <w:jc w:val="both"/>
              <w:rPr>
                <w:iCs/>
                <w:sz w:val="20"/>
              </w:rPr>
            </w:pPr>
            <w:r>
              <w:t>“</w:t>
            </w:r>
            <w:r>
              <w:rPr>
                <w:sz w:val="20"/>
              </w:rPr>
              <w:t>Jā” — ja banka ir īstenojusi alternatīvus riska mazināšanas pasākumus</w:t>
            </w:r>
          </w:p>
          <w:p w14:paraId="7FE1C5F6" w14:textId="77777777" w:rsidR="00952395" w:rsidRDefault="0083775C">
            <w:pPr>
              <w:pStyle w:val="P68B1DB1-Normal67"/>
              <w:spacing w:line="276" w:lineRule="auto"/>
              <w:jc w:val="both"/>
              <w:rPr>
                <w:iCs/>
                <w:sz w:val="20"/>
              </w:rPr>
            </w:pPr>
            <w:r>
              <w:t>“</w:t>
            </w:r>
            <w:r>
              <w:rPr>
                <w:sz w:val="20"/>
              </w:rPr>
              <w:t>Nē” — ja banka nav īstenojusi alternatīvus riska mazināšanas pasākumus</w:t>
            </w:r>
          </w:p>
          <w:p w14:paraId="7FE1C5F7" w14:textId="20F99367" w:rsidR="00952395" w:rsidRDefault="0083775C">
            <w:pPr>
              <w:pStyle w:val="P68B1DB1-Normal67"/>
              <w:spacing w:line="276" w:lineRule="auto"/>
              <w:jc w:val="both"/>
              <w:rPr>
                <w:iCs/>
                <w:sz w:val="20"/>
              </w:rPr>
            </w:pPr>
            <w:r>
              <w:t>“</w:t>
            </w:r>
            <w:r>
              <w:rPr>
                <w:sz w:val="20"/>
              </w:rPr>
              <w:t>Nav APLIECINĀJUMS” — gadījumos, kad kāda no 0150. un 0160. slejām ir atzīmēta ar “Jā” vai “NAV PIEŅEMTS”</w:t>
            </w:r>
          </w:p>
          <w:p w14:paraId="7FE1C5F8" w14:textId="77777777" w:rsidR="00952395" w:rsidRDefault="00952395">
            <w:pPr>
              <w:spacing w:line="276" w:lineRule="auto"/>
              <w:jc w:val="both"/>
              <w:rPr>
                <w:rFonts w:ascii="Times New Roman" w:hAnsi="Times New Roman"/>
                <w:sz w:val="20"/>
              </w:rPr>
            </w:pPr>
          </w:p>
        </w:tc>
      </w:tr>
    </w:tbl>
    <w:p w14:paraId="7FE1C5FA" w14:textId="77777777" w:rsidR="00952395" w:rsidRDefault="00952395">
      <w:pPr>
        <w:rPr>
          <w:rFonts w:ascii="Times New Roman" w:eastAsia="Times New Roman" w:hAnsi="Times New Roman" w:cs="Times New Roman"/>
          <w:sz w:val="20"/>
          <w:szCs w:val="20"/>
          <w:u w:val="single"/>
        </w:rPr>
      </w:pPr>
    </w:p>
    <w:p w14:paraId="7FE1C5FB" w14:textId="77777777" w:rsidR="00952395" w:rsidRDefault="00952395">
      <w:pPr>
        <w:rPr>
          <w:rFonts w:ascii="Times New Roman" w:hAnsi="Times New Roman" w:cs="Times New Roman"/>
        </w:rPr>
      </w:pPr>
    </w:p>
    <w:p w14:paraId="7FE1C5FC" w14:textId="77777777" w:rsidR="00952395" w:rsidRDefault="0083775C">
      <w:pPr>
        <w:pStyle w:val="P68B1DB1-Instructionsberschrift25"/>
        <w:numPr>
          <w:ilvl w:val="1"/>
          <w:numId w:val="49"/>
        </w:numPr>
        <w:ind w:left="357" w:hanging="357"/>
        <w:rPr>
          <w:rFonts w:eastAsia="Calibri"/>
          <w:szCs w:val="20"/>
        </w:rPr>
      </w:pPr>
      <w:bookmarkStart w:id="130" w:name="_Toc208244966"/>
      <w:r>
        <w:t>Z 08.03 — Attiecīgie pakalpojumi — kartografēšana pēc lomām (SERV 3)</w:t>
      </w:r>
      <w:bookmarkEnd w:id="130"/>
    </w:p>
    <w:p w14:paraId="7FE1C5FD" w14:textId="77777777" w:rsidR="00952395" w:rsidRDefault="0083775C">
      <w:pPr>
        <w:pStyle w:val="P68B1DB1-Normal50"/>
        <w:spacing w:line="276" w:lineRule="auto"/>
        <w:jc w:val="both"/>
      </w:pPr>
      <w:r>
        <w:t>Vispārīgi norādījumi</w:t>
      </w:r>
    </w:p>
    <w:p w14:paraId="7FE1C5FE" w14:textId="77777777" w:rsidR="00952395" w:rsidRDefault="0083775C">
      <w:pPr>
        <w:pStyle w:val="P68B1DB1-Instructionsberschrift346"/>
        <w:numPr>
          <w:ilvl w:val="2"/>
          <w:numId w:val="211"/>
        </w:numPr>
        <w:ind w:left="993"/>
        <w:contextualSpacing/>
        <w:jc w:val="both"/>
      </w:pPr>
      <w:r>
        <w:rPr>
          <w:color w:val="auto"/>
          <w:szCs w:val="24"/>
        </w:rPr>
        <w:t>Šajā veidnē prasīto informāciju norāda vienu reizi visai grupai, uzskaita kritiski svarīgos pakalpojumus, ko saņēmusi kāda vienība grupā, un sasaista tos ar grupas veiktajām kritiski svarīgajām funkcijām</w:t>
      </w:r>
      <w:r>
        <w:t>.</w:t>
      </w:r>
    </w:p>
    <w:p w14:paraId="7FE1C5FF" w14:textId="77777777" w:rsidR="00952395" w:rsidRDefault="0083775C">
      <w:pPr>
        <w:pStyle w:val="P68B1DB1-Instructionsberschrift368"/>
        <w:numPr>
          <w:ilvl w:val="2"/>
          <w:numId w:val="211"/>
        </w:numPr>
        <w:ind w:left="993"/>
        <w:contextualSpacing/>
        <w:jc w:val="both"/>
      </w:pPr>
      <w:r>
        <w:t>Šīs veidnes slejās 0010., 0020. un 0030. slejā norādītās vērtības veido primāro atslēgu, kurai jābūt unikālai katrā veidnes rindā.</w:t>
      </w:r>
    </w:p>
    <w:p w14:paraId="7FE1C604" w14:textId="77777777" w:rsidR="00952395" w:rsidRDefault="00952395">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952395" w14:paraId="7FE1C607" w14:textId="77777777">
        <w:trPr>
          <w:trHeight w:val="519"/>
          <w:tblHeader/>
        </w:trPr>
        <w:tc>
          <w:tcPr>
            <w:tcW w:w="1418" w:type="dxa"/>
            <w:shd w:val="clear" w:color="auto" w:fill="D9D9D9" w:themeFill="background1" w:themeFillShade="D9"/>
          </w:tcPr>
          <w:p w14:paraId="7FE1C605" w14:textId="77777777" w:rsidR="00952395" w:rsidRDefault="0083775C">
            <w:pPr>
              <w:pStyle w:val="P68B1DB1-Normal61"/>
              <w:spacing w:before="120" w:after="120" w:line="276" w:lineRule="auto"/>
            </w:pPr>
            <w:r>
              <w:t>Slejas</w:t>
            </w:r>
          </w:p>
        </w:tc>
        <w:tc>
          <w:tcPr>
            <w:tcW w:w="7649" w:type="dxa"/>
            <w:shd w:val="clear" w:color="auto" w:fill="D9D9D9" w:themeFill="background1" w:themeFillShade="D9"/>
          </w:tcPr>
          <w:p w14:paraId="7FE1C606" w14:textId="77777777" w:rsidR="00952395" w:rsidRDefault="0083775C">
            <w:pPr>
              <w:pStyle w:val="P68B1DB1-Normal61"/>
              <w:spacing w:before="120" w:after="120" w:line="276" w:lineRule="auto"/>
            </w:pPr>
            <w:r>
              <w:t>Norādījumi</w:t>
            </w:r>
          </w:p>
        </w:tc>
      </w:tr>
      <w:tr w:rsidR="00952395" w14:paraId="7FE1C60C" w14:textId="77777777">
        <w:trPr>
          <w:trHeight w:val="450"/>
        </w:trPr>
        <w:tc>
          <w:tcPr>
            <w:tcW w:w="1418" w:type="dxa"/>
          </w:tcPr>
          <w:p w14:paraId="7FE1C608" w14:textId="77777777" w:rsidR="00952395" w:rsidRDefault="0083775C">
            <w:pPr>
              <w:pStyle w:val="P68B1DB1-Normal62"/>
              <w:spacing w:before="120" w:after="120" w:line="276" w:lineRule="auto"/>
            </w:pPr>
            <w:r>
              <w:t>0005</w:t>
            </w:r>
          </w:p>
        </w:tc>
        <w:tc>
          <w:tcPr>
            <w:tcW w:w="7649" w:type="dxa"/>
          </w:tcPr>
          <w:p w14:paraId="7FE1C609" w14:textId="77777777" w:rsidR="00952395" w:rsidRDefault="0083775C">
            <w:pPr>
              <w:pStyle w:val="P68B1DB1-Normal61"/>
              <w:spacing w:before="120" w:after="120" w:line="276" w:lineRule="auto"/>
              <w:rPr>
                <w:bCs/>
              </w:rPr>
            </w:pPr>
            <w:r>
              <w:t xml:space="preserve">Pakalpojuma identifikators </w:t>
            </w:r>
          </w:p>
          <w:p w14:paraId="7FE1C60A" w14:textId="77777777" w:rsidR="00952395" w:rsidRDefault="0083775C">
            <w:pPr>
              <w:pStyle w:val="P68B1DB1-Normal62"/>
              <w:spacing w:before="120" w:after="120" w:line="276" w:lineRule="auto"/>
            </w:pPr>
            <w:r>
              <w:t>Izmanto pakalpojuma identifikatoru, kas norādīts laukā Z 08.01 (SERV 1).</w:t>
            </w:r>
          </w:p>
          <w:p w14:paraId="7FE1C60B" w14:textId="77777777" w:rsidR="00952395" w:rsidRDefault="0083775C">
            <w:pPr>
              <w:pStyle w:val="P68B1DB1-Normal62"/>
              <w:spacing w:before="120" w:after="120" w:line="276" w:lineRule="auto"/>
              <w:rPr>
                <w:iCs/>
              </w:rPr>
            </w:pPr>
            <w:r>
              <w:t>Pakalpojuma identifikators attiecas uz pakalpojumu, kas uzrādīts 0020. slejā.</w:t>
            </w:r>
          </w:p>
        </w:tc>
      </w:tr>
      <w:tr w:rsidR="00952395" w14:paraId="7FE1C650" w14:textId="77777777">
        <w:trPr>
          <w:trHeight w:val="450"/>
        </w:trPr>
        <w:tc>
          <w:tcPr>
            <w:tcW w:w="1418" w:type="dxa"/>
          </w:tcPr>
          <w:p w14:paraId="7FE1C60D" w14:textId="77777777" w:rsidR="00952395" w:rsidRDefault="0083775C">
            <w:pPr>
              <w:pStyle w:val="P68B1DB1-Normal62"/>
              <w:spacing w:before="120" w:after="120" w:line="276" w:lineRule="auto"/>
            </w:pPr>
            <w:r>
              <w:t>0010</w:t>
            </w:r>
          </w:p>
        </w:tc>
        <w:tc>
          <w:tcPr>
            <w:tcW w:w="7649" w:type="dxa"/>
          </w:tcPr>
          <w:p w14:paraId="7FE1C60E" w14:textId="77777777" w:rsidR="00952395" w:rsidRDefault="0083775C">
            <w:pPr>
              <w:pStyle w:val="P68B1DB1-Normal61"/>
              <w:autoSpaceDE w:val="0"/>
              <w:autoSpaceDN w:val="0"/>
              <w:adjustRightInd w:val="0"/>
              <w:rPr>
                <w:rFonts w:eastAsia="MS Mincho"/>
                <w:bCs/>
              </w:rPr>
            </w:pPr>
            <w:r>
              <w:t xml:space="preserve">Pakalpojuma veids </w:t>
            </w:r>
          </w:p>
          <w:p w14:paraId="7FE1C645" w14:textId="21F3184E" w:rsidR="00952395" w:rsidRDefault="0083775C">
            <w:pPr>
              <w:pStyle w:val="P68B1DB1-Normal63"/>
              <w:autoSpaceDE w:val="0"/>
              <w:autoSpaceDN w:val="0"/>
              <w:adjustRightInd w:val="0"/>
            </w:pPr>
            <w:r>
              <w:t xml:space="preserve">Pakalpojuma veids ir viens no iepriekš Z 08.01 0010 minētajiem pakalpojumu veidiem. </w:t>
            </w:r>
          </w:p>
          <w:p w14:paraId="7FE1C64F" w14:textId="2C039B1C" w:rsidR="00952395" w:rsidRDefault="00952395">
            <w:pPr>
              <w:spacing w:before="120" w:after="120" w:line="276" w:lineRule="auto"/>
              <w:rPr>
                <w:rFonts w:ascii="Times New Roman" w:hAnsi="Times New Roman"/>
                <w:sz w:val="20"/>
                <w:szCs w:val="20"/>
              </w:rPr>
            </w:pPr>
          </w:p>
        </w:tc>
      </w:tr>
      <w:tr w:rsidR="00952395" w14:paraId="7FE1C655" w14:textId="77777777">
        <w:trPr>
          <w:trHeight w:val="450"/>
        </w:trPr>
        <w:tc>
          <w:tcPr>
            <w:tcW w:w="1418" w:type="dxa"/>
          </w:tcPr>
          <w:p w14:paraId="7FE1C651" w14:textId="77777777" w:rsidR="00952395" w:rsidRDefault="0083775C">
            <w:pPr>
              <w:pStyle w:val="P68B1DB1-Normal62"/>
              <w:spacing w:before="120" w:after="120" w:line="276" w:lineRule="auto"/>
            </w:pPr>
            <w:r>
              <w:t>0020</w:t>
            </w:r>
          </w:p>
        </w:tc>
        <w:tc>
          <w:tcPr>
            <w:tcW w:w="7649" w:type="dxa"/>
          </w:tcPr>
          <w:p w14:paraId="7FE1C652" w14:textId="77777777" w:rsidR="00952395" w:rsidRDefault="0083775C">
            <w:pPr>
              <w:pStyle w:val="P68B1DB1-Normal65"/>
              <w:spacing w:line="276" w:lineRule="auto"/>
              <w:jc w:val="both"/>
            </w:pPr>
            <w:r>
              <w:rPr>
                <w:szCs w:val="20"/>
              </w:rPr>
              <w:t>Unikāls pakalpojuma nosaukums saskaņā ar bankas taksonomiju</w:t>
            </w:r>
            <w:r>
              <w:t xml:space="preserve"> </w:t>
            </w:r>
          </w:p>
          <w:p w14:paraId="7FE1C653" w14:textId="61186926" w:rsidR="00952395" w:rsidRDefault="0083775C">
            <w:pPr>
              <w:pStyle w:val="P68B1DB1-Normal64"/>
              <w:rPr>
                <w:rFonts w:eastAsiaTheme="minorHAnsi"/>
                <w:sz w:val="24"/>
              </w:rPr>
            </w:pPr>
            <w:r>
              <w:t>Pakalpojuma nosaukums/īss apraksts saskaņā ar bankas diferencēto taksonomiju (3. līmenis), kā norādīts Z 08.01 (SERV 1) 0020. slejā. Tiek sagaidīts, ka banka ziņos par pakalpojumiem detalizētākā līmenī nekā 2. līmenī (0010.c.) sniegtajā pārskatā, lai katrs konkrētais pakalpojums tiktu precīzi un mērķtiecīgi definēts.</w:t>
            </w:r>
          </w:p>
          <w:p w14:paraId="7FE1C654" w14:textId="77777777" w:rsidR="00952395" w:rsidRDefault="00952395">
            <w:pPr>
              <w:spacing w:before="120" w:after="120" w:line="276" w:lineRule="auto"/>
              <w:rPr>
                <w:rFonts w:ascii="Times New Roman" w:hAnsi="Times New Roman"/>
                <w:sz w:val="20"/>
                <w:szCs w:val="20"/>
              </w:rPr>
            </w:pPr>
          </w:p>
        </w:tc>
      </w:tr>
      <w:tr w:rsidR="00952395" w14:paraId="7FE1C65A" w14:textId="77777777">
        <w:trPr>
          <w:trHeight w:val="450"/>
        </w:trPr>
        <w:tc>
          <w:tcPr>
            <w:tcW w:w="1418" w:type="dxa"/>
          </w:tcPr>
          <w:p w14:paraId="7FE1C656" w14:textId="77777777" w:rsidR="00952395" w:rsidRDefault="0083775C">
            <w:pPr>
              <w:pStyle w:val="P68B1DB1-Normal62"/>
              <w:spacing w:before="120" w:after="120" w:line="276" w:lineRule="auto"/>
              <w:rPr>
                <w:b/>
              </w:rPr>
            </w:pPr>
            <w:r>
              <w:lastRenderedPageBreak/>
              <w:t>0030</w:t>
            </w:r>
          </w:p>
        </w:tc>
        <w:tc>
          <w:tcPr>
            <w:tcW w:w="7649" w:type="dxa"/>
          </w:tcPr>
          <w:p w14:paraId="7FE1C657" w14:textId="77777777" w:rsidR="00952395" w:rsidRDefault="0083775C">
            <w:pPr>
              <w:pStyle w:val="P68B1DB1-Normal65"/>
              <w:spacing w:before="120" w:after="120" w:line="276" w:lineRule="auto"/>
              <w:rPr>
                <w:bCs/>
              </w:rPr>
            </w:pPr>
            <w:r>
              <w:rPr>
                <w:szCs w:val="20"/>
              </w:rPr>
              <w:t>Lomas ID</w:t>
            </w:r>
            <w:r>
              <w:t xml:space="preserve"> </w:t>
            </w:r>
          </w:p>
          <w:p w14:paraId="7FE1C658" w14:textId="77777777" w:rsidR="00952395" w:rsidRDefault="0083775C">
            <w:pPr>
              <w:pStyle w:val="P68B1DB1-Normal64"/>
              <w:spacing w:before="120" w:after="120" w:line="276" w:lineRule="auto"/>
            </w:pPr>
            <w:r>
              <w:t>Lomas identifikators attiecas uz lomu, kas norādīta 0040.s. postenī.</w:t>
            </w:r>
          </w:p>
          <w:p w14:paraId="7FE1C659" w14:textId="77777777" w:rsidR="00952395" w:rsidRDefault="00952395">
            <w:pPr>
              <w:spacing w:before="120" w:after="120" w:line="276" w:lineRule="auto"/>
              <w:rPr>
                <w:rFonts w:ascii="Times New Roman" w:hAnsi="Times New Roman"/>
                <w:sz w:val="20"/>
                <w:szCs w:val="20"/>
              </w:rPr>
            </w:pPr>
          </w:p>
        </w:tc>
      </w:tr>
      <w:tr w:rsidR="00952395" w14:paraId="7FE1C65F" w14:textId="77777777">
        <w:trPr>
          <w:trHeight w:val="450"/>
        </w:trPr>
        <w:tc>
          <w:tcPr>
            <w:tcW w:w="1418" w:type="dxa"/>
          </w:tcPr>
          <w:p w14:paraId="7FE1C65B" w14:textId="77777777" w:rsidR="00952395" w:rsidRDefault="0083775C">
            <w:pPr>
              <w:pStyle w:val="P68B1DB1-Normal62"/>
              <w:spacing w:before="120" w:after="120" w:line="276" w:lineRule="auto"/>
            </w:pPr>
            <w:r>
              <w:t>0040</w:t>
            </w:r>
          </w:p>
        </w:tc>
        <w:tc>
          <w:tcPr>
            <w:tcW w:w="7649" w:type="dxa"/>
          </w:tcPr>
          <w:p w14:paraId="7FE1C65C" w14:textId="77777777" w:rsidR="00952395" w:rsidRDefault="0083775C">
            <w:pPr>
              <w:pStyle w:val="P68B1DB1-Normal61"/>
              <w:spacing w:before="120" w:after="120" w:line="276" w:lineRule="auto"/>
              <w:rPr>
                <w:bCs/>
              </w:rPr>
            </w:pPr>
            <w:r>
              <w:t>Administratīvā funkcija</w:t>
            </w:r>
          </w:p>
          <w:p w14:paraId="7FE1C65D" w14:textId="77777777" w:rsidR="00952395" w:rsidRDefault="0083775C">
            <w:pPr>
              <w:pStyle w:val="P68B1DB1-Normal64"/>
              <w:spacing w:line="276" w:lineRule="auto"/>
              <w:jc w:val="both"/>
            </w:pPr>
            <w:r>
              <w:t>Konkrētajam uzdevumam izmantotais iekšējais nosaukums.</w:t>
            </w:r>
          </w:p>
          <w:p w14:paraId="7FE1C65E" w14:textId="77777777" w:rsidR="00952395" w:rsidRDefault="00952395">
            <w:pPr>
              <w:spacing w:before="120" w:after="120" w:line="276" w:lineRule="auto"/>
              <w:rPr>
                <w:rFonts w:ascii="Times New Roman" w:hAnsi="Times New Roman"/>
                <w:sz w:val="20"/>
                <w:szCs w:val="20"/>
              </w:rPr>
            </w:pPr>
          </w:p>
        </w:tc>
      </w:tr>
      <w:tr w:rsidR="00952395" w14:paraId="7FE1C664" w14:textId="77777777">
        <w:trPr>
          <w:trHeight w:val="450"/>
        </w:trPr>
        <w:tc>
          <w:tcPr>
            <w:tcW w:w="1418" w:type="dxa"/>
          </w:tcPr>
          <w:p w14:paraId="7FE1C660" w14:textId="77777777" w:rsidR="00952395" w:rsidRDefault="0083775C">
            <w:pPr>
              <w:pStyle w:val="P68B1DB1-Normal62"/>
              <w:spacing w:before="120" w:after="120" w:line="276" w:lineRule="auto"/>
            </w:pPr>
            <w:r>
              <w:t>0050</w:t>
            </w:r>
          </w:p>
        </w:tc>
        <w:tc>
          <w:tcPr>
            <w:tcW w:w="7649" w:type="dxa"/>
          </w:tcPr>
          <w:p w14:paraId="7FE1C661" w14:textId="77777777" w:rsidR="00952395" w:rsidRDefault="0083775C">
            <w:pPr>
              <w:pStyle w:val="P68B1DB1-Normal61"/>
              <w:spacing w:before="120" w:after="120" w:line="276" w:lineRule="auto"/>
              <w:rPr>
                <w:bCs/>
              </w:rPr>
            </w:pPr>
            <w:r>
              <w:t>Departaments</w:t>
            </w:r>
          </w:p>
          <w:p w14:paraId="7FE1C662" w14:textId="77777777" w:rsidR="00952395" w:rsidRDefault="0083775C">
            <w:pPr>
              <w:pStyle w:val="P68B1DB1-Normal64"/>
              <w:spacing w:line="276" w:lineRule="auto"/>
              <w:jc w:val="both"/>
            </w:pPr>
            <w:r>
              <w:t>Iekšējais nosaukums, kas izmantots konkrētajā departamentā, kurā ietilpst lomas nosaukums saskaņā ar 0040. pozīciju.</w:t>
            </w:r>
          </w:p>
          <w:p w14:paraId="7FE1C663" w14:textId="77777777" w:rsidR="00952395" w:rsidRDefault="00952395">
            <w:pPr>
              <w:spacing w:line="276" w:lineRule="auto"/>
              <w:jc w:val="both"/>
              <w:rPr>
                <w:rFonts w:ascii="Times New Roman" w:hAnsi="Times New Roman"/>
                <w:iCs/>
                <w:sz w:val="20"/>
              </w:rPr>
            </w:pPr>
          </w:p>
        </w:tc>
      </w:tr>
      <w:tr w:rsidR="00952395" w14:paraId="7FE1C66C" w14:textId="77777777">
        <w:trPr>
          <w:trHeight w:val="450"/>
        </w:trPr>
        <w:tc>
          <w:tcPr>
            <w:tcW w:w="1418" w:type="dxa"/>
          </w:tcPr>
          <w:p w14:paraId="7FE1C665" w14:textId="77777777" w:rsidR="00952395" w:rsidRDefault="0083775C">
            <w:pPr>
              <w:pStyle w:val="P68B1DB1-Normal62"/>
              <w:spacing w:before="120" w:after="120" w:line="276" w:lineRule="auto"/>
            </w:pPr>
            <w:r>
              <w:t>0060</w:t>
            </w:r>
          </w:p>
        </w:tc>
        <w:tc>
          <w:tcPr>
            <w:tcW w:w="7649" w:type="dxa"/>
          </w:tcPr>
          <w:p w14:paraId="7FE1C666" w14:textId="77777777" w:rsidR="00952395" w:rsidRDefault="0083775C">
            <w:pPr>
              <w:pStyle w:val="P68B1DB1-Normal61"/>
              <w:spacing w:before="120" w:after="120" w:line="276" w:lineRule="auto"/>
              <w:rPr>
                <w:bCs/>
              </w:rPr>
            </w:pPr>
            <w:r>
              <w:t>Svarīgums</w:t>
            </w:r>
          </w:p>
          <w:p w14:paraId="7FE1C667" w14:textId="77777777" w:rsidR="00952395" w:rsidRDefault="0083775C">
            <w:pPr>
              <w:pStyle w:val="P68B1DB1-Normal64"/>
              <w:spacing w:line="276" w:lineRule="auto"/>
              <w:jc w:val="both"/>
              <w:rPr>
                <w:iCs/>
              </w:rPr>
            </w:pPr>
            <w:r>
              <w:t>Norādīt vienu no šādām vērtībām:</w:t>
            </w:r>
          </w:p>
          <w:p w14:paraId="7FE1C668" w14:textId="77777777" w:rsidR="00952395" w:rsidRDefault="0083775C">
            <w:pPr>
              <w:pStyle w:val="P68B1DB1-ListParagraph58"/>
              <w:numPr>
                <w:ilvl w:val="0"/>
                <w:numId w:val="236"/>
              </w:numPr>
              <w:spacing w:line="276" w:lineRule="auto"/>
              <w:contextualSpacing/>
              <w:jc w:val="both"/>
              <w:rPr>
                <w:iCs/>
              </w:rPr>
            </w:pPr>
            <w:r>
              <w:t>Kritiski svarīgi: ja pakalpojums ir nepieciešams vienas vai vairāku kritiski svarīgu funkciju veikšanai un kuru pārtraukšana nopietni kavētu vai kavētu šo kritiski svarīgo funkciju izpildi.</w:t>
            </w:r>
          </w:p>
          <w:p w14:paraId="7FE1C669" w14:textId="77777777" w:rsidR="00952395" w:rsidRDefault="0083775C">
            <w:pPr>
              <w:pStyle w:val="P68B1DB1-ListParagraph58"/>
              <w:numPr>
                <w:ilvl w:val="0"/>
                <w:numId w:val="236"/>
              </w:numPr>
              <w:spacing w:line="276" w:lineRule="auto"/>
              <w:contextualSpacing/>
              <w:jc w:val="both"/>
              <w:rPr>
                <w:iCs/>
              </w:rPr>
            </w:pPr>
            <w:r>
              <w:t>Būtiskie kritēriji ja pakalpojums ir saistīts ar galvenajām darbības jomām, kuru nepārtrauktība ir nepieciešama noregulējuma stratēģijas efektīvai īstenošanai un jebkādai no tās izrietošai pārstrukturēšanai.</w:t>
            </w:r>
          </w:p>
          <w:p w14:paraId="7FE1C66A" w14:textId="21623EFD" w:rsidR="00952395" w:rsidRDefault="0083775C">
            <w:pPr>
              <w:pStyle w:val="P68B1DB1-ListParagraph58"/>
              <w:numPr>
                <w:ilvl w:val="0"/>
                <w:numId w:val="236"/>
              </w:numPr>
              <w:spacing w:line="276" w:lineRule="auto"/>
              <w:contextualSpacing/>
              <w:jc w:val="both"/>
              <w:rPr>
                <w:iCs/>
              </w:rPr>
            </w:pPr>
            <w:r>
              <w:t>Kritiski un būtiski</w:t>
            </w:r>
          </w:p>
          <w:p w14:paraId="7FE1C66B" w14:textId="77777777" w:rsidR="00952395" w:rsidRDefault="00952395">
            <w:pPr>
              <w:spacing w:before="120" w:after="120" w:line="276" w:lineRule="auto"/>
              <w:rPr>
                <w:rFonts w:ascii="Times New Roman" w:hAnsi="Times New Roman"/>
                <w:sz w:val="20"/>
                <w:szCs w:val="20"/>
              </w:rPr>
            </w:pPr>
          </w:p>
        </w:tc>
      </w:tr>
    </w:tbl>
    <w:p w14:paraId="7FE1C6D5" w14:textId="77777777" w:rsidR="00952395" w:rsidRDefault="00952395">
      <w:pPr>
        <w:rPr>
          <w:rFonts w:ascii="Times New Roman" w:hAnsi="Times New Roman" w:cs="Times New Roman"/>
        </w:rPr>
      </w:pPr>
    </w:p>
    <w:p w14:paraId="7FE1C6D6" w14:textId="77777777" w:rsidR="00952395" w:rsidRDefault="0083775C">
      <w:pPr>
        <w:pStyle w:val="P68B1DB1-Instructionsberschrift25"/>
        <w:numPr>
          <w:ilvl w:val="1"/>
          <w:numId w:val="49"/>
        </w:numPr>
        <w:ind w:left="357" w:hanging="357"/>
        <w:rPr>
          <w:rFonts w:eastAsia="Calibri"/>
          <w:szCs w:val="20"/>
        </w:rPr>
      </w:pPr>
      <w:bookmarkStart w:id="131" w:name="_Toc208244967"/>
      <w:r>
        <w:t>Z 08.04 — Kritiski svarīgi pakalpojumi — kartografēšana ar kritiski svarīgām funkcijām (SERV 4)</w:t>
      </w:r>
      <w:bookmarkEnd w:id="131"/>
    </w:p>
    <w:p w14:paraId="7FE1C6D7" w14:textId="77777777" w:rsidR="00952395" w:rsidRDefault="0083775C">
      <w:pPr>
        <w:pStyle w:val="P68B1DB1-Instructionsberschrift269"/>
        <w:ind w:left="357"/>
      </w:pPr>
      <w:bookmarkStart w:id="132" w:name="_Toc164263859"/>
      <w:bookmarkStart w:id="133" w:name="_Toc208244968"/>
      <w:r>
        <w:t>Vispārīgi norādījumi</w:t>
      </w:r>
      <w:bookmarkEnd w:id="132"/>
      <w:bookmarkEnd w:id="133"/>
    </w:p>
    <w:p w14:paraId="7FE1C6D8" w14:textId="77777777" w:rsidR="00952395" w:rsidRDefault="00952395">
      <w:pPr>
        <w:spacing w:line="276" w:lineRule="auto"/>
        <w:jc w:val="both"/>
        <w:rPr>
          <w:rFonts w:ascii="Times New Roman" w:eastAsia="Calibri" w:hAnsi="Times New Roman" w:cs="Times New Roman"/>
          <w:sz w:val="20"/>
          <w:szCs w:val="20"/>
        </w:rPr>
      </w:pPr>
    </w:p>
    <w:p w14:paraId="7FE1C6D9" w14:textId="77777777" w:rsidR="00952395" w:rsidRDefault="0083775C">
      <w:pPr>
        <w:pStyle w:val="P68B1DB1-ListParagraph53"/>
        <w:numPr>
          <w:ilvl w:val="0"/>
          <w:numId w:val="267"/>
        </w:numPr>
        <w:ind w:left="1418"/>
        <w:contextualSpacing/>
        <w:jc w:val="both"/>
      </w:pPr>
      <w:r>
        <w:t>Šajā veidnē prasīto informāciju norāda vienu reizi visai grupai, uzskaita kritiski svarīgos pakalpojumus, ko saņēmusi kāda vienība grupā, un sasaista tos ar grupas veiktajām kritiski svarīgajām funkcijām.</w:t>
      </w:r>
    </w:p>
    <w:p w14:paraId="7FE1C6DA" w14:textId="77777777" w:rsidR="00952395" w:rsidRDefault="0083775C">
      <w:pPr>
        <w:pStyle w:val="P68B1DB1-ListParagraph53"/>
        <w:numPr>
          <w:ilvl w:val="0"/>
          <w:numId w:val="267"/>
        </w:numPr>
        <w:ind w:left="1418"/>
        <w:contextualSpacing/>
        <w:jc w:val="both"/>
      </w:pPr>
      <w:r>
        <w:t>Šīs veidnes 0010., 0020., 0030. un 0040. slejā norādīto vērtības veido primāro atslēgu, kurai jābūt unikālai katrā veidnes rindā.</w:t>
      </w:r>
    </w:p>
    <w:p w14:paraId="7FE1C6DB" w14:textId="77777777" w:rsidR="00952395" w:rsidRDefault="00952395">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952395" w14:paraId="7FE1C6DE" w14:textId="77777777">
        <w:trPr>
          <w:trHeight w:val="445"/>
          <w:tblHeader/>
        </w:trPr>
        <w:tc>
          <w:tcPr>
            <w:tcW w:w="1418" w:type="dxa"/>
            <w:shd w:val="clear" w:color="auto" w:fill="E7E6E6"/>
          </w:tcPr>
          <w:p w14:paraId="7FE1C6DC" w14:textId="77777777" w:rsidR="00952395" w:rsidRDefault="0083775C">
            <w:pPr>
              <w:pStyle w:val="P68B1DB1-Normal61"/>
              <w:spacing w:before="120" w:after="120" w:line="276" w:lineRule="auto"/>
            </w:pPr>
            <w:r>
              <w:t>Slejas</w:t>
            </w:r>
          </w:p>
        </w:tc>
        <w:tc>
          <w:tcPr>
            <w:tcW w:w="7508" w:type="dxa"/>
            <w:shd w:val="clear" w:color="auto" w:fill="E7E6E6"/>
          </w:tcPr>
          <w:p w14:paraId="7FE1C6DD" w14:textId="77777777" w:rsidR="00952395" w:rsidRDefault="0083775C">
            <w:pPr>
              <w:pStyle w:val="P68B1DB1-Normal61"/>
              <w:spacing w:before="120" w:after="120" w:line="276" w:lineRule="auto"/>
            </w:pPr>
            <w:r>
              <w:t>Norādījumi</w:t>
            </w:r>
          </w:p>
        </w:tc>
      </w:tr>
      <w:tr w:rsidR="00952395" w14:paraId="7FE1C6E3" w14:textId="77777777">
        <w:trPr>
          <w:trHeight w:val="450"/>
        </w:trPr>
        <w:tc>
          <w:tcPr>
            <w:tcW w:w="1418" w:type="dxa"/>
            <w:shd w:val="clear" w:color="auto" w:fill="FFFFFF"/>
          </w:tcPr>
          <w:p w14:paraId="7FE1C6DF" w14:textId="77777777" w:rsidR="00952395" w:rsidRDefault="0083775C">
            <w:pPr>
              <w:pStyle w:val="P68B1DB1-Normal62"/>
              <w:spacing w:before="120" w:after="120" w:line="276" w:lineRule="auto"/>
            </w:pPr>
            <w:r>
              <w:t>0005</w:t>
            </w:r>
          </w:p>
        </w:tc>
        <w:tc>
          <w:tcPr>
            <w:tcW w:w="7508" w:type="dxa"/>
            <w:shd w:val="clear" w:color="auto" w:fill="FFFFFF"/>
          </w:tcPr>
          <w:p w14:paraId="7FE1C6E0" w14:textId="77777777" w:rsidR="00952395" w:rsidRDefault="0083775C">
            <w:pPr>
              <w:pStyle w:val="P68B1DB1-Normal61"/>
              <w:spacing w:before="120" w:after="120" w:line="276" w:lineRule="auto"/>
            </w:pPr>
            <w:r>
              <w:t xml:space="preserve">Pakalpojuma identifikators </w:t>
            </w:r>
          </w:p>
          <w:p w14:paraId="7FE1C6E1" w14:textId="77777777" w:rsidR="00952395" w:rsidRDefault="0083775C">
            <w:pPr>
              <w:pStyle w:val="P68B1DB1-Normal62"/>
              <w:spacing w:before="120" w:after="120" w:line="276" w:lineRule="auto"/>
            </w:pPr>
            <w:r>
              <w:t>Izmanto pakalpojuma identifikatoru, kas norādīts laukā Z 08.01 (SERV 1).</w:t>
            </w:r>
          </w:p>
          <w:p w14:paraId="7FE1C6E2" w14:textId="77777777" w:rsidR="00952395" w:rsidRDefault="0083775C">
            <w:pPr>
              <w:pStyle w:val="P68B1DB1-Normal62"/>
              <w:spacing w:before="120" w:after="120" w:line="276" w:lineRule="auto"/>
              <w:rPr>
                <w:i/>
              </w:rPr>
            </w:pPr>
            <w:r>
              <w:t>Pakalpojuma identifikators attiecas uz pakalpojumu, kas uzrādīts 0020. slejā.</w:t>
            </w:r>
          </w:p>
        </w:tc>
      </w:tr>
      <w:tr w:rsidR="00952395" w14:paraId="7FE1C727" w14:textId="77777777">
        <w:trPr>
          <w:trHeight w:val="450"/>
        </w:trPr>
        <w:tc>
          <w:tcPr>
            <w:tcW w:w="1418" w:type="dxa"/>
            <w:shd w:val="clear" w:color="auto" w:fill="FFFFFF"/>
          </w:tcPr>
          <w:p w14:paraId="7FE1C6E4" w14:textId="77777777" w:rsidR="00952395" w:rsidRDefault="0083775C">
            <w:pPr>
              <w:pStyle w:val="P68B1DB1-Normal62"/>
              <w:spacing w:before="120" w:after="120" w:line="276" w:lineRule="auto"/>
            </w:pPr>
            <w:r>
              <w:t>0010</w:t>
            </w:r>
          </w:p>
        </w:tc>
        <w:tc>
          <w:tcPr>
            <w:tcW w:w="7508" w:type="dxa"/>
            <w:shd w:val="clear" w:color="auto" w:fill="FFFFFF"/>
          </w:tcPr>
          <w:p w14:paraId="7FE1C6E5" w14:textId="77777777" w:rsidR="00952395" w:rsidRDefault="0083775C">
            <w:pPr>
              <w:pStyle w:val="P68B1DB1-Normal61"/>
              <w:autoSpaceDE w:val="0"/>
              <w:autoSpaceDN w:val="0"/>
              <w:adjustRightInd w:val="0"/>
              <w:rPr>
                <w:rFonts w:eastAsia="MS Mincho"/>
                <w:bCs/>
              </w:rPr>
            </w:pPr>
            <w:r>
              <w:t xml:space="preserve">Pakalpojuma veids </w:t>
            </w:r>
          </w:p>
          <w:p w14:paraId="7FE1C6E6" w14:textId="328A5068" w:rsidR="00952395" w:rsidRDefault="0083775C">
            <w:pPr>
              <w:pStyle w:val="P68B1DB1-Normal63"/>
              <w:autoSpaceDE w:val="0"/>
              <w:autoSpaceDN w:val="0"/>
              <w:adjustRightInd w:val="0"/>
            </w:pPr>
            <w:r>
              <w:t xml:space="preserve">Pakalpojuma veids ir viens no iepriekš Z 08.01 0010 minētajiem pakalpojumu veidiem. </w:t>
            </w:r>
          </w:p>
          <w:p w14:paraId="7FE1C726" w14:textId="7C7FFCB5" w:rsidR="00952395" w:rsidRDefault="00952395">
            <w:pPr>
              <w:spacing w:before="120" w:after="120" w:line="276" w:lineRule="auto"/>
              <w:rPr>
                <w:rFonts w:ascii="Times New Roman" w:hAnsi="Times New Roman"/>
                <w:sz w:val="20"/>
                <w:szCs w:val="20"/>
              </w:rPr>
            </w:pPr>
          </w:p>
        </w:tc>
      </w:tr>
      <w:tr w:rsidR="00952395" w14:paraId="7FE1C72C" w14:textId="77777777">
        <w:trPr>
          <w:trHeight w:val="450"/>
        </w:trPr>
        <w:tc>
          <w:tcPr>
            <w:tcW w:w="1418" w:type="dxa"/>
            <w:shd w:val="clear" w:color="auto" w:fill="FFFFFF"/>
          </w:tcPr>
          <w:p w14:paraId="7FE1C728" w14:textId="77777777" w:rsidR="00952395" w:rsidRDefault="0083775C">
            <w:pPr>
              <w:pStyle w:val="P68B1DB1-Normal62"/>
              <w:spacing w:before="120" w:after="120" w:line="276" w:lineRule="auto"/>
            </w:pPr>
            <w:r>
              <w:lastRenderedPageBreak/>
              <w:t>0020</w:t>
            </w:r>
          </w:p>
        </w:tc>
        <w:tc>
          <w:tcPr>
            <w:tcW w:w="7508" w:type="dxa"/>
            <w:shd w:val="clear" w:color="auto" w:fill="FFFFFF"/>
          </w:tcPr>
          <w:p w14:paraId="7FE1C729" w14:textId="77777777" w:rsidR="00952395" w:rsidRDefault="0083775C">
            <w:pPr>
              <w:pStyle w:val="P68B1DB1-Normal65"/>
              <w:spacing w:line="276" w:lineRule="auto"/>
              <w:jc w:val="both"/>
            </w:pPr>
            <w:r>
              <w:rPr>
                <w:szCs w:val="20"/>
              </w:rPr>
              <w:t>Unikāls pakalpojuma nosaukums saskaņā ar bankas taksonomiju</w:t>
            </w:r>
            <w:r>
              <w:t xml:space="preserve"> </w:t>
            </w:r>
          </w:p>
          <w:p w14:paraId="7FE1C72A" w14:textId="14809522" w:rsidR="00952395" w:rsidRDefault="0083775C">
            <w:pPr>
              <w:pStyle w:val="P68B1DB1-Normal64"/>
            </w:pPr>
            <w:r>
              <w:t>Pakalpojuma nosaukums/īss apraksts saskaņā ar bankas diferencēto taksonomiju (3. līmenis), kā norādīts Z 08.01 (SERV 1) 0020. slejā. Tiek sagaidīts, ka banka ziņos par pakalpojumiem detalizētākā līmenī nekā 2. līmenī (0010.c.) sniegtajā pārskatā, lai katrs konkrētais pakalpojums tiktu precīzi un mērķtiecīgi definēts.</w:t>
            </w:r>
          </w:p>
          <w:p w14:paraId="7FE1C72B" w14:textId="77777777" w:rsidR="00952395" w:rsidRDefault="00952395">
            <w:pPr>
              <w:spacing w:before="120" w:after="120" w:line="276" w:lineRule="auto"/>
              <w:rPr>
                <w:rFonts w:ascii="Times New Roman" w:hAnsi="Times New Roman"/>
                <w:sz w:val="20"/>
                <w:szCs w:val="20"/>
              </w:rPr>
            </w:pPr>
          </w:p>
        </w:tc>
      </w:tr>
      <w:tr w:rsidR="00952395" w14:paraId="7FE1C731" w14:textId="77777777">
        <w:trPr>
          <w:trHeight w:val="450"/>
        </w:trPr>
        <w:tc>
          <w:tcPr>
            <w:tcW w:w="1418" w:type="dxa"/>
            <w:shd w:val="clear" w:color="auto" w:fill="FFFFFF"/>
          </w:tcPr>
          <w:p w14:paraId="7FE1C72D" w14:textId="77777777" w:rsidR="00952395" w:rsidRDefault="0083775C">
            <w:pPr>
              <w:pStyle w:val="P68B1DB1-Normal62"/>
              <w:spacing w:before="120" w:after="120" w:line="276" w:lineRule="auto"/>
            </w:pPr>
            <w:r>
              <w:t>0030–0040</w:t>
            </w:r>
          </w:p>
        </w:tc>
        <w:tc>
          <w:tcPr>
            <w:tcW w:w="7508" w:type="dxa"/>
            <w:shd w:val="clear" w:color="auto" w:fill="FFFFFF"/>
          </w:tcPr>
          <w:p w14:paraId="7FE1C72E" w14:textId="77777777" w:rsidR="00952395" w:rsidRDefault="0083775C">
            <w:pPr>
              <w:pStyle w:val="P68B1DB1-Normal65"/>
              <w:spacing w:line="276" w:lineRule="auto"/>
              <w:jc w:val="both"/>
              <w:rPr>
                <w:bCs/>
              </w:rPr>
            </w:pPr>
            <w:r>
              <w:rPr>
                <w:szCs w:val="20"/>
              </w:rPr>
              <w:t>Kritiski svarīga funkcija</w:t>
            </w:r>
            <w:r>
              <w:t xml:space="preserve"> </w:t>
            </w:r>
          </w:p>
          <w:p w14:paraId="7FE1C72F" w14:textId="77777777" w:rsidR="00952395" w:rsidRDefault="0083775C">
            <w:pPr>
              <w:pStyle w:val="P68B1DB1-Normal64"/>
              <w:spacing w:line="276" w:lineRule="auto"/>
              <w:jc w:val="both"/>
            </w:pPr>
            <w:r>
              <w:t>Kritiski svarīga funkcija, kuras veikšana kritiski svarīga pakalpojuma traucējumu gadījumā tiktu ievērojami sarežģīta vai pilnībā pārtraukta. Tā ir kāda no funkcijām, kas veidnē Z 07.01 (FUNC 1) novērtēta kā kritiski svarīga.</w:t>
            </w:r>
          </w:p>
          <w:p w14:paraId="7FE1C730" w14:textId="77777777" w:rsidR="00952395" w:rsidRDefault="00952395">
            <w:pPr>
              <w:spacing w:line="276" w:lineRule="auto"/>
              <w:jc w:val="both"/>
              <w:rPr>
                <w:rFonts w:ascii="Times New Roman" w:hAnsi="Times New Roman"/>
                <w:sz w:val="20"/>
              </w:rPr>
            </w:pPr>
          </w:p>
        </w:tc>
      </w:tr>
      <w:tr w:rsidR="00952395" w14:paraId="7FE1C736" w14:textId="77777777">
        <w:trPr>
          <w:trHeight w:val="450"/>
        </w:trPr>
        <w:tc>
          <w:tcPr>
            <w:tcW w:w="1418" w:type="dxa"/>
            <w:shd w:val="clear" w:color="auto" w:fill="FFFFFF"/>
          </w:tcPr>
          <w:p w14:paraId="7FE1C732" w14:textId="77777777" w:rsidR="00952395" w:rsidRDefault="0083775C">
            <w:pPr>
              <w:pStyle w:val="P68B1DB1-Normal64"/>
              <w:spacing w:before="120" w:after="120" w:line="276" w:lineRule="auto"/>
              <w:rPr>
                <w:szCs w:val="20"/>
              </w:rPr>
            </w:pPr>
            <w:r>
              <w:t>0030</w:t>
            </w:r>
          </w:p>
        </w:tc>
        <w:tc>
          <w:tcPr>
            <w:tcW w:w="7508" w:type="dxa"/>
            <w:shd w:val="clear" w:color="auto" w:fill="FFFFFF"/>
          </w:tcPr>
          <w:p w14:paraId="7FE1C733" w14:textId="77777777" w:rsidR="00952395" w:rsidRDefault="0083775C">
            <w:pPr>
              <w:pStyle w:val="P68B1DB1-Normal65"/>
              <w:spacing w:line="276" w:lineRule="auto"/>
              <w:jc w:val="both"/>
              <w:rPr>
                <w:bCs/>
              </w:rPr>
            </w:pPr>
            <w:r>
              <w:t>Valsts</w:t>
            </w:r>
          </w:p>
          <w:p w14:paraId="7FE1C734" w14:textId="77777777" w:rsidR="00952395" w:rsidRDefault="0083775C">
            <w:pPr>
              <w:pStyle w:val="P68B1DB1-Normal64"/>
              <w:spacing w:line="276" w:lineRule="auto"/>
              <w:jc w:val="both"/>
            </w:pPr>
            <w:r>
              <w:t>Dalībvalsts, kurā funkcija ir būtiski svarīga, kā norādīts veidnē Z 07.01 (FUNC 1).</w:t>
            </w:r>
          </w:p>
          <w:p w14:paraId="7FE1C735" w14:textId="77777777" w:rsidR="00952395" w:rsidRDefault="00952395">
            <w:pPr>
              <w:spacing w:line="276" w:lineRule="auto"/>
              <w:jc w:val="both"/>
              <w:rPr>
                <w:rFonts w:ascii="Times New Roman" w:hAnsi="Times New Roman"/>
                <w:sz w:val="20"/>
              </w:rPr>
            </w:pPr>
          </w:p>
        </w:tc>
      </w:tr>
      <w:tr w:rsidR="00952395" w14:paraId="7FE1C73B" w14:textId="77777777">
        <w:trPr>
          <w:trHeight w:val="450"/>
        </w:trPr>
        <w:tc>
          <w:tcPr>
            <w:tcW w:w="1418" w:type="dxa"/>
            <w:shd w:val="clear" w:color="auto" w:fill="FFFFFF"/>
          </w:tcPr>
          <w:p w14:paraId="7FE1C737" w14:textId="77777777" w:rsidR="00952395" w:rsidRDefault="0083775C">
            <w:pPr>
              <w:pStyle w:val="P68B1DB1-Normal64"/>
              <w:spacing w:before="120" w:after="120" w:line="276" w:lineRule="auto"/>
              <w:rPr>
                <w:szCs w:val="20"/>
              </w:rPr>
            </w:pPr>
            <w:r>
              <w:t>0040</w:t>
            </w:r>
          </w:p>
        </w:tc>
        <w:tc>
          <w:tcPr>
            <w:tcW w:w="7508" w:type="dxa"/>
            <w:shd w:val="clear" w:color="auto" w:fill="FFFFFF"/>
          </w:tcPr>
          <w:p w14:paraId="7FE1C738" w14:textId="77777777" w:rsidR="00952395" w:rsidRDefault="0083775C">
            <w:pPr>
              <w:pStyle w:val="P68B1DB1-Normal65"/>
              <w:spacing w:line="276" w:lineRule="auto"/>
              <w:jc w:val="both"/>
              <w:rPr>
                <w:bCs/>
              </w:rPr>
            </w:pPr>
            <w:r>
              <w:t>IDENTIFIKĀCIJAS NUMURS</w:t>
            </w:r>
          </w:p>
          <w:p w14:paraId="7FE1C739" w14:textId="77777777" w:rsidR="00952395" w:rsidRDefault="0083775C">
            <w:pPr>
              <w:pStyle w:val="P68B1DB1-Normal64"/>
              <w:spacing w:line="276" w:lineRule="auto"/>
              <w:jc w:val="both"/>
            </w:pPr>
            <w:r>
              <w:t>Kritiski svarīgu funkciju ID, kā noteikts iepriekš 2.7.1.4. nodaļā un minēts veidnē Z 07.01 (FUNC 1).</w:t>
            </w:r>
          </w:p>
          <w:p w14:paraId="7FE1C73A" w14:textId="77777777" w:rsidR="00952395" w:rsidRDefault="00952395">
            <w:pPr>
              <w:spacing w:line="276" w:lineRule="auto"/>
              <w:jc w:val="both"/>
              <w:rPr>
                <w:rFonts w:ascii="Times New Roman" w:hAnsi="Times New Roman"/>
                <w:sz w:val="20"/>
              </w:rPr>
            </w:pPr>
          </w:p>
        </w:tc>
      </w:tr>
    </w:tbl>
    <w:p w14:paraId="7FE1C746" w14:textId="77777777" w:rsidR="00952395" w:rsidRDefault="00952395">
      <w:pPr>
        <w:rPr>
          <w:rFonts w:ascii="Times New Roman" w:hAnsi="Times New Roman" w:cs="Times New Roman"/>
        </w:rPr>
      </w:pPr>
    </w:p>
    <w:p w14:paraId="7FE1C747" w14:textId="77777777" w:rsidR="00952395" w:rsidRDefault="00952395">
      <w:pPr>
        <w:pStyle w:val="Instructionsberschrift2"/>
        <w:rPr>
          <w:rFonts w:ascii="Times New Roman" w:eastAsia="Calibri" w:hAnsi="Times New Roman" w:cs="Times New Roman"/>
          <w:szCs w:val="20"/>
        </w:rPr>
      </w:pPr>
    </w:p>
    <w:p w14:paraId="7FE1C748" w14:textId="77777777" w:rsidR="00952395" w:rsidRDefault="0083775C">
      <w:pPr>
        <w:pStyle w:val="P68B1DB1-Instructionsberschrift25"/>
        <w:numPr>
          <w:ilvl w:val="1"/>
          <w:numId w:val="49"/>
        </w:numPr>
        <w:ind w:left="357" w:hanging="357"/>
        <w:rPr>
          <w:rFonts w:eastAsia="Calibri"/>
          <w:szCs w:val="20"/>
        </w:rPr>
      </w:pPr>
      <w:bookmarkStart w:id="134" w:name="_Toc208244969"/>
      <w:r>
        <w:t>Z 08.05 — Būtiskie pakalpojumi — attiecināšana uz galvenajām darbības jomām (SERV 5)</w:t>
      </w:r>
      <w:bookmarkEnd w:id="134"/>
    </w:p>
    <w:p w14:paraId="7FE1C749" w14:textId="77777777" w:rsidR="00952395" w:rsidRDefault="0083775C">
      <w:pPr>
        <w:pStyle w:val="P68B1DB1-Normal70"/>
        <w:spacing w:line="276" w:lineRule="auto"/>
        <w:jc w:val="both"/>
        <w:rPr>
          <w:sz w:val="20"/>
          <w:szCs w:val="20"/>
        </w:rPr>
      </w:pPr>
      <w:r>
        <w:t>Norādījumi attiecībā uz konkrētām pozīcijām</w:t>
      </w:r>
    </w:p>
    <w:p w14:paraId="7FE1C74A" w14:textId="77777777" w:rsidR="00952395" w:rsidRDefault="0083775C">
      <w:pPr>
        <w:pStyle w:val="P68B1DB1-Instructionsberschrift368"/>
        <w:numPr>
          <w:ilvl w:val="2"/>
          <w:numId w:val="210"/>
        </w:numPr>
        <w:ind w:left="1418"/>
        <w:contextualSpacing/>
        <w:jc w:val="both"/>
      </w:pPr>
      <w:r>
        <w:t>Šajā veidnē prasīto informāciju norāda vienu reizi visai grupai, uzskaita kritiski svarīgos pakalpojumus, ko saņēmusi kāda vienība grupā, un sasaista tos ar grupas veiktajām kritiski svarīgajām funkcijām.</w:t>
      </w:r>
    </w:p>
    <w:p w14:paraId="7FE1C74B" w14:textId="77777777" w:rsidR="00952395" w:rsidRDefault="0083775C">
      <w:pPr>
        <w:pStyle w:val="P68B1DB1-Instructionsberschrift368"/>
        <w:numPr>
          <w:ilvl w:val="2"/>
          <w:numId w:val="210"/>
        </w:numPr>
        <w:ind w:left="1418"/>
        <w:contextualSpacing/>
        <w:jc w:val="both"/>
      </w:pPr>
      <w:r>
        <w:t>Šīs veidnes slejās 0010., 0020. un 0040. slejā norādīto vērtības veido primāro atslēgu, kurai jābūt unikālai katrā veidnes rindā.</w:t>
      </w:r>
    </w:p>
    <w:p w14:paraId="7FE1C74C" w14:textId="77777777" w:rsidR="00952395" w:rsidRDefault="00952395">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952395" w14:paraId="7FE1C74F" w14:textId="77777777">
        <w:trPr>
          <w:trHeight w:val="644"/>
          <w:tblHeader/>
        </w:trPr>
        <w:tc>
          <w:tcPr>
            <w:tcW w:w="1418" w:type="dxa"/>
            <w:shd w:val="clear" w:color="auto" w:fill="E7E6E6"/>
          </w:tcPr>
          <w:p w14:paraId="7FE1C74D" w14:textId="77777777" w:rsidR="00952395" w:rsidRDefault="0083775C">
            <w:pPr>
              <w:pStyle w:val="P68B1DB1-Normal61"/>
              <w:spacing w:before="120" w:after="120" w:line="276" w:lineRule="auto"/>
            </w:pPr>
            <w:r>
              <w:t>Slejas</w:t>
            </w:r>
          </w:p>
        </w:tc>
        <w:tc>
          <w:tcPr>
            <w:tcW w:w="7649" w:type="dxa"/>
            <w:shd w:val="clear" w:color="auto" w:fill="E7E6E6"/>
          </w:tcPr>
          <w:p w14:paraId="7FE1C74E" w14:textId="77777777" w:rsidR="00952395" w:rsidRDefault="0083775C">
            <w:pPr>
              <w:pStyle w:val="P68B1DB1-Normal61"/>
              <w:spacing w:before="120" w:after="120" w:line="276" w:lineRule="auto"/>
            </w:pPr>
            <w:r>
              <w:t>Norādījumi</w:t>
            </w:r>
          </w:p>
        </w:tc>
      </w:tr>
      <w:tr w:rsidR="00952395" w14:paraId="7FE1C754" w14:textId="77777777">
        <w:trPr>
          <w:trHeight w:val="450"/>
        </w:trPr>
        <w:tc>
          <w:tcPr>
            <w:tcW w:w="1418" w:type="dxa"/>
            <w:shd w:val="clear" w:color="auto" w:fill="FFFFFF"/>
          </w:tcPr>
          <w:p w14:paraId="7FE1C750" w14:textId="77777777" w:rsidR="00952395" w:rsidRDefault="0083775C">
            <w:pPr>
              <w:pStyle w:val="P68B1DB1-Normal62"/>
              <w:spacing w:before="120" w:after="120" w:line="276" w:lineRule="auto"/>
            </w:pPr>
            <w:r>
              <w:t>0005</w:t>
            </w:r>
          </w:p>
        </w:tc>
        <w:tc>
          <w:tcPr>
            <w:tcW w:w="7649" w:type="dxa"/>
            <w:shd w:val="clear" w:color="auto" w:fill="FFFFFF"/>
          </w:tcPr>
          <w:p w14:paraId="7FE1C751" w14:textId="77777777" w:rsidR="00952395" w:rsidRDefault="0083775C">
            <w:pPr>
              <w:pStyle w:val="P68B1DB1-Normal61"/>
              <w:spacing w:before="120" w:after="120" w:line="276" w:lineRule="auto"/>
            </w:pPr>
            <w:r>
              <w:t xml:space="preserve">Pakalpojuma identifikators </w:t>
            </w:r>
          </w:p>
          <w:p w14:paraId="7FE1C752" w14:textId="77777777" w:rsidR="00952395" w:rsidRDefault="0083775C">
            <w:pPr>
              <w:pStyle w:val="P68B1DB1-Normal62"/>
              <w:spacing w:before="120" w:after="120" w:line="276" w:lineRule="auto"/>
            </w:pPr>
            <w:r>
              <w:t>Izmanto pakalpojuma identifikatoru, kas norādīts laukā Z 08.01 (SERV 1).</w:t>
            </w:r>
          </w:p>
          <w:p w14:paraId="7FE1C753" w14:textId="77777777" w:rsidR="00952395" w:rsidRDefault="0083775C">
            <w:pPr>
              <w:pStyle w:val="P68B1DB1-Normal62"/>
              <w:spacing w:before="120" w:after="120" w:line="276" w:lineRule="auto"/>
              <w:rPr>
                <w:i/>
              </w:rPr>
            </w:pPr>
            <w:r>
              <w:t>Pakalpojuma identifikators attiecas uz pakalpojumu, kas uzrādīts 0020. slejā.</w:t>
            </w:r>
          </w:p>
        </w:tc>
      </w:tr>
      <w:tr w:rsidR="00952395" w14:paraId="7FE1C798" w14:textId="77777777">
        <w:trPr>
          <w:trHeight w:val="450"/>
        </w:trPr>
        <w:tc>
          <w:tcPr>
            <w:tcW w:w="1418" w:type="dxa"/>
            <w:shd w:val="clear" w:color="auto" w:fill="FFFFFF"/>
          </w:tcPr>
          <w:p w14:paraId="7FE1C755" w14:textId="77777777" w:rsidR="00952395" w:rsidRDefault="0083775C">
            <w:pPr>
              <w:pStyle w:val="P68B1DB1-Normal62"/>
              <w:spacing w:before="120" w:after="120" w:line="276" w:lineRule="auto"/>
            </w:pPr>
            <w:r>
              <w:t>0010</w:t>
            </w:r>
          </w:p>
        </w:tc>
        <w:tc>
          <w:tcPr>
            <w:tcW w:w="7649" w:type="dxa"/>
            <w:shd w:val="clear" w:color="auto" w:fill="FFFFFF"/>
          </w:tcPr>
          <w:p w14:paraId="7FE1C756" w14:textId="77777777" w:rsidR="00952395" w:rsidRDefault="0083775C">
            <w:pPr>
              <w:pStyle w:val="P68B1DB1-Normal61"/>
              <w:autoSpaceDE w:val="0"/>
              <w:autoSpaceDN w:val="0"/>
              <w:adjustRightInd w:val="0"/>
              <w:rPr>
                <w:rFonts w:eastAsia="MS Mincho"/>
                <w:bCs/>
              </w:rPr>
            </w:pPr>
            <w:r>
              <w:t xml:space="preserve">Pakalpojuma veids </w:t>
            </w:r>
          </w:p>
          <w:p w14:paraId="7FE1C757" w14:textId="15BF69BF" w:rsidR="00952395" w:rsidRDefault="0083775C">
            <w:pPr>
              <w:pStyle w:val="P68B1DB1-Normal63"/>
              <w:autoSpaceDE w:val="0"/>
              <w:autoSpaceDN w:val="0"/>
              <w:adjustRightInd w:val="0"/>
            </w:pPr>
            <w:r>
              <w:t xml:space="preserve">Pakalpojuma veids ir viens no iepriekš Z 08.01 0010 minētajiem pakalpojumu veidiem. </w:t>
            </w:r>
          </w:p>
          <w:p w14:paraId="7FE1C797" w14:textId="77777777" w:rsidR="00952395" w:rsidRDefault="00952395">
            <w:pPr>
              <w:autoSpaceDE w:val="0"/>
              <w:autoSpaceDN w:val="0"/>
              <w:adjustRightInd w:val="0"/>
              <w:rPr>
                <w:rFonts w:ascii="Times New Roman" w:hAnsi="Times New Roman"/>
                <w:sz w:val="20"/>
                <w:szCs w:val="20"/>
              </w:rPr>
            </w:pPr>
          </w:p>
        </w:tc>
      </w:tr>
      <w:tr w:rsidR="00952395" w14:paraId="7FE1C79D" w14:textId="77777777">
        <w:trPr>
          <w:trHeight w:val="450"/>
        </w:trPr>
        <w:tc>
          <w:tcPr>
            <w:tcW w:w="1418" w:type="dxa"/>
            <w:shd w:val="clear" w:color="auto" w:fill="FFFFFF"/>
          </w:tcPr>
          <w:p w14:paraId="7FE1C799" w14:textId="77777777" w:rsidR="00952395" w:rsidRDefault="0083775C">
            <w:pPr>
              <w:pStyle w:val="P68B1DB1-Normal62"/>
              <w:spacing w:before="120" w:after="120" w:line="276" w:lineRule="auto"/>
            </w:pPr>
            <w:r>
              <w:t>0020</w:t>
            </w:r>
          </w:p>
        </w:tc>
        <w:tc>
          <w:tcPr>
            <w:tcW w:w="7649" w:type="dxa"/>
            <w:shd w:val="clear" w:color="auto" w:fill="FFFFFF"/>
          </w:tcPr>
          <w:p w14:paraId="7FE1C79A" w14:textId="77777777" w:rsidR="00952395" w:rsidRDefault="0083775C">
            <w:pPr>
              <w:pStyle w:val="P68B1DB1-Normal65"/>
              <w:spacing w:line="276" w:lineRule="auto"/>
              <w:jc w:val="both"/>
            </w:pPr>
            <w:r>
              <w:rPr>
                <w:szCs w:val="20"/>
              </w:rPr>
              <w:t>Unikāls pakalpojuma nosaukums saskaņā ar bankas taksonomiju</w:t>
            </w:r>
            <w:r>
              <w:t xml:space="preserve"> </w:t>
            </w:r>
          </w:p>
          <w:p w14:paraId="7FE1C79B" w14:textId="18F1A227" w:rsidR="00952395" w:rsidRDefault="0083775C">
            <w:pPr>
              <w:pStyle w:val="P68B1DB1-Normal64"/>
            </w:pPr>
            <w:r>
              <w:t>Pakalpojuma nosaukums/īss apraksts saskaņā ar bankas diferencēto taksonomiju (3. līmenis), kā norādīts Z 08.01 (SERV 1) 0020. slejā. Tiek sagaidīts, ka banka ziņos par pakalpojumiem detalizētākā līmenī nekā 2. līmenī (0010.c.) sniegtajā pārskatā, lai katrs konkrētais pakalpojums tiktu precīzi un mērķtiecīgi definēts.</w:t>
            </w:r>
          </w:p>
          <w:p w14:paraId="7FE1C79C" w14:textId="77777777" w:rsidR="00952395" w:rsidRDefault="00952395">
            <w:pPr>
              <w:spacing w:before="120" w:after="120" w:line="276" w:lineRule="auto"/>
              <w:rPr>
                <w:rFonts w:ascii="Times New Roman" w:hAnsi="Times New Roman"/>
                <w:sz w:val="20"/>
                <w:szCs w:val="20"/>
              </w:rPr>
            </w:pPr>
          </w:p>
        </w:tc>
      </w:tr>
      <w:tr w:rsidR="00952395" w14:paraId="7FE1C7A2" w14:textId="77777777">
        <w:trPr>
          <w:trHeight w:val="450"/>
        </w:trPr>
        <w:tc>
          <w:tcPr>
            <w:tcW w:w="1418" w:type="dxa"/>
            <w:shd w:val="clear" w:color="auto" w:fill="FFFFFF"/>
          </w:tcPr>
          <w:p w14:paraId="7FE1C79E" w14:textId="77777777" w:rsidR="00952395" w:rsidRDefault="0083775C">
            <w:pPr>
              <w:pStyle w:val="P68B1DB1-Normal64"/>
              <w:spacing w:before="120" w:after="120" w:line="276" w:lineRule="auto"/>
              <w:rPr>
                <w:szCs w:val="20"/>
              </w:rPr>
            </w:pPr>
            <w:r>
              <w:lastRenderedPageBreak/>
              <w:t>0030–0040</w:t>
            </w:r>
          </w:p>
        </w:tc>
        <w:tc>
          <w:tcPr>
            <w:tcW w:w="7649" w:type="dxa"/>
            <w:shd w:val="clear" w:color="auto" w:fill="FFFFFF"/>
          </w:tcPr>
          <w:p w14:paraId="7FE1C79F" w14:textId="77777777" w:rsidR="00952395" w:rsidRDefault="0083775C">
            <w:pPr>
              <w:pStyle w:val="P68B1DB1-Normal65"/>
              <w:spacing w:line="276" w:lineRule="auto"/>
              <w:jc w:val="both"/>
            </w:pPr>
            <w:r>
              <w:rPr>
                <w:szCs w:val="20"/>
              </w:rPr>
              <w:t>Pamatdarbības virziens</w:t>
            </w:r>
            <w:r>
              <w:t xml:space="preserve"> </w:t>
            </w:r>
          </w:p>
          <w:p w14:paraId="7FE1C7A0" w14:textId="69CF44DD" w:rsidR="00952395" w:rsidRDefault="0083775C">
            <w:pPr>
              <w:pStyle w:val="P68B1DB1-Normal67"/>
              <w:spacing w:line="276" w:lineRule="auto"/>
              <w:jc w:val="both"/>
              <w:rPr>
                <w:sz w:val="20"/>
              </w:rPr>
            </w:pPr>
            <w:r>
              <w:rPr>
                <w:sz w:val="20"/>
              </w:rPr>
              <w:t>Pamatdarbības virziens (galvenā darbības joma) Direktīvas 2016/778 2. panta 1. punkta 36. apakšpunkta un 2. panta 2. punkta izpratnē.</w:t>
            </w:r>
            <w:r>
              <w:t xml:space="preserve"> </w:t>
            </w:r>
          </w:p>
          <w:p w14:paraId="7FE1C7A1" w14:textId="77777777" w:rsidR="00952395" w:rsidRDefault="00952395">
            <w:pPr>
              <w:spacing w:line="276" w:lineRule="auto"/>
              <w:jc w:val="both"/>
              <w:rPr>
                <w:rFonts w:ascii="Times New Roman" w:hAnsi="Times New Roman"/>
                <w:sz w:val="20"/>
              </w:rPr>
            </w:pPr>
          </w:p>
        </w:tc>
      </w:tr>
      <w:tr w:rsidR="00952395" w14:paraId="7FE1C7A7" w14:textId="77777777">
        <w:trPr>
          <w:trHeight w:val="450"/>
        </w:trPr>
        <w:tc>
          <w:tcPr>
            <w:tcW w:w="1418" w:type="dxa"/>
            <w:shd w:val="clear" w:color="auto" w:fill="FFFFFF"/>
          </w:tcPr>
          <w:p w14:paraId="7FE1C7A3" w14:textId="77777777" w:rsidR="00952395" w:rsidRDefault="0083775C">
            <w:pPr>
              <w:pStyle w:val="P68B1DB1-Normal64"/>
              <w:spacing w:before="120" w:after="120" w:line="276" w:lineRule="auto"/>
              <w:rPr>
                <w:szCs w:val="20"/>
              </w:rPr>
            </w:pPr>
            <w:r>
              <w:t>0030</w:t>
            </w:r>
          </w:p>
        </w:tc>
        <w:tc>
          <w:tcPr>
            <w:tcW w:w="7649" w:type="dxa"/>
            <w:shd w:val="clear" w:color="auto" w:fill="FFFFFF"/>
          </w:tcPr>
          <w:p w14:paraId="7FE1C7A4" w14:textId="77777777" w:rsidR="00952395" w:rsidRDefault="0083775C">
            <w:pPr>
              <w:pStyle w:val="P68B1DB1-Normal65"/>
              <w:spacing w:line="276" w:lineRule="auto"/>
              <w:jc w:val="both"/>
              <w:rPr>
                <w:bCs/>
              </w:rPr>
            </w:pPr>
            <w:r>
              <w:t>Nosaukums</w:t>
            </w:r>
          </w:p>
          <w:p w14:paraId="7FE1C7A5" w14:textId="77777777" w:rsidR="00952395" w:rsidRDefault="0083775C">
            <w:pPr>
              <w:pStyle w:val="P68B1DB1-Normal64"/>
              <w:jc w:val="both"/>
            </w:pPr>
            <w:r>
              <w:t>Tā ir viena no galvenajām darbības jomām, kas uzrādīta veidnē Z 07.03 0010.</w:t>
            </w:r>
          </w:p>
          <w:p w14:paraId="7FE1C7A6" w14:textId="77777777" w:rsidR="00952395" w:rsidRDefault="00952395">
            <w:pPr>
              <w:spacing w:line="276" w:lineRule="auto"/>
              <w:jc w:val="both"/>
              <w:rPr>
                <w:rFonts w:ascii="Times New Roman" w:hAnsi="Times New Roman"/>
                <w:sz w:val="20"/>
              </w:rPr>
            </w:pPr>
          </w:p>
        </w:tc>
      </w:tr>
      <w:tr w:rsidR="00952395" w14:paraId="7FE1C7AD" w14:textId="77777777">
        <w:trPr>
          <w:trHeight w:val="450"/>
        </w:trPr>
        <w:tc>
          <w:tcPr>
            <w:tcW w:w="1418" w:type="dxa"/>
            <w:shd w:val="clear" w:color="auto" w:fill="FFFFFF"/>
          </w:tcPr>
          <w:p w14:paraId="7FE1C7A8" w14:textId="77777777" w:rsidR="00952395" w:rsidRDefault="0083775C">
            <w:pPr>
              <w:pStyle w:val="P68B1DB1-Normal64"/>
              <w:spacing w:before="120" w:after="120" w:line="276" w:lineRule="auto"/>
              <w:rPr>
                <w:szCs w:val="20"/>
              </w:rPr>
            </w:pPr>
            <w:r>
              <w:t>0040</w:t>
            </w:r>
          </w:p>
        </w:tc>
        <w:tc>
          <w:tcPr>
            <w:tcW w:w="7649" w:type="dxa"/>
            <w:shd w:val="clear" w:color="auto" w:fill="FFFFFF"/>
          </w:tcPr>
          <w:p w14:paraId="7FE1C7A9" w14:textId="77777777" w:rsidR="00952395" w:rsidRDefault="0083775C">
            <w:pPr>
              <w:pStyle w:val="P68B1DB1-Normal65"/>
              <w:spacing w:line="276" w:lineRule="auto"/>
              <w:jc w:val="both"/>
              <w:rPr>
                <w:bCs/>
              </w:rPr>
            </w:pPr>
            <w:r>
              <w:t>IDENTIFIKĀCIJAS NUMURS</w:t>
            </w:r>
          </w:p>
          <w:p w14:paraId="7FE1C7AA" w14:textId="77777777" w:rsidR="00952395" w:rsidRDefault="0083775C">
            <w:pPr>
              <w:pStyle w:val="P68B1DB1-Normal64"/>
              <w:spacing w:line="276" w:lineRule="auto"/>
              <w:jc w:val="both"/>
            </w:pPr>
            <w:r>
              <w:t xml:space="preserve">To galveno darbības jomu identifikācija, kuru nepārtrauktība ir nepieciešama noregulējuma stratēģijas efektīvai īstenošanai un jebkādai sekojošai pārstrukturēšanai. Tas ir viens no ID, kas uzrādīts veidnē Z 07.03 0020. </w:t>
            </w:r>
          </w:p>
          <w:p w14:paraId="7FE1C7AB" w14:textId="77777777" w:rsidR="00952395" w:rsidRDefault="00952395">
            <w:pPr>
              <w:spacing w:line="276" w:lineRule="auto"/>
              <w:jc w:val="both"/>
              <w:rPr>
                <w:rFonts w:ascii="Times New Roman" w:hAnsi="Times New Roman"/>
                <w:sz w:val="20"/>
              </w:rPr>
            </w:pPr>
          </w:p>
          <w:p w14:paraId="7FE1C7AC" w14:textId="77777777" w:rsidR="00952395" w:rsidRDefault="00952395">
            <w:pPr>
              <w:spacing w:line="276" w:lineRule="auto"/>
              <w:jc w:val="both"/>
              <w:rPr>
                <w:rFonts w:ascii="Times New Roman" w:hAnsi="Times New Roman"/>
                <w:sz w:val="20"/>
              </w:rPr>
            </w:pPr>
          </w:p>
        </w:tc>
      </w:tr>
    </w:tbl>
    <w:p w14:paraId="7FE1C7B8" w14:textId="77777777" w:rsidR="00952395" w:rsidRDefault="00952395">
      <w:pPr>
        <w:rPr>
          <w:rFonts w:ascii="Times New Roman" w:hAnsi="Times New Roman" w:cs="Times New Roman"/>
        </w:rPr>
      </w:pPr>
    </w:p>
    <w:p w14:paraId="7FE1C7B9" w14:textId="77777777" w:rsidR="00952395" w:rsidRDefault="00952395">
      <w:pPr>
        <w:pStyle w:val="Instructionsberschrift2"/>
        <w:rPr>
          <w:rFonts w:ascii="Times New Roman" w:eastAsia="Calibri" w:hAnsi="Times New Roman" w:cs="Times New Roman"/>
          <w:szCs w:val="20"/>
        </w:rPr>
      </w:pPr>
    </w:p>
    <w:p w14:paraId="7FE1C7BA" w14:textId="77777777" w:rsidR="00952395" w:rsidRDefault="0083775C">
      <w:pPr>
        <w:pStyle w:val="P68B1DB1-Instructionsberschrift271"/>
        <w:numPr>
          <w:ilvl w:val="1"/>
          <w:numId w:val="49"/>
        </w:numPr>
        <w:ind w:left="357" w:hanging="357"/>
      </w:pPr>
      <w:bookmarkStart w:id="135" w:name="_Toc208244970"/>
      <w:r>
        <w:t>FMI pakalpojumi</w:t>
      </w:r>
      <w:bookmarkEnd w:id="135"/>
    </w:p>
    <w:p w14:paraId="7FE1C7BC" w14:textId="227D5127" w:rsidR="00952395" w:rsidRDefault="0083775C">
      <w:pPr>
        <w:pStyle w:val="P68B1DB1-Numberedtitlelevel372"/>
      </w:pPr>
      <w:r>
        <w:t>Vispārīgas piezīmes</w:t>
      </w:r>
    </w:p>
    <w:p w14:paraId="7FE1C7BD" w14:textId="77777777" w:rsidR="00952395" w:rsidRDefault="0083775C">
      <w:pPr>
        <w:pStyle w:val="P68B1DB1-InstructionsText26"/>
        <w:numPr>
          <w:ilvl w:val="2"/>
          <w:numId w:val="209"/>
        </w:numPr>
        <w:spacing w:before="0"/>
        <w:ind w:left="1276"/>
      </w:pPr>
      <w:r>
        <w:t>Ziņo par visu tiešo un netiešo piekļuvi FTI un sistēmām, kas minētas 0040. slejā. Šajā veidnē sniedz vienu pārskatu par visu iestādi vai grupu.</w:t>
      </w:r>
    </w:p>
    <w:p w14:paraId="7FE1C7BE" w14:textId="77777777" w:rsidR="00952395" w:rsidRDefault="0083775C">
      <w:pPr>
        <w:pStyle w:val="P68B1DB1-InstructionsText26"/>
        <w:numPr>
          <w:ilvl w:val="2"/>
          <w:numId w:val="209"/>
        </w:numPr>
        <w:spacing w:before="0"/>
        <w:ind w:left="1276"/>
      </w:pPr>
      <w:r>
        <w:t>Viena veidne, kas jāuzrāda par iestādi vai grupu. Par katru attiecīgo juridisko personu, kas tieši vai netieši piekļūst FTI, ziņo atsevišķi kā par lietotāju. Jāziņo gan par grupas iekšējām attiecībām, gan par attiecībām ar trešām personām.</w:t>
      </w:r>
    </w:p>
    <w:p w14:paraId="7FE1C7BF" w14:textId="5CCDA51A" w:rsidR="00952395" w:rsidRDefault="0083775C">
      <w:pPr>
        <w:pStyle w:val="P68B1DB1-ListParagraph32"/>
        <w:numPr>
          <w:ilvl w:val="2"/>
          <w:numId w:val="209"/>
        </w:numPr>
        <w:ind w:left="1276"/>
      </w:pPr>
      <w:r>
        <w:t>Šīs veidnes 0030., 0040., 0070. un 0110. slejā norādīto vērtību kombinācija veido primāru atslēgu, kurai jābūt unikālai katrā veidnes rindā un kas tiek norādīta kā pirmā veidnes kolonna.</w:t>
      </w:r>
    </w:p>
    <w:p w14:paraId="7FE1C7C0" w14:textId="77777777" w:rsidR="00952395" w:rsidRDefault="00952395">
      <w:pPr>
        <w:pStyle w:val="ListParagraph"/>
        <w:ind w:left="1276"/>
        <w:rPr>
          <w:rFonts w:ascii="Times New Roman" w:eastAsia="Times New Roman" w:hAnsi="Times New Roman"/>
          <w:sz w:val="20"/>
          <w:szCs w:val="20"/>
        </w:rPr>
      </w:pPr>
    </w:p>
    <w:p w14:paraId="7FE1C7C1" w14:textId="77777777" w:rsidR="00952395" w:rsidRDefault="0083775C">
      <w:pPr>
        <w:pStyle w:val="P68B1DB1-InstructionsText26"/>
        <w:numPr>
          <w:ilvl w:val="2"/>
          <w:numId w:val="209"/>
        </w:numPr>
        <w:spacing w:before="0"/>
        <w:ind w:left="1276"/>
      </w:pPr>
      <w:r>
        <w:t>Ja brīvā formā ir jāziņo par vairāk nekā vienu posteni, katru posteni atdala ar semikolu (;).</w:t>
      </w:r>
    </w:p>
    <w:p w14:paraId="7FE1C7C2" w14:textId="77777777" w:rsidR="00952395" w:rsidRDefault="00952395">
      <w:pPr>
        <w:pStyle w:val="Instructionsberschrift2"/>
        <w:ind w:left="357"/>
        <w:rPr>
          <w:rFonts w:ascii="Times New Roman" w:eastAsia="Calibri" w:hAnsi="Times New Roman" w:cs="Times New Roman"/>
          <w:szCs w:val="20"/>
        </w:rPr>
      </w:pPr>
    </w:p>
    <w:p w14:paraId="7FE1C7C3" w14:textId="77777777" w:rsidR="00952395" w:rsidRDefault="0083775C">
      <w:pPr>
        <w:pStyle w:val="P68B1DB1-Instructionsberschrift271"/>
        <w:numPr>
          <w:ilvl w:val="1"/>
          <w:numId w:val="49"/>
        </w:numPr>
        <w:ind w:left="357" w:hanging="357"/>
      </w:pPr>
      <w:bookmarkStart w:id="136" w:name="_Toc208244971"/>
      <w:r>
        <w:t>Z 09.01 — FMI pakalpojumi — pakalpojumu sniedzēji un lietotāji (1. FMI)</w:t>
      </w:r>
      <w:bookmarkEnd w:id="136"/>
    </w:p>
    <w:p w14:paraId="7FE1C7C5" w14:textId="6BE08ACD" w:rsidR="00952395" w:rsidRDefault="00952395">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952395"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952395" w:rsidRDefault="0083775C">
            <w:pPr>
              <w:pStyle w:val="P68B1DB1-TableParagraph17"/>
              <w:spacing w:before="108"/>
              <w:ind w:left="85"/>
            </w:pPr>
            <w:r>
              <w:t xml:space="preserve">Slejas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952395" w:rsidRDefault="0083775C">
            <w:pPr>
              <w:pStyle w:val="P68B1DB1-TableParagraph17"/>
              <w:spacing w:before="108"/>
              <w:ind w:left="85"/>
            </w:pPr>
            <w:r>
              <w:t xml:space="preserve">Norādījumi </w:t>
            </w:r>
          </w:p>
        </w:tc>
      </w:tr>
      <w:tr w:rsidR="00952395"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952395" w:rsidRDefault="0083775C">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952395" w:rsidRDefault="0083775C">
            <w:pPr>
              <w:pStyle w:val="P68B1DB1-TableParagraph73"/>
              <w:spacing w:before="108"/>
              <w:jc w:val="both"/>
            </w:pPr>
            <w:r>
              <w:t>Identifikators, kas apzīmē lietotāja, FTI, sistēmas tipa un starpnieka kombināciju</w:t>
            </w:r>
          </w:p>
          <w:p w14:paraId="7FE1C7CB" w14:textId="2039C9E5" w:rsidR="00952395" w:rsidRDefault="0083775C">
            <w:pPr>
              <w:pStyle w:val="P68B1DB1-Normal31"/>
            </w:pPr>
            <w:r>
              <w:t xml:space="preserve">Katrā rindā izmanto vienu identifikatoru, kas atbilst unikālai lietotāja, FTI, sistēmas tipa un starpnieka kombinācijai. Attiecīgā gadījumā veidnēs no Z 09.01 līdz Z 09.04 jāizmanto viens un tas pats ID, kas atbilst vienai un tai pašai kombinācijai. </w:t>
            </w:r>
          </w:p>
          <w:p w14:paraId="7FE1C7CC" w14:textId="77777777" w:rsidR="00952395" w:rsidRDefault="00952395">
            <w:pPr>
              <w:rPr>
                <w:rFonts w:ascii="Times New Roman" w:eastAsia="Times New Roman" w:hAnsi="Times New Roman" w:cs="Times New Roman"/>
                <w:sz w:val="20"/>
                <w:szCs w:val="20"/>
              </w:rPr>
            </w:pPr>
          </w:p>
        </w:tc>
      </w:tr>
      <w:tr w:rsidR="00952395"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952395" w:rsidRDefault="0083775C">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952395" w:rsidRDefault="0083775C">
            <w:pPr>
              <w:pStyle w:val="P68B1DB1-TableParagraph75"/>
              <w:spacing w:before="108"/>
              <w:ind w:left="85"/>
              <w:jc w:val="both"/>
              <w:rPr>
                <w:color w:val="D13438"/>
                <w:u w:val="single"/>
              </w:rPr>
            </w:pPr>
            <w:r>
              <w:t>Lietotāji</w:t>
            </w:r>
          </w:p>
        </w:tc>
      </w:tr>
      <w:tr w:rsidR="00952395"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952395" w:rsidRDefault="0083775C">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952395" w:rsidRDefault="0083775C">
            <w:pPr>
              <w:pStyle w:val="P68B1DB1-TableParagraph73"/>
              <w:spacing w:before="108" w:after="120"/>
              <w:jc w:val="both"/>
            </w:pPr>
            <w:r>
              <w:t>Vienības nosaukums</w:t>
            </w:r>
          </w:p>
          <w:p w14:paraId="7FE1C7D3" w14:textId="1C1A6E42" w:rsidR="00952395" w:rsidRDefault="0083775C">
            <w:pPr>
              <w:pStyle w:val="P68B1DB1-TableParagraph40"/>
              <w:spacing w:before="108"/>
              <w:ind w:left="85"/>
              <w:jc w:val="both"/>
              <w:rPr>
                <w:b/>
                <w:bCs/>
                <w:i/>
                <w:iCs/>
                <w:color w:val="D13438"/>
                <w:u w:val="single"/>
              </w:rPr>
            </w:pPr>
            <w:r>
              <w:t xml:space="preserve">Vienības, kas izmanto maksājumu, kontu turēšanas, norēķinu, tīrvērtes vai darījumu reģistra pakalpojumus, kā norādīts veidnē Z 01.01 — juridiskās personas (ORG 1), nosaukums. </w:t>
            </w:r>
            <w:r>
              <w:lastRenderedPageBreak/>
              <w:t xml:space="preserve">Oficiālais nosaukums, kas minēts uzņēmuma aktos, tostarp norāde uz juridisko formu. </w:t>
            </w:r>
          </w:p>
        </w:tc>
      </w:tr>
      <w:tr w:rsidR="00952395"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952395" w:rsidRDefault="0083775C">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7D6" w14:textId="77777777" w:rsidR="00952395" w:rsidRDefault="0083775C">
            <w:pPr>
              <w:pStyle w:val="P68B1DB1-TableParagraph73"/>
              <w:spacing w:before="108"/>
              <w:jc w:val="both"/>
            </w:pPr>
            <w:r>
              <w:t>Sabiedrības kods</w:t>
            </w:r>
          </w:p>
          <w:p w14:paraId="7FE1C7D7" w14:textId="6DA7FBC1" w:rsidR="00952395" w:rsidRDefault="0083775C">
            <w:pPr>
              <w:pStyle w:val="P68B1DB1-TableParagraph40"/>
              <w:spacing w:before="108"/>
              <w:jc w:val="both"/>
            </w:pPr>
            <w:r>
              <w:t xml:space="preserve">Juridiskās personas, kas izmanto maksājumu, glabāšanas, norēķinu, tīrvērtes vai darījumu reģistra pakalpojumus, burtciparu LEI kods, kā norādīts veidnē Z 01.01 — Juridiskas personas (1.ORG). </w:t>
            </w:r>
          </w:p>
          <w:p w14:paraId="7FE1C7D8" w14:textId="77777777" w:rsidR="00952395" w:rsidRDefault="0083775C">
            <w:pPr>
              <w:pStyle w:val="P68B1DB1-Normal31"/>
            </w:pPr>
            <w:r>
              <w:t xml:space="preserve">Ja LEI nav, jāizmanto ECB monetārās finanšu iestādes unikālais identifikators (MFI ID), ko izmanto RIAD. </w:t>
            </w:r>
          </w:p>
        </w:tc>
      </w:tr>
      <w:tr w:rsidR="00952395"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952395" w:rsidRDefault="0083775C">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952395" w:rsidRDefault="0083775C">
            <w:pPr>
              <w:pStyle w:val="P68B1DB1-TableParagraph75"/>
              <w:spacing w:before="108"/>
              <w:ind w:left="85"/>
              <w:jc w:val="both"/>
            </w:pPr>
            <w:r>
              <w:t>Pakalpojumu sniedzējs</w:t>
            </w:r>
          </w:p>
        </w:tc>
      </w:tr>
      <w:tr w:rsidR="00952395"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952395" w:rsidRDefault="0083775C">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952395" w:rsidRDefault="0083775C">
            <w:pPr>
              <w:pStyle w:val="P68B1DB1-TableParagraph75"/>
              <w:spacing w:before="108"/>
              <w:ind w:left="85"/>
              <w:jc w:val="both"/>
            </w:pPr>
            <w:r>
              <w:t>FTI</w:t>
            </w:r>
          </w:p>
        </w:tc>
      </w:tr>
      <w:tr w:rsidR="00952395"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952395" w:rsidRDefault="0083775C">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952395" w:rsidRDefault="0083775C">
            <w:pPr>
              <w:pStyle w:val="P68B1DB1-TableParagraph73"/>
              <w:spacing w:before="108"/>
              <w:ind w:left="85"/>
              <w:jc w:val="both"/>
            </w:pPr>
            <w:r>
              <w:t>Sistēmas veids</w:t>
            </w:r>
          </w:p>
          <w:p w14:paraId="7FE1C7E2" w14:textId="77777777" w:rsidR="00952395" w:rsidRDefault="0083775C">
            <w:pPr>
              <w:pStyle w:val="P68B1DB1-TableParagraph40"/>
              <w:spacing w:before="108"/>
              <w:ind w:left="85"/>
              <w:jc w:val="both"/>
            </w:pPr>
            <w:r>
              <w:t>Sistēmas veids, kas sniedz pakalpojumus lietotājam. Izraugās vienu no šādiem tipiem:</w:t>
            </w:r>
          </w:p>
          <w:p w14:paraId="7FE1C7E3" w14:textId="64030D90" w:rsidR="00952395" w:rsidRDefault="0083775C">
            <w:pPr>
              <w:pStyle w:val="P68B1DB1-TableParagraph40"/>
              <w:spacing w:before="108"/>
              <w:ind w:left="85"/>
              <w:jc w:val="both"/>
            </w:pPr>
            <w:r>
              <w:t xml:space="preserve">Maksājumu sistēmas </w:t>
            </w:r>
          </w:p>
          <w:p w14:paraId="7FE1C7E4" w14:textId="642C3011" w:rsidR="00952395" w:rsidRDefault="0083775C">
            <w:pPr>
              <w:pStyle w:val="P68B1DB1-TableParagraph40"/>
              <w:spacing w:before="108"/>
              <w:ind w:left="85"/>
              <w:jc w:val="both"/>
            </w:pPr>
            <w:r>
              <w:t>“CVD un SCVD”</w:t>
            </w:r>
          </w:p>
          <w:p w14:paraId="7FE1C7E5" w14:textId="513B4E7C" w:rsidR="00952395" w:rsidRDefault="0083775C">
            <w:pPr>
              <w:pStyle w:val="P68B1DB1-TableParagraph40"/>
              <w:spacing w:before="108"/>
              <w:ind w:left="85"/>
              <w:jc w:val="both"/>
            </w:pPr>
            <w:r>
              <w:t>“Drošības norēķinu sistēma”</w:t>
            </w:r>
          </w:p>
          <w:p w14:paraId="7FE1C7E6" w14:textId="61451372" w:rsidR="00952395" w:rsidRDefault="0083775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“Vērtspapīru tīrvērtes centrālie darījumu partneri”</w:t>
            </w:r>
            <w:r>
              <w:rPr>
                <w:rStyle w:val="FootnoteReference"/>
                <w:rFonts w:ascii="Times New Roman" w:eastAsia="Times New Roman" w:hAnsi="Times New Roman" w:cs="Times New Roman"/>
              </w:rPr>
              <w:footnoteReference w:id="29"/>
            </w:r>
          </w:p>
          <w:p w14:paraId="7FE1C7E7" w14:textId="75E09D2C" w:rsidR="00952395" w:rsidRDefault="0083775C">
            <w:pPr>
              <w:pStyle w:val="P68B1DB1-TableParagraph40"/>
              <w:spacing w:before="108"/>
              <w:ind w:left="85"/>
              <w:jc w:val="both"/>
            </w:pPr>
            <w:r>
              <w:t>“Atvasināto instrumentu tīrvērtes centrālie darījumu partneri”</w:t>
            </w:r>
          </w:p>
          <w:p w14:paraId="7FE1C7E8" w14:textId="44FAA23C" w:rsidR="00952395" w:rsidRDefault="0083775C">
            <w:pPr>
              <w:pStyle w:val="P68B1DB1-TableParagraph40"/>
              <w:spacing w:before="108"/>
              <w:ind w:left="85"/>
              <w:jc w:val="both"/>
            </w:pPr>
            <w:r>
              <w:t>“Reģistrēti darījumu reģistri”.</w:t>
            </w:r>
          </w:p>
          <w:p w14:paraId="7FE1C7E9" w14:textId="424A35E7" w:rsidR="00952395" w:rsidRDefault="0083775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“Daudzpusējas tirdzniecības sistēmas”</w:t>
            </w:r>
            <w:r>
              <w:rPr>
                <w:rStyle w:val="FootnoteReference"/>
                <w:rFonts w:ascii="Times New Roman" w:eastAsia="Times New Roman" w:hAnsi="Times New Roman" w:cs="Times New Roman"/>
                <w:sz w:val="20"/>
                <w:szCs w:val="20"/>
              </w:rPr>
              <w:footnoteReference w:id="30"/>
            </w:r>
          </w:p>
          <w:p w14:paraId="7FE1C7EB" w14:textId="51093740" w:rsidR="00952395" w:rsidRDefault="0083775C">
            <w:pPr>
              <w:pStyle w:val="P68B1DB1-TableParagraph40"/>
              <w:spacing w:before="108"/>
              <w:ind w:left="85"/>
              <w:jc w:val="both"/>
            </w:pPr>
            <w:r>
              <w:t>“Karšu shēmas, ko izmanto neliela apjoma maksājumiem”</w:t>
            </w:r>
          </w:p>
          <w:p w14:paraId="7FE1C7EC" w14:textId="69997621" w:rsidR="00952395" w:rsidRDefault="0083775C">
            <w:pPr>
              <w:pStyle w:val="P68B1DB1-TableParagraph40"/>
              <w:spacing w:before="108"/>
              <w:ind w:left="85"/>
              <w:jc w:val="both"/>
            </w:pPr>
            <w:r>
              <w:t>“Nepiemēro” — attiecībā uz citiem maksājumu, tīrvērtes, norēķinu vai glabāšanas pakalpojumiem, ko sniedz vienība, kura neietilpst nevienā no iepriekš minētajām kategorijām, piemēram, korespondentbankas un/vai turētājbankas, kurām iestāde nevar noteikt galīgās FTI. Slejā norāda sniegto pakalpojumu.</w:t>
            </w:r>
          </w:p>
        </w:tc>
      </w:tr>
      <w:tr w:rsidR="00952395"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952395" w:rsidRDefault="0083775C">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952395" w:rsidRDefault="0083775C">
            <w:pPr>
              <w:pStyle w:val="P68B1DB1-TableParagraph73"/>
              <w:spacing w:before="108"/>
              <w:ind w:left="85"/>
              <w:jc w:val="both"/>
            </w:pPr>
            <w:r>
              <w:t>FMI nosaukums</w:t>
            </w:r>
          </w:p>
          <w:p w14:paraId="7FE1C7F0" w14:textId="77777777" w:rsidR="00952395" w:rsidRDefault="0083775C">
            <w:pPr>
              <w:pStyle w:val="P68B1DB1-TableParagraph40"/>
              <w:spacing w:before="108"/>
              <w:ind w:left="85"/>
              <w:jc w:val="both"/>
            </w:pPr>
            <w:r>
              <w:t xml:space="preserve">Finanšu tirgus infrastruktūras komerciālais nosaukums. </w:t>
            </w:r>
          </w:p>
          <w:p w14:paraId="7FE1C7F1" w14:textId="6A71A5BE" w:rsidR="00952395" w:rsidRDefault="0083775C">
            <w:pPr>
              <w:pStyle w:val="P68B1DB1-TableParagraph40"/>
              <w:numPr>
                <w:ilvl w:val="0"/>
                <w:numId w:val="246"/>
              </w:numPr>
              <w:spacing w:before="108"/>
              <w:jc w:val="both"/>
            </w:pPr>
            <w:r>
              <w:t>Ja norādīts 0050. slejā, iepriekš definēts FTI nosaukums, kas minēts šo norādījumu I pielikumā;</w:t>
            </w:r>
          </w:p>
          <w:p w14:paraId="7FE1C7F2" w14:textId="77777777" w:rsidR="00952395" w:rsidRDefault="0083775C">
            <w:pPr>
              <w:pStyle w:val="P68B1DB1-TableParagraph40"/>
              <w:numPr>
                <w:ilvl w:val="0"/>
                <w:numId w:val="246"/>
              </w:numPr>
              <w:spacing w:before="108" w:after="120"/>
              <w:ind w:left="442" w:hanging="357"/>
              <w:jc w:val="both"/>
            </w:pPr>
            <w:r>
              <w:t xml:space="preserve">Ja 0050. slejā nav norādīts nosaukums brīvā teksta 0060. slejā. </w:t>
            </w:r>
          </w:p>
          <w:p w14:paraId="7FE1C7F3" w14:textId="77777777" w:rsidR="00952395" w:rsidRDefault="0083775C">
            <w:pPr>
              <w:pStyle w:val="P68B1DB1-Normal31"/>
            </w:pPr>
            <w:r>
              <w:t xml:space="preserve">Ja 0040. slejā ir norādīta atbilde “NA”, šo sleju atstāj tukšu. </w:t>
            </w:r>
          </w:p>
        </w:tc>
      </w:tr>
      <w:tr w:rsidR="00952395"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952395" w:rsidRDefault="0083775C">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952395" w:rsidRDefault="0083775C">
            <w:pPr>
              <w:pStyle w:val="P68B1DB1-TableParagraph73"/>
              <w:spacing w:before="108"/>
              <w:ind w:left="85"/>
              <w:jc w:val="both"/>
            </w:pPr>
            <w:r>
              <w:t>FMI kods</w:t>
            </w:r>
          </w:p>
          <w:p w14:paraId="7FE1C7F7" w14:textId="77777777" w:rsidR="00952395" w:rsidRDefault="0083775C">
            <w:pPr>
              <w:pStyle w:val="P68B1DB1-TableParagraph40"/>
              <w:spacing w:before="108"/>
              <w:ind w:left="85"/>
              <w:jc w:val="both"/>
            </w:pPr>
            <w:r>
              <w:t xml:space="preserve">FMI burtciparu LEI 20 ciparu kods. </w:t>
            </w:r>
          </w:p>
          <w:p w14:paraId="7FE1C7F8" w14:textId="77777777" w:rsidR="00952395" w:rsidRDefault="0083775C">
            <w:pPr>
              <w:pStyle w:val="P68B1DB1-TableParagraph40"/>
              <w:spacing w:before="108"/>
              <w:ind w:left="85"/>
              <w:jc w:val="both"/>
            </w:pPr>
            <w:r>
              <w:t xml:space="preserve">Ja FMI nav pieejams LEI, izmantojiet operatora LEI kodu. </w:t>
            </w:r>
          </w:p>
          <w:p w14:paraId="7FE1C7F9" w14:textId="77777777" w:rsidR="00952395" w:rsidRDefault="0083775C">
            <w:pPr>
              <w:pStyle w:val="P68B1DB1-TableParagraph40"/>
              <w:spacing w:before="108"/>
              <w:ind w:left="85"/>
              <w:jc w:val="both"/>
            </w:pPr>
            <w:r>
              <w:t>Ja 0040. slejā ir norādīts “Nepiemēro (FMI sistēmas tips)” vai ja FTI nav koda, šajā slejā norāda “NA”.</w:t>
            </w:r>
          </w:p>
          <w:p w14:paraId="7FE1C7FA" w14:textId="77777777" w:rsidR="00952395" w:rsidRDefault="00952395">
            <w:pPr>
              <w:rPr>
                <w:rFonts w:ascii="Times New Roman" w:eastAsia="Times New Roman" w:hAnsi="Times New Roman" w:cs="Times New Roman"/>
                <w:color w:val="D13438"/>
                <w:sz w:val="20"/>
                <w:szCs w:val="20"/>
                <w:u w:val="single"/>
              </w:rPr>
            </w:pPr>
          </w:p>
        </w:tc>
      </w:tr>
      <w:tr w:rsidR="00952395"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952395" w:rsidRDefault="0083775C">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952395" w:rsidRDefault="0083775C">
            <w:pPr>
              <w:pStyle w:val="P68B1DB1-Normal76"/>
              <w:spacing w:after="120"/>
            </w:pPr>
            <w:r>
              <w:t>FMI operators</w:t>
            </w:r>
          </w:p>
          <w:p w14:paraId="7FE1C7FE" w14:textId="77777777" w:rsidR="00952395" w:rsidRDefault="0083775C">
            <w:pPr>
              <w:pStyle w:val="P68B1DB1-Normal31"/>
              <w:rPr>
                <w:b/>
              </w:rPr>
            </w:pPr>
            <w:r>
              <w:t xml:space="preserve">FMI operatora nosaukums. </w:t>
            </w:r>
          </w:p>
          <w:p w14:paraId="7FE1C7FF" w14:textId="77777777" w:rsidR="00952395" w:rsidRDefault="00952395">
            <w:pPr>
              <w:rPr>
                <w:rFonts w:ascii="Times New Roman" w:hAnsi="Times New Roman" w:cs="Times New Roman"/>
                <w:color w:val="D13438"/>
                <w:sz w:val="20"/>
                <w:szCs w:val="20"/>
                <w:highlight w:val="yellow"/>
                <w:u w:val="single"/>
              </w:rPr>
            </w:pPr>
          </w:p>
        </w:tc>
      </w:tr>
      <w:tr w:rsidR="00952395"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952395" w:rsidRDefault="0083775C">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952395" w:rsidRDefault="0083775C">
            <w:pPr>
              <w:pStyle w:val="P68B1DB1-Normal76"/>
            </w:pPr>
            <w:r>
              <w:t>Līdzdalības veids</w:t>
            </w:r>
          </w:p>
          <w:p w14:paraId="7FE1C803" w14:textId="77777777" w:rsidR="00952395" w:rsidRDefault="0083775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Norādīt vienu no šādām vērtībām</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952395" w:rsidRDefault="0083775C">
            <w:pPr>
              <w:pStyle w:val="P68B1DB1-TableParagraph40"/>
              <w:numPr>
                <w:ilvl w:val="0"/>
                <w:numId w:val="181"/>
              </w:numPr>
              <w:spacing w:before="108"/>
              <w:jc w:val="both"/>
            </w:pPr>
            <w:r>
              <w:t xml:space="preserve">“Tieši” tiešas dalības/dalības FMI gadījumā. </w:t>
            </w:r>
          </w:p>
          <w:p w14:paraId="7FE1C805" w14:textId="77777777" w:rsidR="00952395" w:rsidRDefault="0083775C">
            <w:pPr>
              <w:pStyle w:val="P68B1DB1-TableParagraph40"/>
              <w:numPr>
                <w:ilvl w:val="0"/>
                <w:numId w:val="181"/>
              </w:numPr>
              <w:spacing w:before="108"/>
              <w:jc w:val="both"/>
            </w:pPr>
            <w:r>
              <w:t xml:space="preserve">“Netieša” netieša dalība/dalība FMI. </w:t>
            </w:r>
          </w:p>
          <w:p w14:paraId="7FE1C806" w14:textId="77777777" w:rsidR="00952395" w:rsidRDefault="0083775C">
            <w:pPr>
              <w:pStyle w:val="P68B1DB1-TableParagraph40"/>
              <w:numPr>
                <w:ilvl w:val="0"/>
                <w:numId w:val="181"/>
              </w:numPr>
              <w:spacing w:before="108"/>
              <w:jc w:val="both"/>
              <w:rPr>
                <w:b/>
              </w:rPr>
            </w:pPr>
            <w:r>
              <w:t>“Nav piemērojams (Mode of participation in FMI)”, ja 0040. slejā norādīts “Nepiemēro (FMI sistēmas tips)”.</w:t>
            </w:r>
          </w:p>
          <w:p w14:paraId="7FE1C807" w14:textId="77777777" w:rsidR="00952395" w:rsidRDefault="00952395">
            <w:pPr>
              <w:pStyle w:val="TableParagraph"/>
              <w:spacing w:before="108"/>
              <w:ind w:left="85"/>
              <w:jc w:val="both"/>
              <w:rPr>
                <w:rFonts w:ascii="Times New Roman" w:eastAsia="Times New Roman" w:hAnsi="Times New Roman" w:cs="Times New Roman"/>
                <w:b/>
                <w:sz w:val="20"/>
                <w:szCs w:val="20"/>
              </w:rPr>
            </w:pPr>
          </w:p>
        </w:tc>
      </w:tr>
      <w:tr w:rsidR="00952395"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952395" w:rsidRDefault="0083775C">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952395" w:rsidRDefault="0083775C">
            <w:pPr>
              <w:pStyle w:val="P68B1DB1-TableParagraph75"/>
              <w:spacing w:before="108"/>
              <w:ind w:left="85"/>
              <w:jc w:val="both"/>
            </w:pPr>
            <w:r>
              <w:t>Starpnieks</w:t>
            </w:r>
          </w:p>
        </w:tc>
      </w:tr>
      <w:tr w:rsidR="00952395"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952395" w:rsidRDefault="0083775C">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952395" w:rsidRDefault="0083775C">
            <w:pPr>
              <w:pStyle w:val="P68B1DB1-Normal76"/>
            </w:pPr>
            <w:r>
              <w:t>Starpnieka nosaukums</w:t>
            </w:r>
          </w:p>
          <w:p w14:paraId="7FE1C80E" w14:textId="77777777" w:rsidR="00952395" w:rsidRDefault="0083775C">
            <w:pPr>
              <w:pStyle w:val="P68B1DB1-TableParagraph40"/>
              <w:spacing w:before="108"/>
              <w:ind w:left="85"/>
              <w:jc w:val="both"/>
            </w:pPr>
            <w:r>
              <w:t xml:space="preserve">Tā starpnieka komercnosaukums, ar kuru lietotājam ir līgumattiecības un kurš pakalpojumu sniedzējs piekļūst FTI. Jānorāda, ja 0100. slejā “Dalības režīms FTI” ir uzrādīts “Netieša” vai “Nepiemēro (dalības veids)”. </w:t>
            </w:r>
          </w:p>
          <w:p w14:paraId="7FE1C80F" w14:textId="77777777" w:rsidR="00952395" w:rsidRDefault="0083775C">
            <w:pPr>
              <w:pStyle w:val="P68B1DB1-TableParagraph40"/>
              <w:spacing w:before="108"/>
              <w:ind w:left="85"/>
              <w:jc w:val="both"/>
            </w:pPr>
            <w:r>
              <w:t>Ja starpnieks piedāvā netiešu piekļuvi vairākām FTI, aizpildiet vienu rindu katrai FMI, kurai starpnieks piedāvā netiešu piekļuvi.</w:t>
            </w:r>
          </w:p>
          <w:p w14:paraId="7FE1C810" w14:textId="77777777" w:rsidR="00952395" w:rsidRDefault="0083775C">
            <w:pPr>
              <w:pStyle w:val="P68B1DB1-TableParagraph40"/>
              <w:spacing w:before="108"/>
              <w:ind w:left="85"/>
              <w:jc w:val="both"/>
              <w:rPr>
                <w:b/>
              </w:rPr>
            </w:pPr>
            <w:r>
              <w:t>Ja 0090. slejā ir norādīta atbilde “Direct”, šo sleju atstāj tukšu.</w:t>
            </w:r>
          </w:p>
        </w:tc>
      </w:tr>
      <w:tr w:rsidR="00952395"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952395" w:rsidRDefault="0083775C">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952395" w:rsidRDefault="0083775C">
            <w:pPr>
              <w:pStyle w:val="P68B1DB1-Normal76"/>
            </w:pPr>
            <w:r>
              <w:t>Starpnieka kods</w:t>
            </w:r>
          </w:p>
          <w:p w14:paraId="7FE1C814" w14:textId="77777777" w:rsidR="00952395" w:rsidRDefault="0083775C">
            <w:pPr>
              <w:pStyle w:val="P68B1DB1-TableParagraph40"/>
              <w:spacing w:before="108"/>
              <w:ind w:left="85"/>
              <w:jc w:val="both"/>
            </w:pPr>
            <w:r>
              <w:t xml:space="preserve">Starpnieka 20 ciparu burtciparu LEI kods. </w:t>
            </w:r>
          </w:p>
          <w:p w14:paraId="7FE1C815" w14:textId="77777777" w:rsidR="00952395" w:rsidRDefault="0083775C">
            <w:pPr>
              <w:pStyle w:val="P68B1DB1-TableParagraph13"/>
              <w:spacing w:before="108"/>
              <w:ind w:left="85"/>
              <w:jc w:val="both"/>
              <w:rPr>
                <w:rFonts w:eastAsia="Cambria"/>
              </w:rPr>
            </w:pPr>
            <w:r>
              <w:t>Vēlams, lai koda veids būtu LEI kods.</w:t>
            </w:r>
          </w:p>
          <w:p w14:paraId="7FE1C816" w14:textId="77777777" w:rsidR="00952395" w:rsidRDefault="0083775C">
            <w:pPr>
              <w:pStyle w:val="P68B1DB1-TableParagraph17"/>
              <w:spacing w:before="108"/>
            </w:pPr>
            <w:r>
              <w:t xml:space="preserve">  Ja LEI nav pieejams, norāda MFI ID vai, ja tas nav pieejams, norāda nacionālo kodu.</w:t>
            </w:r>
          </w:p>
          <w:p w14:paraId="7FE1C817" w14:textId="3F55AEB3" w:rsidR="00952395" w:rsidRDefault="0083775C">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Vienības attiecīgā gadījumā identificē konsekventi Z 09.01–Z 09.05 veidnēs.</w:t>
            </w:r>
            <w:r>
              <w:rPr>
                <w:rFonts w:ascii="Times New Roman" w:eastAsia="Times New Roman" w:hAnsi="Times New Roman" w:cs="Times New Roman"/>
              </w:rPr>
              <w:t xml:space="preserve"> </w:t>
            </w:r>
          </w:p>
          <w:p w14:paraId="7FE1C818" w14:textId="77777777" w:rsidR="00952395" w:rsidRDefault="0083775C">
            <w:pPr>
              <w:pStyle w:val="P68B1DB1-TableParagraph40"/>
              <w:spacing w:before="108"/>
              <w:ind w:left="85"/>
              <w:jc w:val="both"/>
              <w:rPr>
                <w:b/>
              </w:rPr>
            </w:pPr>
            <w:r>
              <w:t>Ja 0090. slejā ir norādīta atbilde “Direct”, šo sleju atstāj tukšu.</w:t>
            </w:r>
          </w:p>
        </w:tc>
      </w:tr>
      <w:tr w:rsidR="00952395"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952395" w:rsidRDefault="0083775C">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952395" w:rsidRDefault="0083775C">
            <w:pPr>
              <w:pStyle w:val="P68B1DB1-Normal77"/>
              <w:rPr>
                <w:color w:val="D13438"/>
                <w:u w:val="single"/>
              </w:rPr>
            </w:pPr>
            <w:r>
              <w:t>Līgumi un pakalpojumi</w:t>
            </w:r>
          </w:p>
        </w:tc>
      </w:tr>
      <w:tr w:rsidR="00952395"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952395" w:rsidRDefault="0083775C">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952395" w:rsidRDefault="0083775C">
            <w:pPr>
              <w:pStyle w:val="P68B1DB1-TableParagraph73"/>
              <w:spacing w:before="108"/>
              <w:ind w:left="85"/>
              <w:jc w:val="both"/>
            </w:pPr>
            <w:r>
              <w:t>Līguma ID</w:t>
            </w:r>
          </w:p>
          <w:p w14:paraId="7FE1C81F" w14:textId="77777777" w:rsidR="00952395" w:rsidRDefault="0083775C">
            <w:pPr>
              <w:pStyle w:val="P68B1DB1-TableParagraph40"/>
              <w:spacing w:before="108"/>
              <w:jc w:val="both"/>
              <w:rPr>
                <w:b/>
              </w:rPr>
            </w:pPr>
            <w:r>
              <w:t>Lietotāja iekšējais līguma identifikators, kas reglamentē attiecības ar FMI/starpnieku, kurš sniedz pakalpojumu.</w:t>
            </w:r>
          </w:p>
        </w:tc>
      </w:tr>
      <w:tr w:rsidR="00952395"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952395" w:rsidRDefault="0083775C">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952395" w:rsidRDefault="0083775C">
            <w:pPr>
              <w:pStyle w:val="P68B1DB1-TableParagraph73"/>
              <w:spacing w:before="108"/>
              <w:ind w:left="85"/>
              <w:jc w:val="both"/>
              <w:rPr>
                <w:bCs/>
              </w:rPr>
            </w:pPr>
            <w:r>
              <w:t>Reglamentējošie tiesību akti</w:t>
            </w:r>
          </w:p>
          <w:p w14:paraId="7FE1C823" w14:textId="77777777" w:rsidR="00952395" w:rsidRDefault="0083775C">
            <w:pPr>
              <w:pStyle w:val="P68B1DB1-TableParagraph40"/>
              <w:spacing w:before="108"/>
              <w:ind w:left="85"/>
              <w:jc w:val="both"/>
            </w:pPr>
            <w:r>
              <w:t xml:space="preserve">Tās valsts ISO 3166–1 alfa 2 identifikācija, kuras tiesību aktus piemēro saistībām ar FMI. </w:t>
            </w:r>
          </w:p>
          <w:p w14:paraId="7FE1C824" w14:textId="77777777" w:rsidR="00952395" w:rsidRDefault="0083775C">
            <w:pPr>
              <w:pStyle w:val="P68B1DB1-TableParagraph40"/>
              <w:numPr>
                <w:ilvl w:val="0"/>
                <w:numId w:val="247"/>
              </w:numPr>
              <w:spacing w:before="108"/>
              <w:jc w:val="both"/>
              <w:rPr>
                <w:b/>
                <w:bCs/>
              </w:rPr>
            </w:pPr>
            <w:r>
              <w:t>Attiecībā uz tiešu piekļuvi — tiesību akti, kas reglamentē līgumu starp FMI un lietotāju</w:t>
            </w:r>
          </w:p>
          <w:p w14:paraId="7FE1C825" w14:textId="77777777" w:rsidR="00952395" w:rsidRDefault="0083775C">
            <w:pPr>
              <w:pStyle w:val="P68B1DB1-TableParagraph40"/>
              <w:numPr>
                <w:ilvl w:val="0"/>
                <w:numId w:val="247"/>
              </w:numPr>
              <w:spacing w:before="108"/>
              <w:jc w:val="both"/>
            </w:pPr>
            <w:r>
              <w:t>Netiešas piekļuves gadījumā — tiesību akti, kas reglamentē līgumu starp starpnieku un lietotāju.</w:t>
            </w:r>
          </w:p>
        </w:tc>
      </w:tr>
      <w:tr w:rsidR="00952395"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952395" w:rsidRDefault="0083775C">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952395" w:rsidRDefault="0083775C">
            <w:pPr>
              <w:pStyle w:val="P68B1DB1-TableParagraph73"/>
              <w:spacing w:before="108"/>
              <w:ind w:left="85"/>
              <w:jc w:val="both"/>
              <w:rPr>
                <w:bCs/>
              </w:rPr>
            </w:pPr>
            <w:r>
              <w:t xml:space="preserve">Pret noregulējumu noturīgs līgums </w:t>
            </w:r>
          </w:p>
          <w:p w14:paraId="7FE1C829" w14:textId="77777777" w:rsidR="00952395" w:rsidRDefault="0083775C">
            <w:pPr>
              <w:pStyle w:val="P68B1DB1-TableParagraph40"/>
              <w:spacing w:before="108"/>
              <w:ind w:left="85"/>
              <w:jc w:val="both"/>
            </w:pPr>
            <w:r>
              <w:t>Norādīt vienu no šādām vērtībām:</w:t>
            </w:r>
          </w:p>
          <w:p w14:paraId="7FE1C82A" w14:textId="6A33252E" w:rsidR="00952395" w:rsidRDefault="0083775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“Jā” — ja pārskatu sniedzošā vienība līgumu ir novērtējusi kā pret noregulējumu noturīgu</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952395" w:rsidRDefault="0083775C">
            <w:pPr>
              <w:pStyle w:val="P68B1DB1-TableParagraph40"/>
              <w:spacing w:before="108"/>
              <w:ind w:left="85"/>
              <w:jc w:val="both"/>
            </w:pPr>
            <w:r>
              <w:t>“Nē” — ja pārskatu sniedzošā vienība līgumu ir novērtējusi kā tādu, kas nav noturīga pret noregulējumu.</w:t>
            </w:r>
          </w:p>
          <w:p w14:paraId="7FE1C82C" w14:textId="77777777" w:rsidR="00952395" w:rsidRDefault="0083775C">
            <w:pPr>
              <w:pStyle w:val="P68B1DB1-TableParagraph40"/>
              <w:spacing w:before="108"/>
              <w:ind w:left="85"/>
              <w:jc w:val="both"/>
            </w:pPr>
            <w:r>
              <w:t>“Nav novērtēts” — ja informācija nav pieejama.</w:t>
            </w:r>
          </w:p>
          <w:p w14:paraId="7FE1C82D" w14:textId="77777777" w:rsidR="00952395" w:rsidRDefault="0083775C">
            <w:pPr>
              <w:pStyle w:val="P68B1DB1-TableParagraph40"/>
              <w:spacing w:before="108"/>
              <w:ind w:left="85"/>
              <w:jc w:val="both"/>
              <w:rPr>
                <w:b/>
                <w:bCs/>
                <w:i/>
                <w:iCs/>
                <w:u w:val="single"/>
              </w:rPr>
            </w:pPr>
            <w:r>
              <w:lastRenderedPageBreak/>
              <w:t xml:space="preserve">Ziņot tikai starpniekiem. “Y” ziņojums par visiem līgumiem saskaņā ar EEZ tiesību aktiem.  </w:t>
            </w:r>
          </w:p>
        </w:tc>
      </w:tr>
      <w:tr w:rsidR="00952395"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952395" w:rsidRDefault="0083775C">
            <w:pPr>
              <w:pStyle w:val="P68B1DB1-Normal31"/>
            </w:pPr>
            <w:r>
              <w:lastRenderedPageBreak/>
              <w:t>0150–0200</w:t>
            </w:r>
          </w:p>
        </w:tc>
        <w:tc>
          <w:tcPr>
            <w:tcW w:w="7832" w:type="dxa"/>
            <w:tcBorders>
              <w:top w:val="single" w:sz="8" w:space="0" w:color="auto"/>
              <w:left w:val="single" w:sz="8" w:space="0" w:color="auto"/>
              <w:bottom w:val="single" w:sz="8" w:space="0" w:color="auto"/>
            </w:tcBorders>
            <w:vAlign w:val="bottom"/>
          </w:tcPr>
          <w:p w14:paraId="7FE1C830" w14:textId="77777777" w:rsidR="00952395" w:rsidRDefault="0083775C">
            <w:pPr>
              <w:pStyle w:val="P68B1DB1-TableParagraph73"/>
              <w:spacing w:before="108"/>
              <w:ind w:left="85"/>
              <w:jc w:val="both"/>
            </w:pPr>
            <w:r>
              <w:t>Valūtas, kas attiecas uz pārskatu sniedzēju struktūru</w:t>
            </w:r>
          </w:p>
          <w:p w14:paraId="7FE1C831" w14:textId="77777777" w:rsidR="00952395" w:rsidRDefault="0083775C">
            <w:pPr>
              <w:pStyle w:val="P68B1DB1-TableParagraph40"/>
              <w:spacing w:before="108"/>
              <w:ind w:left="85"/>
              <w:jc w:val="both"/>
            </w:pPr>
            <w:r>
              <w:t>Valūtas, kurās pārskata sniedzēja uzņēmuma darījumi tiek pieņemti un norēķināti sistēmā. Jāuzrāda tikai tās valūtas, kas veido vismaz 5 % no pārskatu sniedzošās iestādes kopējām operācijām ar FTI/starpnieku.</w:t>
            </w:r>
          </w:p>
          <w:p w14:paraId="7FE1C832" w14:textId="77777777" w:rsidR="00952395" w:rsidRDefault="0083775C">
            <w:pPr>
              <w:pStyle w:val="P68B1DB1-TableParagraph40"/>
              <w:spacing w:before="108"/>
              <w:ind w:left="85"/>
              <w:jc w:val="both"/>
              <w:rPr>
                <w:b/>
              </w:rPr>
            </w:pPr>
            <w:r>
              <w:t>Sleja 150–200 nav savstarpēji izslēdzoša. Attiecībā uz “citām valūtām” (0170. sleja): ISO 4217–3 burtu kods valūtai(-ām).</w:t>
            </w:r>
          </w:p>
        </w:tc>
      </w:tr>
      <w:tr w:rsidR="00952395"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952395" w:rsidRDefault="0083775C">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952395" w:rsidRDefault="0083775C">
            <w:pPr>
              <w:pStyle w:val="P68B1DB1-TableParagraph73"/>
              <w:spacing w:before="108"/>
              <w:ind w:left="85"/>
              <w:jc w:val="both"/>
            </w:pPr>
            <w:r>
              <w:t>FMI/starpniekam sniegtie pakalpojumi</w:t>
            </w:r>
          </w:p>
          <w:p w14:paraId="7FE1C836" w14:textId="3FA389EC" w:rsidR="00952395" w:rsidRDefault="0083775C">
            <w:pPr>
              <w:pStyle w:val="P68B1DB1-TableParagraph40"/>
              <w:spacing w:before="108"/>
              <w:ind w:left="85"/>
              <w:jc w:val="both"/>
            </w:pPr>
            <w:r>
              <w:t xml:space="preserve">Ziņo tikai tad, ja lietotājs sniedz pakalpojumus FTI/starpniekam, piemēram, cenu nodrošinātājam, likviditātes nodrošinātājam, naudas norēķiniem (norādīt valūtu), turēšanai, netiešai piekļuvei (ārvalstu) CVD, ieguldījumu darījuma partnerim, citiem. </w:t>
            </w:r>
          </w:p>
        </w:tc>
      </w:tr>
      <w:tr w:rsidR="00952395"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952395" w:rsidRDefault="0083775C">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952395" w:rsidRDefault="0083775C">
            <w:pPr>
              <w:pStyle w:val="P68B1DB1-TableParagraph73"/>
              <w:spacing w:before="108"/>
              <w:ind w:left="85"/>
              <w:jc w:val="both"/>
            </w:pPr>
            <w:r>
              <w:t>FMI/starpnieka sniegtie pakalpojumi</w:t>
            </w:r>
          </w:p>
          <w:p w14:paraId="7FE1C83A" w14:textId="77777777" w:rsidR="00952395" w:rsidRDefault="0083775C">
            <w:pPr>
              <w:pStyle w:val="P68B1DB1-TableParagraph40"/>
              <w:spacing w:before="108"/>
              <w:ind w:left="85"/>
              <w:jc w:val="both"/>
            </w:pPr>
            <w:r>
              <w:t>Pakalpojumi, ko FTI/starpnieks sniedz pārskatu sniedzošajai struktūrai. Norāda, ja 0040 ir “NA”.</w:t>
            </w:r>
          </w:p>
        </w:tc>
      </w:tr>
      <w:tr w:rsidR="00952395"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952395" w:rsidRDefault="0083775C">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952395" w:rsidRDefault="0083775C">
            <w:pPr>
              <w:pStyle w:val="P68B1DB1-TableParagraph75"/>
              <w:spacing w:before="108"/>
              <w:ind w:left="85"/>
              <w:jc w:val="both"/>
            </w:pPr>
            <w:r>
              <w:t>Pakalpojumu sniedzēji</w:t>
            </w:r>
          </w:p>
        </w:tc>
      </w:tr>
      <w:tr w:rsidR="00952395"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952395" w:rsidRDefault="0083775C">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952395" w:rsidRDefault="0083775C">
            <w:pPr>
              <w:pStyle w:val="P68B1DB1-TableParagraph73"/>
              <w:spacing w:before="108"/>
              <w:ind w:left="85"/>
              <w:jc w:val="both"/>
            </w:pPr>
            <w:r>
              <w:t>Komunikāciju pakalpojumu sniedzējiem,</w:t>
            </w:r>
          </w:p>
          <w:p w14:paraId="7FE1C841" w14:textId="7B818514" w:rsidR="00952395" w:rsidRDefault="0083775C">
            <w:pPr>
              <w:pStyle w:val="P68B1DB1-TableParagraph40"/>
              <w:spacing w:before="108"/>
              <w:ind w:left="85"/>
              <w:jc w:val="both"/>
            </w:pPr>
            <w:r>
              <w:t xml:space="preserve">Komunikācijas pakalpojumu sniedzēji, ko iestāde izmanto, lai piekļūtu FTI. 230.–250. sleja nav savstarpēji izslēdzoša. </w:t>
            </w:r>
          </w:p>
          <w:p w14:paraId="32DB4B00" w14:textId="3747D290" w:rsidR="00952395" w:rsidRDefault="0083775C">
            <w:pPr>
              <w:pStyle w:val="P68B1DB1-TableParagraph40"/>
              <w:spacing w:before="108"/>
              <w:ind w:left="85"/>
              <w:jc w:val="both"/>
            </w:pPr>
            <w:r>
              <w:t>Attiecībā uz “FMI propriety”-c0230 un “SWIFT” — c0240 ziņojums:</w:t>
            </w:r>
          </w:p>
          <w:p w14:paraId="1D0FFCBE" w14:textId="373924D7" w:rsidR="00952395" w:rsidRDefault="0083775C">
            <w:pPr>
              <w:pStyle w:val="P68B1DB1-TableParagraph40"/>
              <w:numPr>
                <w:ilvl w:val="0"/>
                <w:numId w:val="181"/>
              </w:numPr>
              <w:spacing w:before="108"/>
              <w:jc w:val="both"/>
            </w:pPr>
            <w:r>
              <w:t>2.1.</w:t>
            </w:r>
          </w:p>
          <w:p w14:paraId="26472FE9" w14:textId="3ED80557" w:rsidR="00952395" w:rsidRDefault="0083775C">
            <w:pPr>
              <w:pStyle w:val="P68B1DB1-TableParagraph40"/>
              <w:numPr>
                <w:ilvl w:val="0"/>
                <w:numId w:val="181"/>
              </w:numPr>
              <w:spacing w:before="108"/>
              <w:jc w:val="both"/>
            </w:pPr>
            <w:r>
              <w:t>Nr.</w:t>
            </w:r>
          </w:p>
          <w:p w14:paraId="7FE1C842" w14:textId="0C70DB31" w:rsidR="00952395" w:rsidRDefault="0083775C">
            <w:pPr>
              <w:pStyle w:val="P68B1DB1-TableParagraph40"/>
              <w:spacing w:before="108"/>
              <w:ind w:left="85"/>
              <w:jc w:val="both"/>
            </w:pPr>
            <w:r>
              <w:t>Attiecībā uz “Citi sakaru pakalpojumu sniedzēji” — c0250: norāda pakalpojumu sniedzēja komercnosaukumu.</w:t>
            </w:r>
          </w:p>
        </w:tc>
      </w:tr>
      <w:tr w:rsidR="00952395"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952395" w:rsidRDefault="0083775C">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952395" w:rsidRDefault="0083775C">
            <w:pPr>
              <w:pStyle w:val="P68B1DB1-TableParagraph75"/>
              <w:spacing w:before="108"/>
              <w:ind w:left="85"/>
              <w:jc w:val="both"/>
            </w:pPr>
            <w:r>
              <w:t>Citi pakalpojumu sniedzēji, kas nodrošina piekļuvi FTI</w:t>
            </w:r>
          </w:p>
        </w:tc>
      </w:tr>
      <w:tr w:rsidR="00952395"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952395" w:rsidRDefault="0083775C">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952395" w:rsidRDefault="0083775C">
            <w:pPr>
              <w:pStyle w:val="P68B1DB1-TableParagraph73"/>
              <w:spacing w:before="108"/>
              <w:ind w:left="85"/>
            </w:pPr>
            <w:r>
              <w:t xml:space="preserve">Papildu pakalpojumu sniedzēju nosaukums </w:t>
            </w:r>
          </w:p>
          <w:p w14:paraId="7FE1C849" w14:textId="77777777" w:rsidR="00952395" w:rsidRDefault="0083775C">
            <w:pPr>
              <w:pStyle w:val="P68B1DB1-TableParagraph40"/>
              <w:spacing w:before="108"/>
              <w:ind w:left="85"/>
              <w:jc w:val="both"/>
              <w:rPr>
                <w:b/>
              </w:rPr>
            </w:pPr>
            <w:r>
              <w:t xml:space="preserve">Attiecīgā gadījumā pakalpojumu sniedzēji, kas nav starpnieki un kas lietotājam ir absolūti nepieciešami: norēķinu banka, naudas korespondents/nostro aģents, likviditātes nodrošinātājs.  </w:t>
            </w:r>
            <w:r>
              <w:br/>
              <w:t>Pakalpojumu sniedzēju komercnosaukums.</w:t>
            </w:r>
          </w:p>
        </w:tc>
      </w:tr>
      <w:tr w:rsidR="00952395"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952395" w:rsidRDefault="0083775C">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952395" w:rsidRDefault="0083775C">
            <w:pPr>
              <w:pStyle w:val="P68B1DB1-TableParagraph73"/>
              <w:spacing w:before="108"/>
              <w:ind w:left="85"/>
              <w:jc w:val="both"/>
            </w:pPr>
            <w:r>
              <w:t xml:space="preserve">Papildu pakalpojumi </w:t>
            </w:r>
          </w:p>
          <w:p w14:paraId="7FE1C84D" w14:textId="77777777" w:rsidR="00952395" w:rsidRDefault="0083775C">
            <w:pPr>
              <w:pStyle w:val="P68B1DB1-TableParagraph40"/>
              <w:spacing w:before="108"/>
              <w:ind w:left="85"/>
              <w:jc w:val="both"/>
              <w:rPr>
                <w:b/>
              </w:rPr>
            </w:pPr>
            <w:r>
              <w:t xml:space="preserve">Pakalpojumu sniedzēju pakalpojumi, kas norādīti 0260. postenī. </w:t>
            </w:r>
          </w:p>
        </w:tc>
      </w:tr>
      <w:tr w:rsidR="00952395"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952395" w:rsidRDefault="0083775C">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952395" w:rsidRDefault="0083775C">
            <w:pPr>
              <w:pStyle w:val="P68B1DB1-TableParagraph73"/>
              <w:spacing w:before="108"/>
              <w:ind w:left="85"/>
              <w:jc w:val="both"/>
            </w:pPr>
            <w:r>
              <w:t>FMI kontaktpunkts/starpnieks</w:t>
            </w:r>
          </w:p>
          <w:p w14:paraId="7FE1C851" w14:textId="77777777" w:rsidR="00952395" w:rsidRDefault="0083775C">
            <w:pPr>
              <w:pStyle w:val="P68B1DB1-TableParagraph40"/>
              <w:spacing w:before="108"/>
              <w:ind w:left="85"/>
              <w:jc w:val="both"/>
            </w:pPr>
            <w:r>
              <w:t>FTI kontaktpunkts ziņojošās vienības noregulējuma gadījumā. Ziņojums:</w:t>
            </w:r>
          </w:p>
          <w:p w14:paraId="7FE1C852" w14:textId="77777777" w:rsidR="00952395" w:rsidRDefault="0083775C">
            <w:pPr>
              <w:pStyle w:val="P68B1DB1-TableParagraph40"/>
              <w:numPr>
                <w:ilvl w:val="0"/>
                <w:numId w:val="181"/>
              </w:numPr>
              <w:ind w:left="799" w:hanging="357"/>
              <w:jc w:val="both"/>
            </w:pPr>
            <w:r>
              <w:t>Nosaukums</w:t>
            </w:r>
          </w:p>
          <w:p w14:paraId="7FE1C853" w14:textId="77777777" w:rsidR="00952395" w:rsidRDefault="0083775C">
            <w:pPr>
              <w:pStyle w:val="P68B1DB1-TableParagraph40"/>
              <w:numPr>
                <w:ilvl w:val="0"/>
                <w:numId w:val="181"/>
              </w:numPr>
              <w:ind w:left="799" w:hanging="357"/>
              <w:jc w:val="both"/>
            </w:pPr>
            <w:r>
              <w:t>Amata nosaukums</w:t>
            </w:r>
          </w:p>
          <w:p w14:paraId="7FE1C854" w14:textId="5FE95CD9" w:rsidR="00952395" w:rsidRDefault="0083775C">
            <w:pPr>
              <w:pStyle w:val="P68B1DB1-TableParagraph40"/>
              <w:numPr>
                <w:ilvl w:val="0"/>
                <w:numId w:val="181"/>
              </w:numPr>
              <w:ind w:left="799" w:hanging="357"/>
              <w:jc w:val="both"/>
            </w:pPr>
            <w:r>
              <w:t>E-pasta adrese</w:t>
            </w:r>
          </w:p>
        </w:tc>
      </w:tr>
    </w:tbl>
    <w:p w14:paraId="7FE1C856" w14:textId="77777777" w:rsidR="00952395" w:rsidRDefault="0083775C">
      <w:pPr>
        <w:pStyle w:val="P68B1DB1-Normal78"/>
      </w:pPr>
      <w:r>
        <w:br/>
      </w:r>
      <w:r>
        <w:br/>
      </w:r>
    </w:p>
    <w:p w14:paraId="7FE1C857" w14:textId="77777777" w:rsidR="00952395" w:rsidRDefault="0083775C">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Piemēram, ECB monetāro finanšu iestāžu unikālais identifikators (MFI ID) izmantošanai RIAD.</w:t>
      </w:r>
    </w:p>
    <w:p w14:paraId="7FE1C858" w14:textId="77777777" w:rsidR="00952395" w:rsidRDefault="0083775C">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ECB maksājumu, klīringa un norēķinu sistēmu terminu glosārijs, 2009. gada decembris.</w:t>
      </w:r>
    </w:p>
    <w:p w14:paraId="7FE1C859" w14:textId="77777777" w:rsidR="00952395" w:rsidRDefault="0083775C">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Turpat.</w:t>
      </w:r>
    </w:p>
    <w:p w14:paraId="7FE1C85A" w14:textId="77777777" w:rsidR="00952395" w:rsidRDefault="0083775C">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Piemēram, ECB monetāro finanšu iestāžu unikālais identifikators (MFI ID), ko izmanto RIAD.</w:t>
      </w:r>
    </w:p>
    <w:p w14:paraId="7FE1C8BF" w14:textId="77777777" w:rsidR="00952395" w:rsidRDefault="00952395">
      <w:pPr>
        <w:rPr>
          <w:rFonts w:ascii="Times New Roman" w:hAnsi="Times New Roman" w:cs="Times New Roman"/>
        </w:rPr>
      </w:pPr>
    </w:p>
    <w:p w14:paraId="7FE1C8C0" w14:textId="77777777" w:rsidR="00952395" w:rsidRDefault="00952395">
      <w:pPr>
        <w:rPr>
          <w:rFonts w:ascii="Times New Roman" w:hAnsi="Times New Roman"/>
          <w:sz w:val="20"/>
          <w:szCs w:val="20"/>
          <w:u w:val="single"/>
        </w:rPr>
      </w:pPr>
    </w:p>
    <w:p w14:paraId="7FE1C8C1" w14:textId="77777777" w:rsidR="00952395" w:rsidRDefault="0083775C">
      <w:pPr>
        <w:pStyle w:val="P68B1DB1-Instructionsberschrift25"/>
        <w:numPr>
          <w:ilvl w:val="1"/>
          <w:numId w:val="49"/>
        </w:numPr>
        <w:ind w:left="357" w:hanging="357"/>
        <w:rPr>
          <w:rFonts w:eastAsia="Calibri"/>
          <w:szCs w:val="20"/>
        </w:rPr>
      </w:pPr>
      <w:bookmarkStart w:id="137" w:name="_Toc208244972"/>
      <w:r>
        <w:lastRenderedPageBreak/>
        <w:t>Z 09.02 — sasaistīšana ar kritiski svarīgām un būtiskām FMI (2. FMI)</w:t>
      </w:r>
      <w:bookmarkEnd w:id="137"/>
    </w:p>
    <w:p w14:paraId="7FE1C8C3" w14:textId="77777777" w:rsidR="00952395" w:rsidRDefault="0083775C">
      <w:pPr>
        <w:pStyle w:val="P68B1DB1-InstructionsText279"/>
        <w:numPr>
          <w:ilvl w:val="2"/>
          <w:numId w:val="209"/>
        </w:numPr>
        <w:spacing w:before="0"/>
        <w:ind w:left="1276"/>
      </w:pPr>
      <w:r>
        <w:t>Kritiski svarīgu un būtisku FTI pakalpojumu sniedzēji ir FTI pakalpojumi, kuriem piekļūst tieši vai netieši un kuru pārtraukšana var radīt nopietnus šķēršļus vai kavēt vienas vai vairāku lietotāja kritiski svarīgu funkciju vai galveno darbības virzienu izpildi.</w:t>
      </w:r>
    </w:p>
    <w:p w14:paraId="7FE1C8C4" w14:textId="77777777" w:rsidR="00952395" w:rsidRDefault="0083775C">
      <w:pPr>
        <w:pStyle w:val="P68B1DB1-ListParagraph80"/>
        <w:numPr>
          <w:ilvl w:val="2"/>
          <w:numId w:val="209"/>
        </w:numPr>
        <w:ind w:left="1276"/>
      </w:pPr>
      <w:r>
        <w:t>Šajā lapā norāda tikai tās FTI visos sistēmu veidos, ko ziņojošā vienība uzskata par kritiski svarīgām vai būtiskām. Neietver nevienu citu FTI, kas nav ne kritiski svarīga, ne būtiska.</w:t>
      </w:r>
    </w:p>
    <w:p w14:paraId="7FE1C8C5" w14:textId="77777777" w:rsidR="00952395" w:rsidRDefault="00952395">
      <w:pPr>
        <w:pStyle w:val="ListParagraph"/>
        <w:ind w:left="1276"/>
        <w:rPr>
          <w:rFonts w:ascii="Times New Roman" w:eastAsiaTheme="majorEastAsia" w:hAnsi="Times New Roman"/>
          <w:sz w:val="20"/>
          <w:szCs w:val="20"/>
        </w:rPr>
      </w:pPr>
    </w:p>
    <w:p w14:paraId="7FE1C8C6" w14:textId="77777777" w:rsidR="00952395" w:rsidRDefault="0083775C">
      <w:pPr>
        <w:pStyle w:val="P68B1DB1-InstructionsText279"/>
        <w:numPr>
          <w:ilvl w:val="2"/>
          <w:numId w:val="209"/>
        </w:numPr>
        <w:spacing w:before="0"/>
        <w:ind w:left="1276"/>
      </w:pPr>
      <w:r>
        <w:t xml:space="preserve">Nosakot kritiski svarīgas un būtiskas FTI, ņem vērā vienlaicīgas dalības izbeigšanas iespēju.  </w:t>
      </w:r>
    </w:p>
    <w:p w14:paraId="7FE1C8C7" w14:textId="77777777" w:rsidR="00952395" w:rsidRDefault="00952395">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952395"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952395" w:rsidRDefault="0083775C">
            <w:pPr>
              <w:pStyle w:val="P68B1DB1-TableParagraph17"/>
              <w:spacing w:before="108"/>
              <w:ind w:left="85"/>
            </w:pPr>
            <w:r>
              <w:t xml:space="preserve">Slejas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952395" w:rsidRDefault="0083775C">
            <w:pPr>
              <w:pStyle w:val="P68B1DB1-TableParagraph17"/>
              <w:spacing w:before="108"/>
              <w:ind w:left="85"/>
            </w:pPr>
            <w:r>
              <w:t xml:space="preserve">Norādījumi </w:t>
            </w:r>
          </w:p>
        </w:tc>
      </w:tr>
      <w:tr w:rsidR="00952395"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952395" w:rsidRDefault="0083775C">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952395" w:rsidRDefault="0083775C">
            <w:pPr>
              <w:pStyle w:val="P68B1DB1-TableParagraph73"/>
              <w:spacing w:before="108"/>
              <w:ind w:left="85"/>
              <w:jc w:val="both"/>
            </w:pPr>
            <w:r>
              <w:t>Identifikators, kas apzīmē lietotāja, FTI, sistēmas tipa un starpnieka kombināciju</w:t>
            </w:r>
          </w:p>
          <w:p w14:paraId="7FE1C8CD" w14:textId="389563D7" w:rsidR="00952395" w:rsidRDefault="0083775C">
            <w:pPr>
              <w:pStyle w:val="P68B1DB1-TableParagraph40"/>
              <w:spacing w:before="108"/>
              <w:ind w:left="85"/>
              <w:jc w:val="both"/>
              <w:rPr>
                <w:b/>
              </w:rPr>
            </w:pPr>
            <w:r>
              <w:t>Katrā rindā izmanto vienu identifikatoru, kas atbilst unikālai lietotāja, FTI, sistēmas tipa un starpnieka kombinācijai. Attiecīgā gadījumā veidnēs no Z 09.01 līdz Z 09.05 jāizmanto viens un tas pats ID, kas atbilst vienai un tai pašai kombinācijai.</w:t>
            </w:r>
          </w:p>
        </w:tc>
      </w:tr>
      <w:tr w:rsidR="00952395"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952395" w:rsidRDefault="0083775C">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952395" w:rsidRDefault="0083775C">
            <w:pPr>
              <w:pStyle w:val="P68B1DB1-TableParagraph75"/>
              <w:spacing w:before="108"/>
              <w:ind w:left="85"/>
              <w:jc w:val="both"/>
              <w:rPr>
                <w:bCs/>
                <w:iCs/>
              </w:rPr>
            </w:pPr>
            <w:r>
              <w:t>Kritiski svarīgas FTI</w:t>
            </w:r>
          </w:p>
        </w:tc>
      </w:tr>
      <w:tr w:rsidR="00952395"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952395" w:rsidRDefault="0083775C">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952395" w:rsidRDefault="0083775C">
            <w:pPr>
              <w:pStyle w:val="P68B1DB1-TableParagraph73"/>
              <w:spacing w:before="108"/>
              <w:ind w:left="85"/>
              <w:jc w:val="both"/>
            </w:pPr>
            <w:r>
              <w:t>Kritiskā FTI: JĀ/NĒ</w:t>
            </w:r>
          </w:p>
          <w:p w14:paraId="7FE1C8D4" w14:textId="4439D1A6" w:rsidR="00952395" w:rsidRDefault="0083775C">
            <w:pPr>
              <w:pStyle w:val="P68B1DB1-TableParagraph40"/>
              <w:numPr>
                <w:ilvl w:val="0"/>
                <w:numId w:val="248"/>
              </w:numPr>
              <w:spacing w:before="108"/>
              <w:jc w:val="both"/>
            </w:pPr>
            <w:r>
              <w:t>“Jā”, ja FTI ir kritiski svarīga</w:t>
            </w:r>
          </w:p>
          <w:p w14:paraId="7FE1C8D5" w14:textId="792CB29B" w:rsidR="00952395" w:rsidRDefault="0083775C">
            <w:pPr>
              <w:pStyle w:val="P68B1DB1-TableParagraph40"/>
              <w:numPr>
                <w:ilvl w:val="0"/>
                <w:numId w:val="248"/>
              </w:numPr>
              <w:spacing w:before="108"/>
              <w:jc w:val="both"/>
              <w:rPr>
                <w:b/>
                <w:bCs/>
              </w:rPr>
            </w:pPr>
            <w:r>
              <w:t>“Nē”, ja FTI nav kritiski svarīga</w:t>
            </w:r>
            <w:r>
              <w:rPr>
                <w:b/>
              </w:rPr>
              <w:t xml:space="preserve"> </w:t>
            </w:r>
          </w:p>
          <w:p w14:paraId="7FE1C8D6" w14:textId="77777777" w:rsidR="00952395" w:rsidRDefault="0083775C">
            <w:pPr>
              <w:pStyle w:val="P68B1DB1-TableParagraph40"/>
              <w:spacing w:before="108"/>
              <w:ind w:left="85"/>
              <w:jc w:val="both"/>
            </w:pPr>
            <w:r>
              <w:t>Un 0050. sleja nav savstarpēji izslēdzošas.</w:t>
            </w:r>
          </w:p>
        </w:tc>
      </w:tr>
      <w:tr w:rsidR="00952395"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952395" w:rsidRDefault="0083775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952395" w:rsidRDefault="0083775C">
            <w:pPr>
              <w:pStyle w:val="P68B1DB1-TableParagraph73"/>
              <w:spacing w:before="108"/>
              <w:ind w:left="85"/>
              <w:jc w:val="both"/>
            </w:pPr>
            <w:r>
              <w:t>Valsts</w:t>
            </w:r>
          </w:p>
          <w:p w14:paraId="7FE1C8DA" w14:textId="56240ABE" w:rsidR="00952395" w:rsidRDefault="0083775C">
            <w:pPr>
              <w:pStyle w:val="P68B1DB1-TableParagraph40"/>
              <w:spacing w:before="108"/>
              <w:ind w:left="85"/>
              <w:jc w:val="both"/>
            </w:pPr>
            <w:r>
              <w:t xml:space="preserve">Valsts, kurā tiek nodrošināta kritiski svarīgā funkcija, kā norādīts Z 07.01 </w:t>
            </w:r>
          </w:p>
        </w:tc>
      </w:tr>
      <w:tr w:rsidR="00952395"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952395" w:rsidRDefault="0083775C">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952395" w:rsidRDefault="0083775C">
            <w:pPr>
              <w:pStyle w:val="P68B1DB1-TableParagraph73"/>
              <w:spacing w:before="108"/>
              <w:ind w:left="85"/>
              <w:jc w:val="both"/>
            </w:pPr>
            <w:r>
              <w:t>Kritiskās funkcijas ID</w:t>
            </w:r>
          </w:p>
          <w:p w14:paraId="7FE1C8DE" w14:textId="77777777" w:rsidR="00952395" w:rsidRDefault="0083775C">
            <w:pPr>
              <w:pStyle w:val="P68B1DB1-TableParagraph40"/>
              <w:spacing w:before="108"/>
              <w:ind w:left="85"/>
              <w:jc w:val="both"/>
            </w:pPr>
            <w:r>
              <w:t>Vienības veikta(-as) kritiski svarīga(-as) funkcija(-as), kuras(-u) izpildi traucētu vai kavētu FTI pakalpojumu sniedzēja piekļuves traucējumi.</w:t>
            </w:r>
          </w:p>
          <w:p w14:paraId="79796B83" w14:textId="298E6F56" w:rsidR="00952395" w:rsidRDefault="0083775C">
            <w:pPr>
              <w:pStyle w:val="P68B1DB1-TableParagraph40"/>
              <w:spacing w:before="108"/>
              <w:ind w:left="85"/>
              <w:jc w:val="both"/>
              <w:rPr>
                <w:b/>
                <w:bCs/>
              </w:rPr>
            </w:pPr>
            <w:r>
              <w:t>Kritiski svarīgo funkciju ID, kā norādīts Z07.01</w:t>
            </w:r>
            <w:r>
              <w:rPr>
                <w:b/>
              </w:rPr>
              <w:t>:</w:t>
            </w:r>
          </w:p>
          <w:p w14:paraId="58520404" w14:textId="77777777" w:rsidR="00952395" w:rsidRDefault="00952395">
            <w:pPr>
              <w:pStyle w:val="TableParagraph"/>
              <w:spacing w:before="108"/>
              <w:ind w:left="85"/>
              <w:jc w:val="both"/>
              <w:rPr>
                <w:rFonts w:ascii="Times New Roman" w:eastAsia="Times New Roman" w:hAnsi="Times New Roman" w:cs="Times New Roman"/>
                <w:b/>
                <w:bCs/>
                <w:sz w:val="20"/>
                <w:szCs w:val="20"/>
              </w:rPr>
            </w:pPr>
          </w:p>
          <w:p w14:paraId="0E718D7B" w14:textId="77777777" w:rsidR="00952395" w:rsidRDefault="0083775C">
            <w:pPr>
              <w:pStyle w:val="P68B1DB1-Normal19"/>
              <w:rPr>
                <w:rFonts w:eastAsiaTheme="minorHAnsi"/>
              </w:rPr>
            </w:pPr>
            <w:r>
              <w:t>Noguldījumi</w:t>
            </w:r>
          </w:p>
          <w:p w14:paraId="354D6B7F" w14:textId="77777777" w:rsidR="00952395" w:rsidRDefault="0083775C">
            <w:pPr>
              <w:pStyle w:val="P68B1DB1-Normal19"/>
              <w:ind w:left="708"/>
            </w:pPr>
            <w:r>
              <w:t>Mājsaimniecību noguldījumi</w:t>
            </w:r>
          </w:p>
          <w:p w14:paraId="71C89914" w14:textId="77777777" w:rsidR="00952395" w:rsidRDefault="0083775C">
            <w:pPr>
              <w:pStyle w:val="P68B1DB1-Normal19"/>
              <w:ind w:left="708"/>
            </w:pPr>
            <w:r>
              <w:t xml:space="preserve">Nefinanšu sabiedrību noguldījumi </w:t>
            </w:r>
          </w:p>
          <w:p w14:paraId="7621A95F" w14:textId="69E34691" w:rsidR="00952395" w:rsidRDefault="0083775C">
            <w:pPr>
              <w:pStyle w:val="P68B1DB1-Normal19"/>
              <w:ind w:left="1405"/>
            </w:pPr>
            <w:r>
              <w:t>Nefinanšu sabiedrību SMEs noguldījumi</w:t>
            </w:r>
          </w:p>
          <w:p w14:paraId="046B913C" w14:textId="73440AD0" w:rsidR="00952395" w:rsidRDefault="0083775C">
            <w:pPr>
              <w:pStyle w:val="P68B1DB1-Normal19"/>
              <w:ind w:left="1405"/>
            </w:pPr>
            <w:r>
              <w:t>Nefinanšu sabiedrību, kas nav MVU, noguldījumi</w:t>
            </w:r>
          </w:p>
          <w:p w14:paraId="2DAF57AE" w14:textId="77777777" w:rsidR="00952395" w:rsidRDefault="0083775C">
            <w:pPr>
              <w:pStyle w:val="P68B1DB1-Normal19"/>
              <w:ind w:left="708"/>
            </w:pPr>
            <w:r>
              <w:t>Vispārējās valdības noguldījumi</w:t>
            </w:r>
          </w:p>
          <w:p w14:paraId="3AC3807C" w14:textId="77777777" w:rsidR="00952395" w:rsidRDefault="0083775C">
            <w:pPr>
              <w:pStyle w:val="P68B1DB1-Normal19"/>
              <w:ind w:left="708"/>
            </w:pPr>
            <w:r>
              <w:t>Noguldījumi no citiem sektoriem/darījumu partneriem (1)</w:t>
            </w:r>
          </w:p>
          <w:p w14:paraId="7924D974" w14:textId="77777777" w:rsidR="00952395" w:rsidRDefault="0083775C">
            <w:pPr>
              <w:pStyle w:val="P68B1DB1-Normal19"/>
              <w:ind w:left="708"/>
            </w:pPr>
            <w:r>
              <w:t>Citu sektoru/darījumu partneru noguldījumi (2)</w:t>
            </w:r>
          </w:p>
          <w:p w14:paraId="15B73120" w14:textId="77777777" w:rsidR="00952395" w:rsidRDefault="0083775C">
            <w:pPr>
              <w:pStyle w:val="P68B1DB1-Normal19"/>
              <w:ind w:left="708"/>
            </w:pPr>
            <w:r>
              <w:t>Noguldījumi no citiem sektoriem/darījumu partneriem (3)</w:t>
            </w:r>
          </w:p>
          <w:p w14:paraId="2FE46760" w14:textId="77777777" w:rsidR="00952395" w:rsidRDefault="00952395">
            <w:pPr>
              <w:rPr>
                <w:rFonts w:ascii="Times New Roman" w:hAnsi="Times New Roman" w:cs="Times New Roman"/>
                <w:sz w:val="20"/>
                <w:szCs w:val="20"/>
              </w:rPr>
            </w:pPr>
          </w:p>
          <w:p w14:paraId="685EA40A" w14:textId="77777777" w:rsidR="00952395" w:rsidRDefault="0083775C">
            <w:pPr>
              <w:pStyle w:val="P68B1DB1-Normal19"/>
            </w:pPr>
            <w:r>
              <w:t>Aizdevumi</w:t>
            </w:r>
          </w:p>
          <w:p w14:paraId="11C80F7E" w14:textId="77777777" w:rsidR="00952395" w:rsidRDefault="0083775C">
            <w:pPr>
              <w:pStyle w:val="P68B1DB1-Normal19"/>
              <w:ind w:left="708"/>
            </w:pPr>
            <w:r>
              <w:t>Aizdevumi mājsaimniecībām</w:t>
            </w:r>
          </w:p>
          <w:p w14:paraId="430711EA" w14:textId="77777777" w:rsidR="00952395" w:rsidRDefault="0083775C">
            <w:pPr>
              <w:pStyle w:val="P68B1DB1-Normal19"/>
              <w:ind w:left="1416"/>
            </w:pPr>
            <w:r>
              <w:t>Kredīti mājsaimniecībām mājokļa iegādei</w:t>
            </w:r>
          </w:p>
          <w:p w14:paraId="0147203E" w14:textId="77777777" w:rsidR="00952395" w:rsidRDefault="0083775C">
            <w:pPr>
              <w:pStyle w:val="P68B1DB1-Normal19"/>
              <w:ind w:left="1416"/>
            </w:pPr>
            <w:r>
              <w:t>Aizdevumi mājsaimniecībām, lai iegādātos mājokli</w:t>
            </w:r>
          </w:p>
          <w:p w14:paraId="20ACA306" w14:textId="77777777" w:rsidR="00952395" w:rsidRDefault="0083775C">
            <w:pPr>
              <w:pStyle w:val="P68B1DB1-Normal19"/>
              <w:ind w:left="708"/>
            </w:pPr>
            <w:r>
              <w:t>Aizdevumi nefinanšu sabiedrībām</w:t>
            </w:r>
          </w:p>
          <w:p w14:paraId="19F6CF03" w14:textId="3FBCFA7C" w:rsidR="00952395" w:rsidRDefault="0083775C">
            <w:pPr>
              <w:pStyle w:val="P68B1DB1-Normal19"/>
              <w:ind w:left="1416"/>
            </w:pPr>
            <w:r>
              <w:t>Aizdevumi nefinanšu sabiedrībām SME</w:t>
            </w:r>
          </w:p>
          <w:p w14:paraId="2C705D0D" w14:textId="77777777" w:rsidR="00952395" w:rsidRDefault="0083775C">
            <w:pPr>
              <w:pStyle w:val="P68B1DB1-Normal19"/>
              <w:ind w:left="1416"/>
            </w:pPr>
            <w:r>
              <w:t>Aizdevumi nefinanšu sabiedrībām, kas nav MVU</w:t>
            </w:r>
          </w:p>
          <w:p w14:paraId="6DAE8B55" w14:textId="77777777" w:rsidR="00952395" w:rsidRDefault="0083775C">
            <w:pPr>
              <w:pStyle w:val="P68B1DB1-Normal19"/>
              <w:ind w:left="708"/>
            </w:pPr>
            <w:r>
              <w:t>Aizdevumi vispārējām valdībām</w:t>
            </w:r>
          </w:p>
          <w:p w14:paraId="5C2428A3" w14:textId="77777777" w:rsidR="00952395" w:rsidRDefault="0083775C">
            <w:pPr>
              <w:pStyle w:val="P68B1DB1-Normal19"/>
              <w:ind w:left="708"/>
            </w:pPr>
            <w:r>
              <w:t>Aizdevumi citiem sektoriem/darījumu partneriem (1)</w:t>
            </w:r>
          </w:p>
          <w:p w14:paraId="7237D4E5" w14:textId="77777777" w:rsidR="00952395" w:rsidRDefault="0083775C">
            <w:pPr>
              <w:pStyle w:val="P68B1DB1-Normal19"/>
              <w:ind w:left="708"/>
            </w:pPr>
            <w:r>
              <w:t>Aizdevumi citiem sektoriem/darījumu partneriem (2)</w:t>
            </w:r>
          </w:p>
          <w:p w14:paraId="62EF53AB" w14:textId="77777777" w:rsidR="00952395" w:rsidRDefault="0083775C">
            <w:pPr>
              <w:pStyle w:val="P68B1DB1-Normal19"/>
              <w:ind w:left="708"/>
            </w:pPr>
            <w:r>
              <w:t>Aizdevumi citiem sektoriem/darījumu partneriem (3)</w:t>
            </w:r>
          </w:p>
          <w:p w14:paraId="1269B857" w14:textId="77777777" w:rsidR="00952395" w:rsidRDefault="00952395">
            <w:pPr>
              <w:rPr>
                <w:rFonts w:ascii="Times New Roman" w:hAnsi="Times New Roman" w:cs="Times New Roman"/>
                <w:sz w:val="20"/>
                <w:szCs w:val="20"/>
              </w:rPr>
            </w:pPr>
          </w:p>
          <w:p w14:paraId="7CD1A6B0" w14:textId="77777777" w:rsidR="00952395" w:rsidRDefault="0083775C">
            <w:pPr>
              <w:pStyle w:val="P68B1DB1-Normal19"/>
            </w:pPr>
            <w:r>
              <w:lastRenderedPageBreak/>
              <w:t xml:space="preserve">Maksājumi, skaidra nauda, norēķini, tīrvērte, kontu turēšanas pakalpojumi </w:t>
            </w:r>
          </w:p>
          <w:p w14:paraId="11F499EA" w14:textId="77777777" w:rsidR="00952395" w:rsidRDefault="0083775C">
            <w:pPr>
              <w:pStyle w:val="P68B1DB1-Normal19"/>
              <w:ind w:left="708"/>
            </w:pPr>
            <w:r>
              <w:t>Maksājumu pakalpojumi monetārām finanšu iestādēm</w:t>
            </w:r>
          </w:p>
          <w:p w14:paraId="6FC14FBE" w14:textId="4F1706DC" w:rsidR="00952395" w:rsidRDefault="0083775C">
            <w:pPr>
              <w:pStyle w:val="P68B1DB1-Normal19"/>
              <w:ind w:left="708"/>
            </w:pPr>
            <w:bookmarkStart w:id="138" w:name="_Hlk192600698"/>
            <w:r>
              <w:t>Maksājumu pakalpojumi nemonetārām finanšu iestādēm</w:t>
            </w:r>
          </w:p>
          <w:p w14:paraId="704B9B25" w14:textId="77777777" w:rsidR="00952395" w:rsidRDefault="0083775C">
            <w:pPr>
              <w:pStyle w:val="P68B1DB1-Normal19"/>
              <w:ind w:left="1405"/>
            </w:pPr>
            <w:r>
              <w:t>Maksājumu pakalpojumi nemonetārām finanšu iestādēm iedzīvotājiem</w:t>
            </w:r>
          </w:p>
          <w:p w14:paraId="1F8BC691" w14:textId="4FE22A42" w:rsidR="00952395" w:rsidRDefault="0083775C">
            <w:pPr>
              <w:pStyle w:val="P68B1DB1-Normal19"/>
              <w:ind w:left="1405"/>
            </w:pPr>
            <w:r>
              <w:t>Nefinanšu sabiedrību maksājumu pakalpojumi ne-MFI</w:t>
            </w:r>
          </w:p>
          <w:p w14:paraId="39782E47" w14:textId="1287030F" w:rsidR="00952395" w:rsidRDefault="0083775C">
            <w:pPr>
              <w:pStyle w:val="P68B1DB1-Normal19"/>
              <w:ind w:left="1972"/>
            </w:pPr>
            <w:r>
              <w:t>Nefinanšu sabiedrību MVU maksājumu pakalpojumi ne-MFI</w:t>
            </w:r>
          </w:p>
          <w:p w14:paraId="416F0C20" w14:textId="504D6059" w:rsidR="00952395" w:rsidRDefault="0083775C">
            <w:pPr>
              <w:pStyle w:val="P68B1DB1-Normal19"/>
              <w:ind w:left="1972"/>
            </w:pPr>
            <w:r>
              <w:t>Nefinanšu sabiedrību, kas nav MVU, maksājumu pakalpojumi ne-MFI</w:t>
            </w:r>
            <w:bookmarkEnd w:id="138"/>
          </w:p>
          <w:p w14:paraId="661D0C87" w14:textId="77777777" w:rsidR="00952395" w:rsidRDefault="0083775C">
            <w:pPr>
              <w:pStyle w:val="P68B1DB1-Normal19"/>
              <w:ind w:left="708"/>
            </w:pPr>
            <w:r>
              <w:t>Skaidras naudas pakalpojumi</w:t>
            </w:r>
          </w:p>
          <w:p w14:paraId="03769573" w14:textId="77777777" w:rsidR="00952395" w:rsidRDefault="0083775C">
            <w:pPr>
              <w:pStyle w:val="P68B1DB1-Normal19"/>
              <w:ind w:left="708"/>
            </w:pPr>
            <w:r>
              <w:t>Vērtspapīru norēķinu pakalpojumi</w:t>
            </w:r>
          </w:p>
          <w:p w14:paraId="775020A9" w14:textId="77777777" w:rsidR="00952395" w:rsidRDefault="0083775C">
            <w:pPr>
              <w:pStyle w:val="P68B1DB1-Normal19"/>
              <w:ind w:left="708"/>
            </w:pPr>
            <w:r>
              <w:t>CDP tīrvērtes pakalpojumi</w:t>
            </w:r>
          </w:p>
          <w:p w14:paraId="5801E2F6" w14:textId="77777777" w:rsidR="00952395" w:rsidRDefault="0083775C">
            <w:pPr>
              <w:pStyle w:val="P68B1DB1-Normal19"/>
              <w:ind w:left="708"/>
            </w:pPr>
            <w:r>
              <w:t>Kontu turēšanas pakalpojumi</w:t>
            </w:r>
          </w:p>
          <w:p w14:paraId="5B6CE30A" w14:textId="77777777" w:rsidR="00952395" w:rsidRDefault="0083775C">
            <w:pPr>
              <w:pStyle w:val="P68B1DB1-Normal19"/>
              <w:ind w:left="708"/>
            </w:pPr>
            <w:r>
              <w:t>Citi pakalpojumi/darbības/funkcijas (1) attiecībā uz maksājumu, skaidras naudas, norēķinu, tīrvērtes un glabāšanas pakalpojumiem</w:t>
            </w:r>
          </w:p>
          <w:p w14:paraId="7B4ED125" w14:textId="77777777" w:rsidR="00952395" w:rsidRDefault="0083775C">
            <w:pPr>
              <w:pStyle w:val="P68B1DB1-Normal19"/>
              <w:ind w:left="708"/>
            </w:pPr>
            <w:r>
              <w:t>Citi pakalpojumi/darbības/funkcijas (2) attiecībā uz maksājumu, skaidras naudas, norēķinu, tīrvērtes un glabāšanas pakalpojumiem</w:t>
            </w:r>
          </w:p>
          <w:p w14:paraId="19BA6278" w14:textId="77777777" w:rsidR="00952395" w:rsidRDefault="0083775C">
            <w:pPr>
              <w:pStyle w:val="P68B1DB1-Normal19"/>
              <w:ind w:left="708"/>
            </w:pPr>
            <w:r>
              <w:t>Citi pakalpojumi/darbības/funkcijas (3) attiecībā uz maksājumu, skaidras naudas, norēķinu, tīrvērtes un glabāšanas pakalpojumiem</w:t>
            </w:r>
          </w:p>
          <w:p w14:paraId="1E6049F9" w14:textId="77777777" w:rsidR="00952395" w:rsidRDefault="00952395">
            <w:pPr>
              <w:rPr>
                <w:rFonts w:ascii="Times New Roman" w:hAnsi="Times New Roman" w:cs="Times New Roman"/>
                <w:sz w:val="20"/>
                <w:szCs w:val="20"/>
              </w:rPr>
            </w:pPr>
          </w:p>
          <w:p w14:paraId="6F0287A8" w14:textId="77777777" w:rsidR="00952395" w:rsidRDefault="0083775C">
            <w:pPr>
              <w:pStyle w:val="P68B1DB1-Normal19"/>
            </w:pPr>
            <w:r>
              <w:t>Kapitāla tirgi</w:t>
            </w:r>
          </w:p>
          <w:p w14:paraId="4F1B2CB2" w14:textId="77777777" w:rsidR="00952395" w:rsidRDefault="0083775C">
            <w:pPr>
              <w:pStyle w:val="P68B1DB1-Normal19"/>
              <w:ind w:left="708"/>
            </w:pPr>
            <w:r>
              <w:t xml:space="preserve">Atvasinātie finanšu instrumenti turēti tirdzniecībai </w:t>
            </w:r>
          </w:p>
          <w:p w14:paraId="608E7B75" w14:textId="77777777" w:rsidR="00952395" w:rsidRDefault="0083775C">
            <w:pPr>
              <w:pStyle w:val="P68B1DB1-Normal19"/>
              <w:ind w:left="1416"/>
            </w:pPr>
            <w:r>
              <w:t>Atvasinātie finanšu instrumenti turēti tirdzniecībai ārpusbiržas</w:t>
            </w:r>
          </w:p>
          <w:p w14:paraId="55232CB1" w14:textId="77777777" w:rsidR="00952395" w:rsidRDefault="0083775C">
            <w:pPr>
              <w:pStyle w:val="P68B1DB1-Normal19"/>
              <w:ind w:left="1416"/>
            </w:pPr>
            <w:r>
              <w:t>Atvasinātie finanšu instrumenti turēti tirdzniecībai — biržas</w:t>
            </w:r>
          </w:p>
          <w:p w14:paraId="41765F70" w14:textId="77777777" w:rsidR="00952395" w:rsidRDefault="0083775C">
            <w:pPr>
              <w:pStyle w:val="P68B1DB1-Normal19"/>
              <w:ind w:left="708"/>
            </w:pPr>
            <w:r>
              <w:t>Sekundārie tirgi/tirdzniecība</w:t>
            </w:r>
          </w:p>
          <w:p w14:paraId="75381D0F" w14:textId="77777777" w:rsidR="00952395" w:rsidRDefault="0083775C">
            <w:pPr>
              <w:pStyle w:val="P68B1DB1-Normal19"/>
              <w:ind w:left="708"/>
            </w:pPr>
            <w:r>
              <w:t>Primārie tirgi/riska parakstīšana</w:t>
            </w:r>
          </w:p>
          <w:p w14:paraId="04BFAC55" w14:textId="77777777" w:rsidR="00952395" w:rsidRDefault="0083775C">
            <w:pPr>
              <w:pStyle w:val="P68B1DB1-Normal19"/>
              <w:ind w:left="708"/>
            </w:pPr>
            <w:r>
              <w:t>Citi pakalpojumi/darbības/funkcijas (1) in capital markets</w:t>
            </w:r>
          </w:p>
          <w:p w14:paraId="4842F14D" w14:textId="77777777" w:rsidR="00952395" w:rsidRDefault="0083775C">
            <w:pPr>
              <w:pStyle w:val="P68B1DB1-Normal19"/>
              <w:ind w:left="708"/>
            </w:pPr>
            <w:r>
              <w:t>Citi pakalpojumi/darbības/funkcijas (2) biržā (2)</w:t>
            </w:r>
          </w:p>
          <w:p w14:paraId="4B2FE832" w14:textId="77777777" w:rsidR="00952395" w:rsidRDefault="0083775C">
            <w:pPr>
              <w:pStyle w:val="P68B1DB1-Normal19"/>
              <w:ind w:left="708"/>
            </w:pPr>
            <w:r>
              <w:t>Citi pakalpojumi/darbības/funkcijas (3) kapitalos tirgos</w:t>
            </w:r>
          </w:p>
          <w:p w14:paraId="07EB9C1C" w14:textId="77777777" w:rsidR="00952395" w:rsidRDefault="00952395">
            <w:pPr>
              <w:ind w:left="708"/>
              <w:rPr>
                <w:rFonts w:ascii="Times New Roman" w:hAnsi="Times New Roman" w:cs="Times New Roman"/>
                <w:sz w:val="20"/>
                <w:szCs w:val="20"/>
              </w:rPr>
            </w:pPr>
          </w:p>
          <w:p w14:paraId="74D09EC2" w14:textId="77777777" w:rsidR="00952395" w:rsidRDefault="0083775C">
            <w:pPr>
              <w:pStyle w:val="P68B1DB1-Normal19"/>
            </w:pPr>
            <w:r>
              <w:t>Liela apjoma finansējums</w:t>
            </w:r>
          </w:p>
          <w:p w14:paraId="02676859" w14:textId="77777777" w:rsidR="00952395" w:rsidRDefault="0083775C">
            <w:pPr>
              <w:pStyle w:val="P68B1DB1-ListParagraph60"/>
            </w:pPr>
            <w:r>
              <w:t>Aizņēmumi</w:t>
            </w:r>
          </w:p>
          <w:p w14:paraId="541AD926" w14:textId="77777777" w:rsidR="00952395" w:rsidRDefault="0083775C">
            <w:pPr>
              <w:pStyle w:val="P68B1DB1-ListParagraph60"/>
            </w:pPr>
            <w:r>
              <w:t>Atvasinātie instrumenti (aktīvi)</w:t>
            </w:r>
          </w:p>
          <w:p w14:paraId="25097734" w14:textId="77777777" w:rsidR="00952395" w:rsidRDefault="0083775C">
            <w:pPr>
              <w:pStyle w:val="P68B1DB1-ListParagraph60"/>
            </w:pPr>
            <w:r>
              <w:t>Aizdevumi</w:t>
            </w:r>
          </w:p>
          <w:p w14:paraId="772EBBB0" w14:textId="77777777" w:rsidR="00952395" w:rsidRDefault="0083775C">
            <w:pPr>
              <w:pStyle w:val="P68B1DB1-ListParagraph60"/>
            </w:pPr>
            <w:r>
              <w:t>Atvasinātie instrumenti (saistības)</w:t>
            </w:r>
          </w:p>
          <w:p w14:paraId="56E338CF" w14:textId="77777777" w:rsidR="00952395" w:rsidRDefault="0083775C">
            <w:pPr>
              <w:pStyle w:val="P68B1DB1-ListParagraph60"/>
            </w:pPr>
            <w:r>
              <w:t>Citi produktu veidi (1) vairumtirgos</w:t>
            </w:r>
          </w:p>
          <w:p w14:paraId="6607505D" w14:textId="77777777" w:rsidR="00952395" w:rsidRDefault="0083775C">
            <w:pPr>
              <w:pStyle w:val="P68B1DB1-ListParagraph60"/>
            </w:pPr>
            <w:r>
              <w:t>Citi produktu veidi (2) vairumtirgos</w:t>
            </w:r>
          </w:p>
          <w:p w14:paraId="41A2E098" w14:textId="77777777" w:rsidR="00952395" w:rsidRDefault="0083775C">
            <w:pPr>
              <w:pStyle w:val="P68B1DB1-ListParagraph60"/>
            </w:pPr>
            <w:r>
              <w:t>Citi produktu veidi (3) vairumtirgos</w:t>
            </w:r>
          </w:p>
          <w:p w14:paraId="7FE1C8DF" w14:textId="2134965F" w:rsidR="00952395" w:rsidRDefault="00952395">
            <w:pPr>
              <w:pStyle w:val="TableParagraph"/>
              <w:spacing w:before="108"/>
              <w:ind w:left="85"/>
              <w:jc w:val="both"/>
              <w:rPr>
                <w:rFonts w:ascii="Times New Roman" w:eastAsia="Times New Roman" w:hAnsi="Times New Roman" w:cs="Times New Roman"/>
                <w:b/>
                <w:bCs/>
                <w:i/>
                <w:iCs/>
                <w:sz w:val="20"/>
                <w:szCs w:val="20"/>
              </w:rPr>
            </w:pPr>
          </w:p>
        </w:tc>
      </w:tr>
      <w:tr w:rsidR="00952395"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952395" w:rsidRDefault="0083775C">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952395" w:rsidRDefault="0083775C">
            <w:pPr>
              <w:pStyle w:val="P68B1DB1-Heading481"/>
              <w:numPr>
                <w:ilvl w:val="3"/>
                <w:numId w:val="0"/>
              </w:numPr>
              <w:ind w:left="360"/>
            </w:pPr>
            <w:r>
              <w:t>Būtiskas FTI</w:t>
            </w:r>
          </w:p>
        </w:tc>
      </w:tr>
      <w:tr w:rsidR="00952395"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952395" w:rsidRDefault="0083775C">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952395" w:rsidRDefault="0083775C">
            <w:pPr>
              <w:pStyle w:val="P68B1DB1-TableParagraph73"/>
              <w:spacing w:before="108"/>
              <w:ind w:left="85"/>
              <w:jc w:val="both"/>
            </w:pPr>
            <w:r>
              <w:t>Būtiska FTI: JĀ/NĒ</w:t>
            </w:r>
          </w:p>
          <w:p w14:paraId="7FE1C8E6" w14:textId="46FA6345" w:rsidR="00952395" w:rsidRDefault="0083775C">
            <w:pPr>
              <w:pStyle w:val="P68B1DB1-TableParagraph40"/>
              <w:numPr>
                <w:ilvl w:val="0"/>
                <w:numId w:val="248"/>
              </w:numPr>
              <w:spacing w:before="108"/>
              <w:jc w:val="both"/>
            </w:pPr>
            <w:r>
              <w:t>“Jā”, ja FTI ir būtiska</w:t>
            </w:r>
          </w:p>
          <w:p w14:paraId="7FE1C8E7" w14:textId="0EBF3638" w:rsidR="00952395" w:rsidRDefault="0083775C">
            <w:pPr>
              <w:pStyle w:val="P68B1DB1-TableParagraph40"/>
              <w:numPr>
                <w:ilvl w:val="0"/>
                <w:numId w:val="248"/>
              </w:numPr>
              <w:spacing w:before="108"/>
              <w:jc w:val="both"/>
            </w:pPr>
            <w:r>
              <w:t>“Nē”, ja FTI nav būtiska</w:t>
            </w:r>
          </w:p>
          <w:p w14:paraId="7FE1C8E8" w14:textId="77777777" w:rsidR="00952395" w:rsidRDefault="0083775C">
            <w:pPr>
              <w:pStyle w:val="P68B1DB1-Heading482"/>
              <w:numPr>
                <w:ilvl w:val="3"/>
                <w:numId w:val="0"/>
              </w:numPr>
              <w:ind w:left="360"/>
            </w:pPr>
            <w:r>
              <w:t>Un 0050. sleja nav savstarpēji izslēdzošas.</w:t>
            </w:r>
          </w:p>
        </w:tc>
      </w:tr>
      <w:tr w:rsidR="00952395"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952395" w:rsidRDefault="0083775C">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952395" w:rsidRDefault="0083775C">
            <w:pPr>
              <w:pStyle w:val="P68B1DB1-TableParagraph73"/>
              <w:spacing w:before="108"/>
              <w:ind w:left="85"/>
              <w:jc w:val="both"/>
            </w:pPr>
            <w:r>
              <w:t>Pamatdarbības līnijas ID</w:t>
            </w:r>
          </w:p>
          <w:p w14:paraId="7FE1C8EC" w14:textId="62673BB2" w:rsidR="00952395" w:rsidRDefault="0083775C">
            <w:pPr>
              <w:pStyle w:val="P68B1DB1-TableParagraph40"/>
              <w:spacing w:before="108"/>
              <w:ind w:left="85"/>
              <w:jc w:val="both"/>
              <w:rPr>
                <w:u w:val="single"/>
              </w:rPr>
            </w:pPr>
            <w:r>
              <w:t>Galvenās darbības jomas, ko veic lietotājs un kuru izpildi traucētu vai kavētu piekļuves FTI pakalpojumu sniedzējam traucējumi.</w:t>
            </w:r>
          </w:p>
          <w:p w14:paraId="7FE1C8ED" w14:textId="77777777" w:rsidR="00952395" w:rsidRDefault="0083775C">
            <w:pPr>
              <w:pStyle w:val="P68B1DB1-TableParagraph40"/>
              <w:spacing w:before="108"/>
              <w:ind w:left="85"/>
              <w:jc w:val="both"/>
              <w:rPr>
                <w:b/>
                <w:bCs/>
              </w:rPr>
            </w:pPr>
            <w:r>
              <w:t>Galvenās darbības jomas ID, kā uzrādīts Z 07.03 0010. slejā.</w:t>
            </w:r>
          </w:p>
        </w:tc>
      </w:tr>
    </w:tbl>
    <w:p w14:paraId="7FE1C8EF" w14:textId="77777777" w:rsidR="00952395" w:rsidRDefault="00952395">
      <w:pPr>
        <w:pStyle w:val="Instructionsberschrift2"/>
        <w:ind w:left="357"/>
        <w:rPr>
          <w:rFonts w:ascii="Times New Roman" w:eastAsia="Calibri" w:hAnsi="Times New Roman" w:cs="Times New Roman"/>
          <w:szCs w:val="20"/>
        </w:rPr>
      </w:pPr>
    </w:p>
    <w:p w14:paraId="7FE1C8F0" w14:textId="77777777" w:rsidR="00952395" w:rsidRDefault="0083775C">
      <w:pPr>
        <w:pStyle w:val="P68B1DB1-Instructionsberschrift271"/>
        <w:numPr>
          <w:ilvl w:val="1"/>
          <w:numId w:val="49"/>
        </w:numPr>
        <w:ind w:left="357" w:hanging="357"/>
      </w:pPr>
      <w:bookmarkStart w:id="139" w:name="_Toc208244973"/>
      <w:r>
        <w:t>Z 09.03 — FMI pakalpojumi — galvenie rādītāji (3. FMI)</w:t>
      </w:r>
      <w:bookmarkEnd w:id="139"/>
    </w:p>
    <w:p w14:paraId="7FE1C8F1" w14:textId="77777777" w:rsidR="00952395" w:rsidRDefault="0083775C">
      <w:pPr>
        <w:pStyle w:val="P68B1DB1-Numberedtitlelevel383"/>
      </w:pPr>
      <w:r>
        <w:t>Norādījumi attiecībā uz konkrētām pozīcijām</w:t>
      </w:r>
    </w:p>
    <w:p w14:paraId="7FE1C8F2" w14:textId="6D7EB755" w:rsidR="00952395" w:rsidRDefault="0083775C">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Ziņo tikai par maksājumu sistēmām, (starptautiskiem) centrālajiem vērtspapīru depozitārijiem, vērtspapīru darījumu norēķinu pakalpojumiem, centrālajiem darījumu partneriem atvasinātajiem instrumentiem, centrālajiem darījumu partneriem vērtspapīriem, ja vien nav norādīts citādi</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952395"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952395" w:rsidRDefault="0083775C">
            <w:pPr>
              <w:pStyle w:val="P68B1DB1-TableParagraph17"/>
              <w:spacing w:before="108"/>
              <w:ind w:left="85"/>
            </w:pPr>
            <w:r>
              <w:t xml:space="preserve">Slejas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952395" w:rsidRDefault="0083775C">
            <w:pPr>
              <w:pStyle w:val="P68B1DB1-TableParagraph17"/>
              <w:spacing w:before="108"/>
              <w:ind w:left="85"/>
            </w:pPr>
            <w:r>
              <w:t xml:space="preserve">Norādījumi </w:t>
            </w:r>
          </w:p>
        </w:tc>
      </w:tr>
      <w:tr w:rsidR="00952395"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952395" w:rsidRDefault="0083775C">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952395" w:rsidRDefault="0083775C">
            <w:pPr>
              <w:pStyle w:val="P68B1DB1-TableParagraph73"/>
              <w:spacing w:before="108"/>
              <w:jc w:val="both"/>
            </w:pPr>
            <w:r>
              <w:t>Identifikators, kas apzīmē lietotāja, FTI, sistēmas tipa un starpnieka kombināciju</w:t>
            </w:r>
          </w:p>
          <w:p w14:paraId="7FE1C8F8" w14:textId="314C2ABF" w:rsidR="00952395" w:rsidRDefault="0083775C">
            <w:pPr>
              <w:pStyle w:val="P68B1DB1-TableParagraph40"/>
              <w:spacing w:before="108"/>
              <w:jc w:val="both"/>
              <w:rPr>
                <w:b/>
                <w:bCs/>
                <w:i/>
                <w:iCs/>
              </w:rPr>
            </w:pPr>
            <w:r>
              <w:t>Katrā rindā izmanto vienu identifikatoru, kas atbilst unikālai lietotāja, FTI, sistēmas tipa un starpnieka kombinācijai. Attiecīgā gadījumā veidnēs no Z 09.01 līdz Z 09.05 jāizmanto viens un tas pats ID, kas atbilst vienai un tai pašai kombinācijai.</w:t>
            </w:r>
          </w:p>
        </w:tc>
      </w:tr>
      <w:tr w:rsidR="00952395"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952395" w:rsidRDefault="0083775C">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952395" w:rsidRDefault="0083775C">
            <w:pPr>
              <w:pStyle w:val="P68B1DB1-TableParagraph73"/>
              <w:spacing w:before="108"/>
              <w:jc w:val="both"/>
            </w:pPr>
            <w:r>
              <w:t>Segment (Segments)</w:t>
            </w:r>
          </w:p>
          <w:p w14:paraId="7FE1C8FC" w14:textId="77777777" w:rsidR="00952395" w:rsidRDefault="0083775C">
            <w:pPr>
              <w:pStyle w:val="P68B1DB1-TableParagraph40"/>
              <w:spacing w:before="108"/>
              <w:ind w:left="85"/>
              <w:jc w:val="both"/>
              <w:rPr>
                <w:b/>
                <w:bCs/>
                <w:i/>
                <w:iCs/>
                <w:strike/>
              </w:rPr>
            </w:pPr>
            <w:r>
              <w:t xml:space="preserve">Tirgus segmenti, kuros lietotājs darbojas. Viena rinda par katru segmentu. Ziņo tikai par CCP. </w:t>
            </w:r>
          </w:p>
        </w:tc>
      </w:tr>
      <w:tr w:rsidR="00952395"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952395" w:rsidRDefault="0083775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952395" w:rsidRDefault="0083775C">
            <w:pPr>
              <w:pStyle w:val="P68B1DB1-TableParagraph73"/>
              <w:spacing w:before="108"/>
              <w:jc w:val="both"/>
            </w:pPr>
            <w:r>
              <w:t>Iemaksas fondā saistību neizpildes gadījumiem</w:t>
            </w:r>
          </w:p>
          <w:p w14:paraId="7FE1C900" w14:textId="77777777" w:rsidR="00952395" w:rsidRDefault="0083775C">
            <w:pPr>
              <w:pStyle w:val="P68B1DB1-TableParagraph40"/>
              <w:spacing w:before="108"/>
              <w:jc w:val="both"/>
            </w:pPr>
            <w:r>
              <w:t xml:space="preserve">Iemaksas fondā saistību neizpildes gadījumiem. Gada vidējā summa. </w:t>
            </w:r>
          </w:p>
          <w:p w14:paraId="7FE1C901" w14:textId="77777777" w:rsidR="00952395" w:rsidRDefault="0083775C">
            <w:pPr>
              <w:pStyle w:val="P68B1DB1-TableParagraph40"/>
              <w:spacing w:before="108"/>
              <w:ind w:left="85"/>
              <w:jc w:val="both"/>
              <w:rPr>
                <w:b/>
                <w:bCs/>
                <w:i/>
                <w:iCs/>
              </w:rPr>
            </w:pPr>
            <w:r>
              <w:t>Ziņo tikai par CCP.</w:t>
            </w:r>
          </w:p>
        </w:tc>
      </w:tr>
      <w:tr w:rsidR="00952395"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952395" w:rsidRDefault="0083775C">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952395" w:rsidRDefault="0083775C">
            <w:pPr>
              <w:pStyle w:val="P68B1DB1-TableParagraph73"/>
              <w:spacing w:before="108"/>
              <w:jc w:val="both"/>
              <w:rPr>
                <w:bCs/>
              </w:rPr>
            </w:pPr>
            <w:r>
              <w:t>Sākotnējā drošības rezerve pašu kontiem un klientu kontiem</w:t>
            </w:r>
          </w:p>
          <w:p w14:paraId="7FE1C905" w14:textId="1C30A5D8" w:rsidR="00952395" w:rsidRDefault="0083775C">
            <w:pPr>
              <w:pStyle w:val="P68B1DB1-TableParagraph40"/>
              <w:spacing w:before="108"/>
              <w:ind w:left="85"/>
              <w:jc w:val="both"/>
              <w:rPr>
                <w:b/>
              </w:rPr>
            </w:pPr>
            <w:r>
              <w:t>Izvietotā sākotnējā drošības rezerve, kas sadalīta pa mājām un klientu kontiem. Gada vidējā summa. Ziņo tikai par CCP. Slejā ir iekļautas gan kopējās, gan individuālās klienta konta vērtības.</w:t>
            </w:r>
          </w:p>
        </w:tc>
      </w:tr>
      <w:tr w:rsidR="00952395"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952395" w:rsidRDefault="0083775C">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952395" w:rsidRDefault="0083775C">
            <w:pPr>
              <w:pStyle w:val="P68B1DB1-TableParagraph73"/>
              <w:spacing w:before="108"/>
              <w:ind w:left="85"/>
              <w:jc w:val="both"/>
            </w:pPr>
            <w:r>
              <w:t>Pozīciju vērtība pašu kontos un klientu kontos</w:t>
            </w:r>
          </w:p>
          <w:p w14:paraId="7FE1C909" w14:textId="2662FB34" w:rsidR="00952395" w:rsidRDefault="0083775C">
            <w:pPr>
              <w:pStyle w:val="P68B1DB1-TableParagraph40"/>
              <w:spacing w:before="108"/>
              <w:ind w:left="85"/>
              <w:jc w:val="both"/>
            </w:pPr>
            <w:r>
              <w:t>Ziņo tikai par CCP un I)CVD. Slejā ir iekļautas gan kopējās, gan individuālās klienta konta vērtības.</w:t>
            </w:r>
          </w:p>
          <w:p w14:paraId="7FE1C90A" w14:textId="77777777" w:rsidR="00952395" w:rsidRDefault="0083775C">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CCP: Centrālo darījumu starpnieku pozīciju vērtība attiecīgajos kontu veidos</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952395" w:rsidRDefault="0083775C">
            <w:pPr>
              <w:pStyle w:val="P68B1DB1-TableParagraph40"/>
              <w:numPr>
                <w:ilvl w:val="0"/>
                <w:numId w:val="249"/>
              </w:numPr>
              <w:spacing w:before="108"/>
              <w:jc w:val="both"/>
            </w:pPr>
            <w:r>
              <w:t xml:space="preserve">I)CVD: Attiecīgajos kontu veidos turēto vērtspapīru vērtība. </w:t>
            </w:r>
          </w:p>
          <w:p w14:paraId="7FE1C90C" w14:textId="77777777" w:rsidR="00952395" w:rsidRDefault="0083775C">
            <w:pPr>
              <w:pStyle w:val="P68B1DB1-TableParagraph40"/>
              <w:spacing w:before="108"/>
              <w:ind w:left="85"/>
              <w:jc w:val="both"/>
              <w:rPr>
                <w:b/>
              </w:rPr>
            </w:pPr>
            <w:r>
              <w:t xml:space="preserve">Vidējā vērtība norēķinu dienas beigās iepriekšējā gadā. </w:t>
            </w:r>
          </w:p>
        </w:tc>
      </w:tr>
      <w:tr w:rsidR="00952395"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952395" w:rsidRDefault="0083775C">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952395" w:rsidRDefault="0083775C">
            <w:pPr>
              <w:pStyle w:val="P68B1DB1-TableParagraph73"/>
              <w:spacing w:before="108"/>
              <w:ind w:left="85"/>
              <w:jc w:val="both"/>
            </w:pPr>
            <w:r>
              <w:t xml:space="preserve">Klientu skaits </w:t>
            </w:r>
          </w:p>
          <w:p w14:paraId="7FE1C910" w14:textId="77777777" w:rsidR="00952395" w:rsidRDefault="0083775C">
            <w:pPr>
              <w:pStyle w:val="P68B1DB1-TableParagraph40"/>
              <w:spacing w:before="108"/>
              <w:ind w:left="85"/>
              <w:jc w:val="both"/>
            </w:pPr>
            <w:r>
              <w:t xml:space="preserve">Ziņo tikai par CCP un I)CVD. </w:t>
            </w:r>
          </w:p>
          <w:p w14:paraId="7FE1C911" w14:textId="77777777" w:rsidR="00952395" w:rsidRDefault="0083775C">
            <w:pPr>
              <w:pStyle w:val="P68B1DB1-Heading482"/>
              <w:numPr>
                <w:ilvl w:val="3"/>
                <w:numId w:val="0"/>
              </w:numPr>
              <w:ind w:left="360"/>
              <w:rPr>
                <w:strike/>
                <w:color w:val="D13438"/>
              </w:rPr>
            </w:pPr>
            <w:r>
              <w:t>Kopējais klientu skaits, kas iekļauti dažādos klientu kontu veidos.</w:t>
            </w:r>
          </w:p>
        </w:tc>
      </w:tr>
      <w:tr w:rsidR="00952395"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952395" w:rsidRDefault="0083775C">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952395" w:rsidRDefault="0083775C">
            <w:pPr>
              <w:pStyle w:val="P68B1DB1-TableParagraph73"/>
              <w:spacing w:before="108"/>
              <w:ind w:left="85"/>
              <w:jc w:val="both"/>
            </w:pPr>
            <w:r>
              <w:t>Darījumu skaits ar īpašniekkontiem un klientu kontiem</w:t>
            </w:r>
          </w:p>
          <w:p w14:paraId="7FE1C915" w14:textId="77777777" w:rsidR="00952395" w:rsidRDefault="0083775C">
            <w:pPr>
              <w:pStyle w:val="P68B1DB1-Heading482"/>
              <w:numPr>
                <w:ilvl w:val="3"/>
                <w:numId w:val="0"/>
              </w:numPr>
              <w:ind w:left="360"/>
              <w:rPr>
                <w:strike/>
                <w:color w:val="D13438"/>
                <w:u w:val="single"/>
              </w:rPr>
            </w:pPr>
            <w:r>
              <w:t xml:space="preserve">Kopējais gada laikā izpildīto darījumu skaits attiecīgajiem kontu veidiem. </w:t>
            </w:r>
          </w:p>
        </w:tc>
      </w:tr>
      <w:tr w:rsidR="00952395"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952395" w:rsidRDefault="0083775C">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952395" w:rsidRDefault="0083775C">
            <w:pPr>
              <w:pStyle w:val="P68B1DB1-TableParagraph73"/>
              <w:spacing w:before="108"/>
              <w:ind w:left="85"/>
              <w:jc w:val="both"/>
            </w:pPr>
            <w:r>
              <w:t>Darījumu vērtība ar īpašniekkontiem un klientu kontiem</w:t>
            </w:r>
          </w:p>
          <w:p w14:paraId="7FE1C919" w14:textId="7A080DD4" w:rsidR="00952395" w:rsidRDefault="0083775C">
            <w:pPr>
              <w:pStyle w:val="P68B1DB1-TableParagraph40"/>
              <w:spacing w:before="108"/>
              <w:ind w:left="85"/>
              <w:jc w:val="both"/>
            </w:pPr>
            <w:r>
              <w:t xml:space="preserve">Darījumu vērtība pārskata gadā no attiecīgajiem kontu veidiem. 0130. slejā ir iekļautas gan vispārējās, gan nošķirtās klienta konta vērtības. </w:t>
            </w:r>
          </w:p>
          <w:p w14:paraId="7FE1C91A" w14:textId="77777777" w:rsidR="00952395" w:rsidRDefault="0083775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Ziņojums par PS, CCP, (I)CSD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952395" w:rsidRDefault="0083775C">
            <w:pPr>
              <w:pStyle w:val="P68B1DB1-TableParagraph40"/>
              <w:numPr>
                <w:ilvl w:val="0"/>
                <w:numId w:val="250"/>
              </w:numPr>
              <w:spacing w:before="108"/>
              <w:jc w:val="both"/>
            </w:pPr>
            <w:r>
              <w:t>PS: Nosūtīto darījumu vērtība.</w:t>
            </w:r>
          </w:p>
          <w:p w14:paraId="7FE1C91C" w14:textId="77777777" w:rsidR="00952395" w:rsidRDefault="0083775C">
            <w:pPr>
              <w:pStyle w:val="P68B1DB1-TableParagraph40"/>
              <w:numPr>
                <w:ilvl w:val="0"/>
                <w:numId w:val="250"/>
              </w:numPr>
              <w:spacing w:before="108"/>
              <w:jc w:val="both"/>
            </w:pPr>
            <w:r>
              <w:t>CCP: Gada laikā izpildīto darījumu kopējā vērtība. Attiecībā uz CCP atvasinātajiem instrumentiem:</w:t>
            </w:r>
          </w:p>
          <w:p w14:paraId="7FE1C91D" w14:textId="77777777" w:rsidR="00952395" w:rsidRDefault="0083775C">
            <w:pPr>
              <w:pStyle w:val="P68B1DB1-TableParagraph40"/>
              <w:numPr>
                <w:ilvl w:val="1"/>
                <w:numId w:val="250"/>
              </w:numPr>
              <w:spacing w:before="108"/>
              <w:jc w:val="both"/>
            </w:pPr>
            <w:r>
              <w:t>Iespējas līgumi = norunas cena;</w:t>
            </w:r>
          </w:p>
          <w:p w14:paraId="7FE1C91E" w14:textId="77777777" w:rsidR="00952395" w:rsidRDefault="0083775C">
            <w:pPr>
              <w:pStyle w:val="P68B1DB1-TableParagraph40"/>
              <w:numPr>
                <w:ilvl w:val="1"/>
                <w:numId w:val="250"/>
              </w:numPr>
              <w:spacing w:before="108"/>
              <w:jc w:val="both"/>
            </w:pPr>
            <w:r>
              <w:t>Regulētā tirgū tirgoti nākotnes līgumi = pamatā esošā instrumenta vērtība darījuma brīdī vai, ja pastāv nosacīts pamatā esošais instruments, regulētā tirgū tirgotu nākotnes līgumu tirgus cena darījuma brīdī.</w:t>
            </w:r>
          </w:p>
          <w:p w14:paraId="7FE1C91F" w14:textId="77777777" w:rsidR="00952395" w:rsidRDefault="0083775C">
            <w:pPr>
              <w:pStyle w:val="P68B1DB1-TableParagraph40"/>
              <w:numPr>
                <w:ilvl w:val="1"/>
                <w:numId w:val="250"/>
              </w:numPr>
              <w:spacing w:before="108"/>
              <w:jc w:val="both"/>
            </w:pPr>
            <w:r>
              <w:t>Mijmaiņas darījumi = nenomaksāto darījumu kopējā tirgus vērtība gada beigās.</w:t>
            </w:r>
          </w:p>
          <w:p w14:paraId="7FE1C920" w14:textId="22076F29" w:rsidR="00952395" w:rsidRDefault="0083775C">
            <w:pPr>
              <w:pStyle w:val="P68B1DB1-TableParagraph40"/>
              <w:numPr>
                <w:ilvl w:val="0"/>
                <w:numId w:val="250"/>
              </w:numPr>
              <w:spacing w:before="108"/>
              <w:jc w:val="both"/>
              <w:rPr>
                <w:strike/>
                <w:color w:val="D13438"/>
                <w:u w:val="single"/>
              </w:rPr>
            </w:pPr>
            <w:r>
              <w:t xml:space="preserve">I)CSD: Piegādes instrukciju kopējā vērtība. </w:t>
            </w:r>
          </w:p>
        </w:tc>
      </w:tr>
      <w:tr w:rsidR="00952395"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952395" w:rsidRDefault="0083775C">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952395" w:rsidRDefault="0083775C">
            <w:pPr>
              <w:pStyle w:val="P68B1DB1-TableParagraph73"/>
              <w:spacing w:before="108" w:after="120"/>
              <w:ind w:left="85"/>
              <w:jc w:val="both"/>
            </w:pPr>
            <w:r>
              <w:t>Kumulētā nosacītā summa</w:t>
            </w:r>
          </w:p>
          <w:p w14:paraId="7FE1C924" w14:textId="77777777" w:rsidR="00952395" w:rsidRDefault="0083775C">
            <w:pPr>
              <w:pStyle w:val="P68B1DB1-TableParagraph40"/>
              <w:spacing w:before="108"/>
              <w:ind w:left="85"/>
              <w:jc w:val="both"/>
            </w:pPr>
            <w:r>
              <w:t xml:space="preserve">Gada laikā izpildīto darījumu nosacīto summu summa gan mājokļu, gan klientu kontiem. Norāda mljrd. euro. </w:t>
            </w:r>
          </w:p>
          <w:p w14:paraId="7FE1C925" w14:textId="77777777" w:rsidR="00952395" w:rsidRDefault="0083775C">
            <w:pPr>
              <w:pStyle w:val="P68B1DB1-Heading482"/>
              <w:numPr>
                <w:ilvl w:val="3"/>
                <w:numId w:val="0"/>
              </w:numPr>
              <w:ind w:left="360"/>
              <w:rPr>
                <w:strike/>
                <w:color w:val="D13438"/>
                <w:u w:val="single"/>
              </w:rPr>
            </w:pPr>
            <w:r>
              <w:t>Tikai CCP atvasinātajiem instrumentiem.</w:t>
            </w:r>
          </w:p>
        </w:tc>
      </w:tr>
      <w:tr w:rsidR="00952395"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952395" w:rsidRDefault="0083775C">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952395" w:rsidRDefault="0083775C">
            <w:pPr>
              <w:pStyle w:val="P68B1DB1-TableParagraph73"/>
              <w:spacing w:before="108"/>
              <w:ind w:left="85"/>
              <w:jc w:val="both"/>
            </w:pPr>
            <w:r>
              <w:t>Kredītlīnija</w:t>
            </w:r>
          </w:p>
          <w:p w14:paraId="7FE1C929" w14:textId="77777777" w:rsidR="00952395" w:rsidRDefault="0083775C">
            <w:pPr>
              <w:pStyle w:val="P68B1DB1-Heading482"/>
              <w:numPr>
                <w:ilvl w:val="3"/>
                <w:numId w:val="0"/>
              </w:numPr>
              <w:ind w:left="360"/>
              <w:rPr>
                <w:strike/>
                <w:color w:val="D13438"/>
                <w:u w:val="single"/>
              </w:rPr>
            </w:pPr>
            <w:r>
              <w:t xml:space="preserve">Piešķirtas vai nepiešķirtas kredītlīnijas, ko piešķir sistēma tiešas piekļuves gadījumā vai starpnieks vai cits likviditātes devējs netiešas piekļuves gadījumā. Attiecībā uz neatklātiem daudzumiem — maksimālais izmantojums gada laikā. </w:t>
            </w:r>
          </w:p>
        </w:tc>
      </w:tr>
      <w:tr w:rsidR="00952395"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952395" w:rsidRDefault="0083775C">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952395" w:rsidRDefault="0083775C">
            <w:pPr>
              <w:pStyle w:val="P68B1DB1-TableParagraph73"/>
              <w:spacing w:before="108"/>
              <w:ind w:left="85"/>
              <w:jc w:val="both"/>
            </w:pPr>
            <w:r>
              <w:t>Likviditātes vai nodrošinājuma prasību maksimums</w:t>
            </w:r>
          </w:p>
          <w:p w14:paraId="7FE1C92D" w14:textId="77777777" w:rsidR="00952395" w:rsidRDefault="0083775C">
            <w:pPr>
              <w:pStyle w:val="P68B1DB1-TableParagraph40"/>
              <w:spacing w:before="108"/>
              <w:ind w:left="85"/>
              <w:jc w:val="both"/>
            </w:pPr>
            <w:r>
              <w:t>Attiecīgā gadījumā ziņo tikai par PS, (I)CSD, CCP. Maksimālā vērtība iepriekšējā gadā.</w:t>
            </w:r>
          </w:p>
          <w:p w14:paraId="7FE1C92E" w14:textId="77777777" w:rsidR="00952395" w:rsidRDefault="0083775C">
            <w:pPr>
              <w:pStyle w:val="P68B1DB1-TableParagraph40"/>
              <w:numPr>
                <w:ilvl w:val="0"/>
                <w:numId w:val="251"/>
              </w:numPr>
              <w:spacing w:before="108"/>
              <w:jc w:val="both"/>
            </w:pPr>
            <w:r>
              <w:t xml:space="preserve">Attiecībā uz (I)CSD un PS: kredītlīnijas izmantošanas maksimums.  </w:t>
            </w:r>
          </w:p>
          <w:p w14:paraId="7FE1C92F" w14:textId="77777777" w:rsidR="00952395" w:rsidRDefault="0083775C">
            <w:pPr>
              <w:pStyle w:val="P68B1DB1-TableParagraph40"/>
              <w:numPr>
                <w:ilvl w:val="0"/>
                <w:numId w:val="251"/>
              </w:numPr>
              <w:spacing w:before="108"/>
              <w:jc w:val="both"/>
            </w:pPr>
            <w:r>
              <w:t>CCP: maržas prasību maksimums.</w:t>
            </w:r>
          </w:p>
          <w:p w14:paraId="7FE1C930" w14:textId="77777777" w:rsidR="00952395" w:rsidRDefault="0083775C">
            <w:pPr>
              <w:pStyle w:val="P68B1DB1-TableParagraph40"/>
              <w:numPr>
                <w:ilvl w:val="0"/>
                <w:numId w:val="251"/>
              </w:numPr>
              <w:spacing w:before="108"/>
              <w:jc w:val="both"/>
              <w:rPr>
                <w:strike/>
                <w:color w:val="D13438"/>
                <w:u w:val="single"/>
              </w:rPr>
            </w:pPr>
            <w:r>
              <w:t>Attiecībā uz netiešu piekļuvi: starpniekam nepieciešamais maksimālais finansējums.</w:t>
            </w:r>
          </w:p>
        </w:tc>
      </w:tr>
      <w:tr w:rsidR="00952395"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952395" w:rsidRDefault="0083775C">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952395" w:rsidRDefault="0083775C">
            <w:pPr>
              <w:pStyle w:val="P68B1DB1-TableParagraph73"/>
              <w:spacing w:before="108"/>
              <w:ind w:left="85"/>
              <w:jc w:val="both"/>
            </w:pPr>
            <w:r>
              <w:t>Aplēstās papildu likviditātes vai nodrošinājuma prasības spriedzes situācijā</w:t>
            </w:r>
          </w:p>
          <w:p w14:paraId="7FE1C934" w14:textId="16041565" w:rsidR="00952395" w:rsidRDefault="0083775C">
            <w:pPr>
              <w:pStyle w:val="P68B1DB1-Heading482"/>
              <w:numPr>
                <w:ilvl w:val="3"/>
                <w:numId w:val="0"/>
              </w:numPr>
              <w:ind w:left="360"/>
              <w:rPr>
                <w:strike/>
                <w:color w:val="D13438"/>
                <w:u w:val="single"/>
              </w:rPr>
            </w:pPr>
            <w:r>
              <w:t xml:space="preserve">Aplēse par iespējamu papildu likviditāti vai nodrošinājumu, kas pārsniedz 0160. slejā noteikto maksimuma prasību un ar ko lietotājs var saskarties smaga stresa situācijā. </w:t>
            </w:r>
          </w:p>
        </w:tc>
      </w:tr>
    </w:tbl>
    <w:p w14:paraId="7FE1C936" w14:textId="77777777" w:rsidR="00952395" w:rsidRDefault="00952395">
      <w:pPr>
        <w:pStyle w:val="Instructionsberschrift2"/>
        <w:ind w:left="357"/>
        <w:rPr>
          <w:rFonts w:ascii="Times New Roman" w:eastAsia="Calibri" w:hAnsi="Times New Roman" w:cs="Times New Roman"/>
          <w:szCs w:val="20"/>
        </w:rPr>
      </w:pPr>
    </w:p>
    <w:p w14:paraId="7FE1C937" w14:textId="77777777" w:rsidR="00952395" w:rsidRDefault="0083775C">
      <w:pPr>
        <w:pStyle w:val="P68B1DB1-Instructionsberschrift271"/>
        <w:numPr>
          <w:ilvl w:val="1"/>
          <w:numId w:val="49"/>
        </w:numPr>
        <w:ind w:left="357" w:hanging="357"/>
      </w:pPr>
      <w:bookmarkStart w:id="140" w:name="_Toc208244974"/>
      <w:r>
        <w:t>Z 09.04 — FTI pakalpojumi — CCP — Alternatīvie pakalpojumu sniedzēji (4. FMI)</w:t>
      </w:r>
      <w:bookmarkEnd w:id="140"/>
    </w:p>
    <w:tbl>
      <w:tblPr>
        <w:tblW w:w="0" w:type="auto"/>
        <w:tblInd w:w="135" w:type="dxa"/>
        <w:tblLook w:val="04A0" w:firstRow="1" w:lastRow="0" w:firstColumn="1" w:lastColumn="0" w:noHBand="0" w:noVBand="1"/>
      </w:tblPr>
      <w:tblGrid>
        <w:gridCol w:w="1178"/>
        <w:gridCol w:w="7713"/>
      </w:tblGrid>
      <w:tr w:rsidR="00952395"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952395" w:rsidRDefault="0083775C">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Slejas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952395" w:rsidRDefault="0083775C">
            <w:pPr>
              <w:pStyle w:val="P68B1DB1-TableParagraph17"/>
              <w:spacing w:before="108"/>
              <w:ind w:left="85"/>
            </w:pPr>
            <w:r>
              <w:t xml:space="preserve">Norādījumi </w:t>
            </w:r>
          </w:p>
        </w:tc>
      </w:tr>
      <w:tr w:rsidR="00952395"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952395" w:rsidRDefault="0083775C">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952395" w:rsidRDefault="0083775C">
            <w:pPr>
              <w:pStyle w:val="P68B1DB1-TableParagraph73"/>
              <w:spacing w:before="108"/>
              <w:ind w:left="85"/>
              <w:jc w:val="both"/>
            </w:pPr>
            <w:r>
              <w:t>Identifikators, kas apzīmē lietotāja, FTI, sistēmas tipa un starpnieka kombināciju</w:t>
            </w:r>
          </w:p>
          <w:p w14:paraId="7FE1CBEF" w14:textId="2166D4DC" w:rsidR="00952395" w:rsidRDefault="0083775C">
            <w:pPr>
              <w:pStyle w:val="P68B1DB1-TableParagraph40"/>
              <w:spacing w:before="108"/>
              <w:ind w:left="85"/>
              <w:jc w:val="both"/>
            </w:pPr>
            <w:r>
              <w:t xml:space="preserve">CCP identifikators, kā norādīts Z 09.01 0010. slejā. </w:t>
            </w:r>
          </w:p>
          <w:p w14:paraId="7FE1CBF2" w14:textId="2A5BCF53" w:rsidR="00952395" w:rsidRDefault="0083775C">
            <w:pPr>
              <w:pStyle w:val="P68B1DB1-TableParagraph40"/>
              <w:spacing w:before="108"/>
              <w:ind w:left="85"/>
              <w:jc w:val="both"/>
              <w:rPr>
                <w:b/>
                <w:bCs/>
                <w:i/>
                <w:iCs/>
              </w:rPr>
            </w:pPr>
            <w:r>
              <w:t>Ziņo tikai par tiem CCP, kuriem ir tieši vai netieši piekļūts. Ziņot par visām CDP piekļuves iespējām.</w:t>
            </w:r>
          </w:p>
        </w:tc>
      </w:tr>
      <w:tr w:rsidR="00952395"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952395" w:rsidRDefault="0083775C">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952395" w:rsidRDefault="0083775C">
            <w:pPr>
              <w:pStyle w:val="P68B1DB1-TableParagraph73"/>
              <w:spacing w:before="108"/>
              <w:ind w:left="85"/>
              <w:jc w:val="both"/>
              <w:rPr>
                <w:bCs/>
              </w:rPr>
            </w:pPr>
            <w:r>
              <w:t>Produkta veids</w:t>
            </w:r>
          </w:p>
          <w:p w14:paraId="7FE1CBF8" w14:textId="236012E4" w:rsidR="00952395" w:rsidRDefault="0083775C">
            <w:pPr>
              <w:pStyle w:val="P68B1DB1-TableParagraph40"/>
              <w:spacing w:before="108"/>
              <w:ind w:left="85"/>
              <w:jc w:val="both"/>
              <w:rPr>
                <w:b/>
                <w:bCs/>
                <w:i/>
                <w:iCs/>
              </w:rPr>
            </w:pPr>
            <w:r>
              <w:t xml:space="preserve">Produkta veids, uz kuru attiecas tīrvērtes līgums. Ziņo atbilstošā detalizācijas līmenī, kas vajadzīgs aizstājamības analīzei. </w:t>
            </w:r>
          </w:p>
        </w:tc>
      </w:tr>
      <w:tr w:rsidR="00952395"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952395" w:rsidRDefault="0083775C">
            <w:pPr>
              <w:pStyle w:val="P68B1DB1-Normal31"/>
            </w:pPr>
            <w:r>
              <w:lastRenderedPageBreak/>
              <w:t>0030</w:t>
            </w:r>
          </w:p>
        </w:tc>
        <w:tc>
          <w:tcPr>
            <w:tcW w:w="7713" w:type="dxa"/>
            <w:tcBorders>
              <w:top w:val="single" w:sz="8" w:space="0" w:color="auto"/>
              <w:left w:val="single" w:sz="8" w:space="0" w:color="auto"/>
              <w:bottom w:val="single" w:sz="8" w:space="0" w:color="auto"/>
            </w:tcBorders>
            <w:vAlign w:val="bottom"/>
          </w:tcPr>
          <w:p w14:paraId="7FE1CBFB" w14:textId="77777777" w:rsidR="00952395" w:rsidRDefault="0083775C">
            <w:pPr>
              <w:pStyle w:val="P68B1DB1-TableParagraph73"/>
              <w:spacing w:before="108"/>
              <w:ind w:left="85"/>
              <w:jc w:val="both"/>
            </w:pPr>
            <w:r>
              <w:t>Pārliecināms/Nē</w:t>
            </w:r>
          </w:p>
          <w:p w14:paraId="7FE1CBFC" w14:textId="24D3331D" w:rsidR="00952395" w:rsidRDefault="0083775C">
            <w:pPr>
              <w:pStyle w:val="P68B1DB1-TableParagraph40"/>
              <w:spacing w:before="108"/>
              <w:ind w:left="85"/>
              <w:jc w:val="both"/>
            </w:pPr>
            <w:r>
              <w:t>Lietotāja spēja aizstāt tīrvērtes pakalpojumu sniedzēju Z 09.01 0020. slejā ar alternatīvu FTI/starpnieku, ar kuru tam pārskata datumā ir līgumattiecības. .</w:t>
            </w:r>
          </w:p>
          <w:p w14:paraId="7FE1CBFE" w14:textId="1F022B26" w:rsidR="00952395" w:rsidRDefault="0083775C">
            <w:pPr>
              <w:pStyle w:val="P68B1DB1-TableParagraph40"/>
              <w:numPr>
                <w:ilvl w:val="0"/>
                <w:numId w:val="256"/>
              </w:numPr>
              <w:spacing w:before="108"/>
              <w:jc w:val="both"/>
            </w:pPr>
            <w:r>
              <w:t>“Jā”, ja aizstāšana ir iespējama</w:t>
            </w:r>
          </w:p>
          <w:p w14:paraId="7FE1CBFF" w14:textId="719E31EA" w:rsidR="00952395" w:rsidRDefault="0083775C">
            <w:pPr>
              <w:pStyle w:val="P68B1DB1-TableParagraph40"/>
              <w:numPr>
                <w:ilvl w:val="0"/>
                <w:numId w:val="256"/>
              </w:numPr>
              <w:spacing w:before="108"/>
              <w:jc w:val="both"/>
            </w:pPr>
            <w:r>
              <w:t>“Nē”, ja aizstāšana nav iespējama</w:t>
            </w:r>
          </w:p>
          <w:p w14:paraId="7FE1CC02" w14:textId="77777777" w:rsidR="00952395" w:rsidRDefault="00952395">
            <w:pPr>
              <w:pStyle w:val="TableParagraph"/>
              <w:spacing w:before="108"/>
              <w:jc w:val="both"/>
              <w:rPr>
                <w:rFonts w:ascii="Times New Roman" w:eastAsia="Times New Roman" w:hAnsi="Times New Roman" w:cs="Times New Roman"/>
                <w:b/>
                <w:sz w:val="20"/>
                <w:szCs w:val="20"/>
              </w:rPr>
            </w:pPr>
          </w:p>
        </w:tc>
      </w:tr>
      <w:tr w:rsidR="00952395"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952395" w:rsidRDefault="0083775C">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952395" w:rsidRDefault="0083775C">
            <w:pPr>
              <w:pStyle w:val="P68B1DB1-TableParagraph73"/>
              <w:spacing w:before="108" w:after="120"/>
              <w:jc w:val="both"/>
              <w:rPr>
                <w:bCs/>
              </w:rPr>
            </w:pPr>
            <w:r>
              <w:t>Alternatīvais pakalpojumu sniedzējs</w:t>
            </w:r>
          </w:p>
          <w:p w14:paraId="7FE1CC06" w14:textId="77777777" w:rsidR="00952395" w:rsidRDefault="0083775C">
            <w:pPr>
              <w:pStyle w:val="P68B1DB1-Normal31"/>
              <w:spacing w:line="276" w:lineRule="auto"/>
              <w:jc w:val="both"/>
            </w:pPr>
            <w:r>
              <w:t xml:space="preserve">FMI/starpnieka nosaukums, kas identificēts kā potenciālais aizstājējs. </w:t>
            </w:r>
          </w:p>
          <w:p w14:paraId="7FE1CC07" w14:textId="2011DAFC" w:rsidR="00952395" w:rsidRDefault="0083775C">
            <w:pPr>
              <w:pStyle w:val="P68B1DB1-TableParagraph40"/>
              <w:spacing w:before="108"/>
              <w:ind w:left="85"/>
              <w:jc w:val="both"/>
              <w:rPr>
                <w:b/>
                <w:bCs/>
              </w:rPr>
            </w:pPr>
            <w:r>
              <w:t>Norāda tikai tad, ja Z 09.04 0030. sleja ir “jā”.</w:t>
            </w:r>
          </w:p>
        </w:tc>
      </w:tr>
      <w:tr w:rsidR="00952395"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952395" w:rsidRDefault="0083775C">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952395" w:rsidRDefault="0083775C">
            <w:pPr>
              <w:pStyle w:val="P68B1DB1-TableParagraph73"/>
              <w:spacing w:before="108"/>
              <w:jc w:val="both"/>
              <w:rPr>
                <w:bCs/>
              </w:rPr>
            </w:pPr>
            <w:r>
              <w:t>Alternatīvs identifikācijas pakalpojumu sniedzējs</w:t>
            </w:r>
          </w:p>
          <w:p w14:paraId="7FE1CC0B" w14:textId="680AAC78" w:rsidR="00952395" w:rsidRDefault="0083775C">
            <w:pPr>
              <w:pStyle w:val="P68B1DB1-Normal31"/>
              <w:spacing w:after="120" w:line="276" w:lineRule="auto"/>
              <w:jc w:val="both"/>
              <w:rPr>
                <w:b/>
                <w:bCs/>
              </w:rPr>
            </w:pPr>
            <w:r>
              <w:t>Unikāls identifikators, kas apzīmē alternatīvā pakalpojumu sniedzēja lietotāja, FTI, sistēmas tipa un starpnieka kombināciju, ar kuru lietotājam ir nodibinātas līgumattiecības, kā norādīts Z 09.01 0010. slejā.</w:t>
            </w:r>
            <w:r>
              <w:rPr>
                <w:b/>
              </w:rPr>
              <w:t xml:space="preserve"> </w:t>
            </w:r>
          </w:p>
          <w:p w14:paraId="7FE1CC0C" w14:textId="7C8756E6" w:rsidR="00952395" w:rsidRDefault="0083775C">
            <w:pPr>
              <w:pStyle w:val="P68B1DB1-TableParagraph40"/>
              <w:spacing w:before="108"/>
              <w:ind w:left="85"/>
              <w:jc w:val="both"/>
              <w:rPr>
                <w:b/>
                <w:bCs/>
              </w:rPr>
            </w:pPr>
            <w:r>
              <w:t>Norāda tikai tad, ja Z 09.04 0030. sleja ir “jā”.</w:t>
            </w:r>
          </w:p>
        </w:tc>
      </w:tr>
    </w:tbl>
    <w:p w14:paraId="7FE1CECA" w14:textId="77777777" w:rsidR="00952395" w:rsidRDefault="00952395">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952395" w:rsidRDefault="00952395">
      <w:pPr>
        <w:pStyle w:val="Instructionsberschrift2"/>
        <w:ind w:left="357"/>
        <w:rPr>
          <w:rFonts w:ascii="Times New Roman" w:eastAsia="Calibri" w:hAnsi="Times New Roman" w:cs="Times New Roman"/>
          <w:szCs w:val="20"/>
        </w:rPr>
      </w:pPr>
    </w:p>
    <w:p w14:paraId="7FE1CF07" w14:textId="77777777" w:rsidR="00952395" w:rsidRDefault="0083775C">
      <w:pPr>
        <w:pStyle w:val="P68B1DB1-Instructionsberschrift284"/>
        <w:numPr>
          <w:ilvl w:val="1"/>
          <w:numId w:val="49"/>
        </w:numPr>
        <w:spacing w:before="0"/>
        <w:ind w:left="357" w:hanging="357"/>
      </w:pPr>
      <w:bookmarkStart w:id="241" w:name="_Toc208244975"/>
      <w:r>
        <w:t>Atbildības analīze</w:t>
      </w:r>
      <w:bookmarkEnd w:id="241"/>
    </w:p>
    <w:p w14:paraId="7FE1CF08" w14:textId="53CCE3BD" w:rsidR="00952395" w:rsidRDefault="0083775C">
      <w:pPr>
        <w:pStyle w:val="Instructionsberschrift2"/>
        <w:numPr>
          <w:ilvl w:val="1"/>
          <w:numId w:val="49"/>
        </w:numPr>
        <w:spacing w:before="0"/>
        <w:ind w:left="357" w:hanging="357"/>
        <w:rPr>
          <w:rFonts w:ascii="Times New Roman" w:hAnsi="Times New Roman" w:cs="Times New Roman"/>
        </w:rPr>
      </w:pPr>
      <w:bookmarkStart w:id="242" w:name="_Toc208244976"/>
      <w:r>
        <w:rPr>
          <w:rFonts w:ascii="Times New Roman" w:hAnsi="Times New Roman" w:cs="Times New Roman"/>
          <w:color w:val="000000" w:themeColor="text1"/>
        </w:rPr>
        <w:t>Z 11.00 Grupas iekšējās saistības</w:t>
      </w:r>
      <w:r>
        <w:rPr>
          <w:rFonts w:ascii="Times New Roman" w:eastAsia="Calibri" w:hAnsi="Times New Roman" w:cs="Times New Roman"/>
          <w:szCs w:val="20"/>
        </w:rPr>
        <w:t xml:space="preserve"> (LIAB-G-1)</w:t>
      </w:r>
      <w:bookmarkEnd w:id="242"/>
    </w:p>
    <w:p w14:paraId="7FE1CF0A" w14:textId="69A86E79" w:rsidR="00952395" w:rsidRDefault="0083775C">
      <w:pPr>
        <w:pStyle w:val="P68B1DB1-Numberedtitlelevel385"/>
      </w:pPr>
      <w:bookmarkStart w:id="243" w:name="_Toc81454213"/>
      <w:r>
        <w:t>Vispārīgas piezīmes</w:t>
      </w:r>
    </w:p>
    <w:p w14:paraId="7FE1CF0B" w14:textId="77777777" w:rsidR="00952395" w:rsidRDefault="0083775C">
      <w:pPr>
        <w:pStyle w:val="P68B1DB1-InstructionsText26"/>
        <w:numPr>
          <w:ilvl w:val="2"/>
          <w:numId w:val="209"/>
        </w:numPr>
        <w:spacing w:before="0"/>
        <w:ind w:left="1276"/>
        <w:rPr>
          <w:rFonts w:eastAsiaTheme="majorEastAsia"/>
        </w:rPr>
      </w:pPr>
      <w:r>
        <w:t>Šajā tabulā prasīta informācija par grupas iekšējām saistībām, kas aptver visu pašu kapitālu un saistības.</w:t>
      </w:r>
    </w:p>
    <w:p w14:paraId="7FE1CF0C" w14:textId="4049DE4D" w:rsidR="00952395" w:rsidRDefault="0083775C">
      <w:pPr>
        <w:pStyle w:val="P68B1DB1-InstructionsText26"/>
        <w:numPr>
          <w:ilvl w:val="2"/>
          <w:numId w:val="209"/>
        </w:numPr>
        <w:spacing w:before="0"/>
        <w:ind w:left="1276"/>
        <w:rPr>
          <w:rFonts w:eastAsiaTheme="majorEastAsia"/>
        </w:rPr>
      </w:pPr>
      <w:r>
        <w:t>Vienības, kas uzskatāmas par grupas iekšējiem uzņēmumiem, ir tās, kas — saskaņā ar Z02.00. slejas 0100. slejas definīciju — ietilpst galīgā mātesuzņēmuma grāmatvedības konsolidācijas tvērumā. Rezultātā šīs saistības neuzrāda detalizētajās Z 12.00–Z 17.00 cilnēs, izņemot Z 15.00 Atvasinātos instrumentus (sk. turpmāk).</w:t>
      </w:r>
    </w:p>
    <w:p w14:paraId="7FE1CF0D" w14:textId="170B6ABA" w:rsidR="00952395" w:rsidRDefault="0083775C">
      <w:pPr>
        <w:pStyle w:val="P68B1DB1-InstructionsText26"/>
        <w:numPr>
          <w:ilvl w:val="2"/>
          <w:numId w:val="209"/>
        </w:numPr>
        <w:spacing w:before="0"/>
        <w:ind w:left="1276"/>
        <w:rPr>
          <w:rFonts w:eastAsiaTheme="majorEastAsia"/>
        </w:rPr>
      </w:pPr>
      <w:r>
        <w:t>Atvasinātie instrumenti pēc būtības ir specifiski, un tos neuzrāda Z 11.00, bet vienmēr — Z 15.00.</w:t>
      </w:r>
    </w:p>
    <w:p w14:paraId="7FE1CF0E" w14:textId="18AE2C5B" w:rsidR="00952395" w:rsidRDefault="0083775C">
      <w:pPr>
        <w:pStyle w:val="P68B1DB1-InstructionsText26"/>
        <w:numPr>
          <w:ilvl w:val="2"/>
          <w:numId w:val="209"/>
        </w:numPr>
        <w:spacing w:before="0"/>
        <w:ind w:left="1276"/>
        <w:rPr>
          <w:rFonts w:eastAsiaTheme="majorEastAsia"/>
        </w:rPr>
      </w:pPr>
      <w:r>
        <w:t>Visas saistības, kas emitētas vienībām grāmatvedības konsolidācijas tvērumā (tostarp īpašam nolūkam dibinātām sabiedrībām saskaņā ar konsolidācijas tvērumu) gan noregulējuma grupā, gan ārpus tās, uzrāda veidnē Z 11.00. Šīs tabulas vajadzībām saistības uzrāda pa darījumiem, t. i., katru darījumu uzrāda kā atsevišķu rindas posteni. Tomēr darījumi jāuzrāda vairākās rindās, ja tie attiecas uz dažādām maksātnespējas pakāpēm.</w:t>
      </w:r>
    </w:p>
    <w:p w14:paraId="7FE1CF0F" w14:textId="77777777" w:rsidR="00952395" w:rsidRDefault="0083775C">
      <w:pPr>
        <w:pStyle w:val="P68B1DB1-Numberedtitlelevel372"/>
      </w:pPr>
      <w:r>
        <w:t>Norādījumi attiecībā uz konkrētām pozīcijām</w:t>
      </w:r>
    </w:p>
    <w:tbl>
      <w:tblPr>
        <w:tblW w:w="0" w:type="auto"/>
        <w:tblLook w:val="01E0" w:firstRow="1" w:lastRow="1" w:firstColumn="1" w:lastColumn="1" w:noHBand="0" w:noVBand="0"/>
      </w:tblPr>
      <w:tblGrid>
        <w:gridCol w:w="1244"/>
        <w:gridCol w:w="7717"/>
        <w:gridCol w:w="65"/>
      </w:tblGrid>
      <w:tr w:rsidR="00952395"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952395" w:rsidRDefault="0083775C">
            <w:pPr>
              <w:pStyle w:val="P68B1DB1-TableParagraph17"/>
              <w:spacing w:before="108"/>
              <w:ind w:left="85"/>
            </w:pPr>
            <w:r>
              <w:t xml:space="preserve">Slejas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952395" w:rsidRDefault="0083775C">
            <w:pPr>
              <w:pStyle w:val="P68B1DB1-TableParagraph17"/>
              <w:spacing w:before="108"/>
              <w:ind w:left="85" w:right="1"/>
            </w:pPr>
            <w:r>
              <w:t>Norādījumi</w:t>
            </w:r>
          </w:p>
        </w:tc>
      </w:tr>
      <w:tr w:rsidR="00952395"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952395" w:rsidRDefault="0083775C">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952395" w:rsidRDefault="0083775C">
            <w:pPr>
              <w:pStyle w:val="P68B1DB1-TableParagraph40"/>
              <w:spacing w:before="108"/>
              <w:ind w:left="85"/>
              <w:jc w:val="both"/>
              <w:rPr>
                <w:b/>
                <w:bCs/>
              </w:rPr>
            </w:pPr>
            <w:r>
              <w:t xml:space="preserve"> </w:t>
            </w:r>
            <w:r>
              <w:rPr>
                <w:b/>
              </w:rPr>
              <w:t>NR.</w:t>
            </w:r>
          </w:p>
          <w:p w14:paraId="7FE1CF17" w14:textId="77777777" w:rsidR="00952395" w:rsidRDefault="0083775C">
            <w:pPr>
              <w:pStyle w:val="P68B1DB1-TableParagraph40"/>
              <w:spacing w:before="108"/>
              <w:ind w:left="85"/>
              <w:jc w:val="both"/>
            </w:pPr>
            <w:r>
              <w:t xml:space="preserve">Unikāls numurs/primārā atslēga rindas vienību identificēšanai. </w:t>
            </w:r>
          </w:p>
        </w:tc>
      </w:tr>
      <w:tr w:rsidR="00952395"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952395" w:rsidRDefault="0083775C">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952395" w:rsidRDefault="0083775C">
            <w:pPr>
              <w:pStyle w:val="P68B1DB1-TableParagraph40"/>
              <w:spacing w:before="108"/>
              <w:ind w:left="85"/>
              <w:jc w:val="both"/>
              <w:rPr>
                <w:b/>
                <w:bCs/>
              </w:rPr>
            </w:pPr>
            <w:r>
              <w:t xml:space="preserve"> </w:t>
            </w:r>
            <w:r>
              <w:rPr>
                <w:b/>
              </w:rPr>
              <w:t>Rinda</w:t>
            </w:r>
          </w:p>
          <w:p w14:paraId="7FE1CF1B" w14:textId="474C4148" w:rsidR="00952395" w:rsidRDefault="0083775C">
            <w:pPr>
              <w:pStyle w:val="P68B1DB1-TableParagraph40"/>
              <w:spacing w:before="108"/>
              <w:ind w:left="85"/>
              <w:jc w:val="both"/>
            </w:pPr>
            <w:r>
              <w:t>Attiecībā uz katru instrumentu ir jānodrošina saskaņošana ar saistību struktūras saistību kategorijām Z02.00 no iepriekš noteikta vērtību saraksta.</w:t>
            </w:r>
          </w:p>
        </w:tc>
      </w:tr>
      <w:tr w:rsidR="00952395"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952395" w:rsidRDefault="0083775C">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952395" w:rsidRDefault="0083775C">
            <w:pPr>
              <w:pStyle w:val="P68B1DB1-TableParagraph73"/>
              <w:spacing w:before="108"/>
              <w:ind w:left="85"/>
              <w:jc w:val="both"/>
              <w:rPr>
                <w:bCs/>
              </w:rPr>
            </w:pPr>
            <w:r>
              <w:t xml:space="preserve">Sleja </w:t>
            </w:r>
          </w:p>
          <w:p w14:paraId="7FE1CF1F" w14:textId="77777777" w:rsidR="00952395" w:rsidRDefault="0083775C">
            <w:pPr>
              <w:pStyle w:val="P68B1DB1-TableParagraph40"/>
              <w:spacing w:before="108"/>
              <w:ind w:left="85"/>
              <w:jc w:val="both"/>
            </w:pPr>
            <w:r>
              <w:lastRenderedPageBreak/>
              <w:t>Attiecībā uz katru instrumentu no iepriekš noteikta vērtību saraksta ir jānodrošina saskaņošana ar darījuma partnera kategoriju Z02.00, uz kuru attiecas saistības.</w:t>
            </w:r>
          </w:p>
        </w:tc>
      </w:tr>
      <w:tr w:rsidR="00952395"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952395" w:rsidRDefault="0083775C">
            <w:pPr>
              <w:pStyle w:val="P68B1DB1-Normal31"/>
            </w:pPr>
            <w:r>
              <w:lastRenderedPageBreak/>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952395" w:rsidRDefault="0083775C">
            <w:pPr>
              <w:pStyle w:val="P68B1DB1-TableParagraph73"/>
              <w:spacing w:before="108"/>
              <w:ind w:left="85"/>
              <w:jc w:val="both"/>
              <w:rPr>
                <w:bCs/>
              </w:rPr>
            </w:pPr>
            <w:r>
              <w:t>Maksātnespējas pakāpe</w:t>
            </w:r>
          </w:p>
          <w:p w14:paraId="7FE1CF23" w14:textId="396478FE" w:rsidR="00952395" w:rsidRDefault="0083775C">
            <w:pPr>
              <w:pStyle w:val="P68B1DB1-TableParagraph40"/>
              <w:spacing w:before="108"/>
              <w:ind w:left="85"/>
              <w:jc w:val="both"/>
            </w:pPr>
            <w:r>
              <w:t>Maksātnespējas pakāpe ir viena no pakāpēm, kas iekļautas minētās jurisdikcijas noregulējuma iestādes publicētajā pakāpju noteikšanā maksātnespējas procedūrā.</w:t>
            </w:r>
          </w:p>
        </w:tc>
      </w:tr>
      <w:tr w:rsidR="00952395"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952395" w:rsidRDefault="0083775C">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952395" w:rsidRDefault="0083775C">
            <w:pPr>
              <w:pStyle w:val="P68B1DB1-TableParagraph73"/>
              <w:spacing w:before="108"/>
              <w:ind w:left="85"/>
              <w:jc w:val="both"/>
              <w:rPr>
                <w:bCs/>
              </w:rPr>
            </w:pPr>
            <w:r>
              <w:t>Līguma identifikators</w:t>
            </w:r>
          </w:p>
          <w:p w14:paraId="7FE1CF27" w14:textId="5E827C31" w:rsidR="00952395" w:rsidRDefault="0083775C">
            <w:pPr>
              <w:pStyle w:val="P68B1DB1-TableParagraph40"/>
              <w:spacing w:before="108"/>
              <w:ind w:left="85"/>
              <w:jc w:val="both"/>
            </w:pPr>
            <w:r>
              <w:t>Uzrāda instrumenta ISIN vai, ja ISIN nav pieejams, citu līguma identifikatoru.</w:t>
            </w:r>
          </w:p>
        </w:tc>
      </w:tr>
      <w:tr w:rsidR="00952395"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952395" w:rsidRDefault="0083775C">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952395" w:rsidRDefault="0083775C">
            <w:pPr>
              <w:pStyle w:val="P68B1DB1-TableParagraph73"/>
              <w:spacing w:before="108"/>
              <w:ind w:left="85"/>
              <w:jc w:val="both"/>
              <w:rPr>
                <w:bCs/>
              </w:rPr>
            </w:pPr>
            <w:r>
              <w:t>Darījuma partnera nosaukums</w:t>
            </w:r>
          </w:p>
          <w:p w14:paraId="7FE1CF2B" w14:textId="28E31BB6" w:rsidR="00952395" w:rsidRDefault="0083775C">
            <w:pPr>
              <w:pStyle w:val="P68B1DB1-TableParagraph40"/>
              <w:spacing w:before="108"/>
              <w:ind w:left="85"/>
              <w:jc w:val="both"/>
            </w:pPr>
            <w:r>
              <w:t>Saistību darījuma partnera uzņēmuma nosaukums.</w:t>
            </w:r>
          </w:p>
        </w:tc>
      </w:tr>
      <w:tr w:rsidR="00952395"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952395" w:rsidRDefault="0083775C">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952395" w:rsidRDefault="0083775C">
            <w:pPr>
              <w:pStyle w:val="P68B1DB1-TableParagraph73"/>
              <w:spacing w:before="108"/>
              <w:ind w:left="85"/>
              <w:jc w:val="both"/>
              <w:rPr>
                <w:bCs/>
              </w:rPr>
            </w:pPr>
            <w:r>
              <w:t>Darījuma partnera identifikators</w:t>
            </w:r>
          </w:p>
          <w:p w14:paraId="7FE1CF2F" w14:textId="5864B2BC" w:rsidR="00952395" w:rsidRDefault="0083775C">
            <w:pPr>
              <w:pStyle w:val="P68B1DB1-TableParagraph40"/>
              <w:spacing w:before="108"/>
              <w:ind w:left="85"/>
              <w:jc w:val="both"/>
            </w:pPr>
            <w:r>
              <w:t>Darījuma partnera unikālais LEI kods. Ja LEI nav, ECB monetārās finanšu iestādes unikālais identifikators (MFI ID), ko paredzēts izmantot emitētajā RIAD. Ja nav abu šādu identifikatoru, var izmantot iekšējo identifikatoru.</w:t>
            </w:r>
          </w:p>
          <w:p w14:paraId="7FE1CF30" w14:textId="585107E3" w:rsidR="00952395" w:rsidRDefault="00952395">
            <w:pPr>
              <w:pStyle w:val="TableParagraph"/>
              <w:spacing w:before="108"/>
              <w:ind w:left="85"/>
              <w:jc w:val="both"/>
              <w:rPr>
                <w:rFonts w:ascii="Times New Roman" w:eastAsia="Times New Roman" w:hAnsi="Times New Roman" w:cs="Times New Roman"/>
                <w:sz w:val="20"/>
                <w:szCs w:val="20"/>
              </w:rPr>
            </w:pPr>
          </w:p>
        </w:tc>
      </w:tr>
      <w:tr w:rsidR="00952395"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952395" w:rsidRDefault="0083775C">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952395" w:rsidRDefault="0083775C">
            <w:pPr>
              <w:pStyle w:val="P68B1DB1-TableParagraph73"/>
              <w:spacing w:before="108"/>
              <w:ind w:left="85"/>
              <w:jc w:val="both"/>
              <w:rPr>
                <w:bCs/>
              </w:rPr>
            </w:pPr>
            <w:r>
              <w:t>Identifikatora veids</w:t>
            </w:r>
          </w:p>
          <w:p w14:paraId="7FE1CF34" w14:textId="77777777" w:rsidR="00952395" w:rsidRDefault="0083775C">
            <w:pPr>
              <w:pStyle w:val="P68B1DB1-TableParagraph40"/>
              <w:spacing w:before="108"/>
              <w:ind w:left="85"/>
              <w:jc w:val="both"/>
            </w:pPr>
            <w:r>
              <w:t>Jāizvēlas no šādām iespējām: “LEI kods”, “MFI kods” vai “Identifikatora veids, kas nav LEI vai MFI kods”.</w:t>
            </w:r>
          </w:p>
        </w:tc>
      </w:tr>
      <w:tr w:rsidR="00952395"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952395" w:rsidRDefault="0083775C">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952395" w:rsidRDefault="0083775C">
            <w:pPr>
              <w:pStyle w:val="P68B1DB1-TableParagraph73"/>
              <w:spacing w:before="108"/>
              <w:ind w:left="85"/>
              <w:jc w:val="both"/>
              <w:rPr>
                <w:bCs/>
              </w:rPr>
            </w:pPr>
            <w:r>
              <w:t>Attiecības ar darījuma partneri</w:t>
            </w:r>
          </w:p>
          <w:p w14:paraId="7FE1CF38" w14:textId="1D86F34C" w:rsidR="00952395" w:rsidRDefault="0083775C">
            <w:pPr>
              <w:pStyle w:val="P68B1DB1-TableParagraph40"/>
              <w:spacing w:before="108"/>
              <w:ind w:left="85"/>
              <w:jc w:val="both"/>
            </w:pPr>
            <w:r>
              <w:t>Šajā laukā norāda aizdevējas sabiedrības un pārskatu sniedzējas iestādes saistību. Šajā laukā ir paredzēts vērtību saraksts: darījuma partneris var būt vai nu “tiešais vai netiešais mātesuzņēmums”, “tiešais vai netiešais meitasuzņēmums”, vai arī “Sister”.</w:t>
            </w:r>
          </w:p>
        </w:tc>
      </w:tr>
      <w:tr w:rsidR="00952395"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952395" w:rsidRDefault="0083775C">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952395" w:rsidRDefault="0083775C">
            <w:pPr>
              <w:pStyle w:val="P68B1DB1-TableParagraph73"/>
              <w:spacing w:before="108"/>
              <w:ind w:left="85"/>
              <w:jc w:val="both"/>
              <w:rPr>
                <w:bCs/>
              </w:rPr>
            </w:pPr>
            <w:r>
              <w:t>Atbildības veids</w:t>
            </w:r>
          </w:p>
          <w:p w14:paraId="7FE1CF3C" w14:textId="07B04D08" w:rsidR="00952395" w:rsidRDefault="0083775C">
            <w:pPr>
              <w:pStyle w:val="P68B1DB1-TableParagraph40"/>
              <w:spacing w:before="108"/>
              <w:ind w:left="85"/>
              <w:jc w:val="both"/>
            </w:pPr>
            <w:r>
              <w:t>Attiecībā uz saistībām, kas Z02.00–c0020-rindā uzrādītas kā “r0210 — Saistības pret citām noregulējuma grupas vienībām”, norāda saistību veidu, kā tas būtu uzrādīts Z02.00, ja saistības netiktu uzskatītas par izslēgtām.</w:t>
            </w:r>
          </w:p>
        </w:tc>
      </w:tr>
      <w:tr w:rsidR="00952395"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952395" w:rsidRDefault="0083775C">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952395" w:rsidRDefault="0083775C">
            <w:pPr>
              <w:pStyle w:val="P68B1DB1-TableParagraph73"/>
              <w:spacing w:before="108"/>
              <w:ind w:left="85"/>
              <w:jc w:val="both"/>
              <w:rPr>
                <w:bCs/>
              </w:rPr>
            </w:pPr>
            <w:r>
              <w:t>Piemērojamie tiesību akti</w:t>
            </w:r>
          </w:p>
          <w:p w14:paraId="7FE1CF40" w14:textId="2C49BDFC" w:rsidR="00952395" w:rsidRDefault="0083775C">
            <w:pPr>
              <w:pStyle w:val="P68B1DB1-TableParagraph40"/>
              <w:spacing w:before="108"/>
              <w:ind w:left="85"/>
              <w:jc w:val="both"/>
            </w:pPr>
            <w:r>
              <w:t xml:space="preserve">Tās valsts ISO 3166–1 alpha-2 kods, kuras tiesību akti reglamentē instrumentu (izmanto ISO 3166–2 kodu, ja attiecas administratīvā apakšiedalījuma tiesību akti, piemēram, “US-NY”). Ja līgumu reglamentē vairāk nekā vienas valsts tiesību akti, ziņo par valsti, kuras tiesību aktiem ir vislielākā nozīme norakstīšanas un konvertācijas pilnvaru atzīšanā.  </w:t>
            </w:r>
          </w:p>
        </w:tc>
      </w:tr>
      <w:tr w:rsidR="00952395"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952395" w:rsidRDefault="0083775C">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952395" w:rsidRDefault="0083775C">
            <w:pPr>
              <w:pStyle w:val="P68B1DB1-TableParagraph73"/>
              <w:spacing w:before="108"/>
              <w:ind w:left="85"/>
              <w:jc w:val="both"/>
              <w:rPr>
                <w:bCs/>
              </w:rPr>
            </w:pPr>
            <w:r>
              <w:t xml:space="preserve">Trešās valsts tiesību aktu gadījumā — līgumiska atzīšana </w:t>
            </w:r>
          </w:p>
          <w:p w14:paraId="7FE1CF45" w14:textId="77777777" w:rsidR="00952395" w:rsidRDefault="0083775C">
            <w:pPr>
              <w:pStyle w:val="P68B1DB1-TableParagraph40"/>
              <w:spacing w:before="108"/>
              <w:ind w:left="85"/>
              <w:jc w:val="both"/>
            </w:pPr>
            <w:r>
              <w:t xml:space="preserve">Līguma noteikumu noteikšana iekšējās rekapitalizācijas pilnvaru atzīšanai saskaņā ar BAND 55. pantu vai nu </w:t>
            </w:r>
          </w:p>
          <w:p w14:paraId="7FE1CF46" w14:textId="77777777" w:rsidR="00952395" w:rsidRDefault="0083775C">
            <w:pPr>
              <w:pStyle w:val="P68B1DB1-TableParagraph40"/>
              <w:spacing w:before="108"/>
              <w:ind w:left="85"/>
              <w:jc w:val="both"/>
            </w:pPr>
            <w:r>
              <w:t>“Jā, ko pamato juridiskais atzinums” = saistības ietver iekšējās rekapitalizācijas atzīšanas klauzulu saskaņā ar BAND 55. pantu, ko pamato juridisks atzinums;</w:t>
            </w:r>
          </w:p>
          <w:p w14:paraId="7FE1CF47" w14:textId="77777777" w:rsidR="00952395" w:rsidRDefault="0083775C">
            <w:pPr>
              <w:pStyle w:val="P68B1DB1-TableParagraph40"/>
              <w:spacing w:before="108"/>
              <w:ind w:left="85"/>
              <w:jc w:val="both"/>
            </w:pPr>
            <w:r>
              <w:t>“Jā, ko neatbalsta juridiskais atzinums” = saistības ietver iekšējās rekapitalizācijas atzīšanas klauzulu saskaņā ar BAND 55. pantu, kas pašlaik nav pamatota ar juridisku atzinumu;</w:t>
            </w:r>
          </w:p>
          <w:p w14:paraId="7FE1CF48" w14:textId="7427A49E" w:rsidR="00952395" w:rsidRDefault="0083775C">
            <w:pPr>
              <w:pStyle w:val="P68B1DB1-TableParagraph40"/>
              <w:spacing w:before="108"/>
              <w:ind w:left="85"/>
              <w:jc w:val="both"/>
            </w:pPr>
            <w:r>
              <w:t>“Nē” = saistībās nav iekļauta iekšējās rekapitalizācijas atzīšanas klauzula;</w:t>
            </w:r>
          </w:p>
          <w:p w14:paraId="7FE1CF49" w14:textId="2FE33A69" w:rsidR="00952395" w:rsidRDefault="0083775C">
            <w:pPr>
              <w:pStyle w:val="P68B1DB1-TableParagraph40"/>
              <w:spacing w:before="108"/>
              <w:ind w:left="85"/>
              <w:jc w:val="both"/>
            </w:pPr>
            <w:r>
              <w:t>“Nepiemēro”.  no iepriekš noteikta saraksta.</w:t>
            </w:r>
          </w:p>
        </w:tc>
      </w:tr>
      <w:tr w:rsidR="00952395" w14:paraId="7FE1CF4E" w14:textId="77777777">
        <w:tc>
          <w:tcPr>
            <w:tcW w:w="1244" w:type="dxa"/>
            <w:vAlign w:val="center"/>
          </w:tcPr>
          <w:p w14:paraId="7FE1CF4B" w14:textId="77777777" w:rsidR="00952395" w:rsidRDefault="0083775C">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952395" w:rsidRDefault="0083775C">
            <w:pPr>
              <w:pStyle w:val="P68B1DB1-TableParagraph73"/>
              <w:spacing w:before="108"/>
              <w:ind w:left="85"/>
              <w:jc w:val="both"/>
              <w:rPr>
                <w:bCs/>
              </w:rPr>
            </w:pPr>
            <w:r>
              <w:t xml:space="preserve">Nenomaksātā pamatsumma </w:t>
            </w:r>
          </w:p>
          <w:p w14:paraId="7FE1CF4D" w14:textId="1F7D6035" w:rsidR="00952395" w:rsidRDefault="0083775C">
            <w:pPr>
              <w:pStyle w:val="P68B1DB1-TableParagraph40"/>
              <w:spacing w:before="108"/>
              <w:ind w:left="85"/>
              <w:jc w:val="both"/>
            </w:pPr>
            <w:r>
              <w:t>Saistību nenomaksātā pamatsumma.</w:t>
            </w:r>
          </w:p>
        </w:tc>
      </w:tr>
      <w:tr w:rsidR="00952395"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952395" w:rsidRDefault="0083775C">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952395" w:rsidRDefault="0083775C">
            <w:pPr>
              <w:pStyle w:val="P68B1DB1-TableParagraph73"/>
              <w:spacing w:before="108"/>
              <w:ind w:left="85"/>
              <w:jc w:val="both"/>
              <w:rPr>
                <w:bCs/>
              </w:rPr>
            </w:pPr>
            <w:r>
              <w:t>Uzkrātie procenti</w:t>
            </w:r>
          </w:p>
          <w:p w14:paraId="7FE1CF51" w14:textId="6BF1C45C" w:rsidR="00952395" w:rsidRDefault="0083775C">
            <w:pPr>
              <w:pStyle w:val="P68B1DB1-TableParagraph40"/>
              <w:spacing w:before="108"/>
              <w:ind w:left="85"/>
              <w:jc w:val="both"/>
            </w:pPr>
            <w:r>
              <w:t>Nesamaksātie uzkrātie procenti par saistībām.</w:t>
            </w:r>
          </w:p>
        </w:tc>
      </w:tr>
      <w:tr w:rsidR="00952395"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952395" w:rsidRDefault="0083775C">
            <w:pPr>
              <w:pStyle w:val="P68B1DB1-Normal31"/>
            </w:pPr>
            <w:r>
              <w:lastRenderedPageBreak/>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952395" w:rsidRDefault="0083775C">
            <w:pPr>
              <w:pStyle w:val="P68B1DB1-TableParagraph73"/>
              <w:spacing w:before="108"/>
              <w:ind w:left="85"/>
              <w:jc w:val="both"/>
              <w:rPr>
                <w:bCs/>
              </w:rPr>
            </w:pPr>
            <w:r>
              <w:t>Valūta</w:t>
            </w:r>
          </w:p>
          <w:p w14:paraId="7FE1CF55" w14:textId="7419E4E6" w:rsidR="00952395" w:rsidRDefault="0083775C">
            <w:pPr>
              <w:pStyle w:val="P68B1DB1-TableParagraph40"/>
              <w:spacing w:before="108"/>
              <w:ind w:left="85"/>
              <w:jc w:val="both"/>
            </w:pPr>
            <w:r>
              <w:t>Saistību valūta saskaņā ar tās ISO 4217 trīsburtu kodu.</w:t>
            </w:r>
          </w:p>
        </w:tc>
      </w:tr>
      <w:tr w:rsidR="00952395"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952395" w:rsidRDefault="0083775C">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952395" w:rsidRDefault="0083775C">
            <w:pPr>
              <w:pStyle w:val="P68B1DB1-TableParagraph73"/>
              <w:spacing w:before="108"/>
              <w:ind w:left="85"/>
              <w:jc w:val="both"/>
              <w:rPr>
                <w:bCs/>
              </w:rPr>
            </w:pPr>
            <w:r>
              <w:t>Izdošanas datums</w:t>
            </w:r>
          </w:p>
          <w:p w14:paraId="7FE1CF59" w14:textId="77777777" w:rsidR="00952395" w:rsidRDefault="0083775C">
            <w:pPr>
              <w:pStyle w:val="P68B1DB1-TableParagraph40"/>
              <w:spacing w:before="108"/>
              <w:ind w:left="85"/>
              <w:jc w:val="both"/>
            </w:pPr>
            <w:r>
              <w:t>Saistību sākotnējās emisijas datums. Vērtspapīru finansēšanas darījumiem, uz kuriem attiecas savstarpējā ieskaita līgums un kurus uzrāda kā savstarpējo prasījumu ieskaita kopu, pārskata datumu var izmantot kā emisijas datumu.</w:t>
            </w:r>
          </w:p>
        </w:tc>
      </w:tr>
      <w:tr w:rsidR="00952395"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952395" w:rsidRDefault="0083775C">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952395" w:rsidRDefault="0083775C">
            <w:pPr>
              <w:pStyle w:val="P68B1DB1-TableParagraph73"/>
              <w:spacing w:before="108"/>
              <w:ind w:left="85"/>
              <w:jc w:val="both"/>
              <w:rPr>
                <w:bCs/>
              </w:rPr>
            </w:pPr>
            <w:r>
              <w:t>Agrākais atpirkšanas datums</w:t>
            </w:r>
          </w:p>
          <w:p w14:paraId="7FE1CF5D" w14:textId="206F36C8" w:rsidR="00952395" w:rsidRDefault="0083775C">
            <w:pPr>
              <w:pStyle w:val="P68B1DB1-TableParagraph40"/>
              <w:spacing w:before="108"/>
              <w:ind w:left="85"/>
              <w:jc w:val="both"/>
            </w:pPr>
            <w:r>
              <w:t>Ja kreditoram ir iespēja pieprasīt pirmstermiņa atmaksu vai līgumā ir paredzēti nosacījumi saistību pirmstermiņa atmaksai, norāda agrāko notikuma datumu. Ja pirmstermiņa atmaksa attiecas tikai uz daļu no saistībām (piemēram, pirmstermiņa atmaksa 50 % apmērā no nominālvērtības), saistības sadala, lai ņemtu vērā šo daļējas pirmstermiņa dzēšanas klauzulu. Vērtspapīru finansēšanas darījumiem, uz kuriem attiecas savstarpējā ieskaita līgums un kuri uzrādīti kā savstarpējo prasījumu ieskaita kopa, izmanto dienu pē</w:t>
            </w:r>
            <w:r>
              <w:t>c pārskata datuma.</w:t>
            </w:r>
          </w:p>
        </w:tc>
      </w:tr>
      <w:tr w:rsidR="00952395"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952395" w:rsidRDefault="0083775C">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952395" w:rsidRDefault="0083775C">
            <w:pPr>
              <w:pStyle w:val="P68B1DB1-TableParagraph73"/>
              <w:spacing w:before="108"/>
              <w:ind w:left="85"/>
              <w:jc w:val="both"/>
              <w:rPr>
                <w:bCs/>
              </w:rPr>
            </w:pPr>
            <w:r>
              <w:t>Likumīgais termiņš</w:t>
            </w:r>
          </w:p>
          <w:p w14:paraId="7FE1CF61" w14:textId="6595476F" w:rsidR="00952395" w:rsidRDefault="0083775C">
            <w:pPr>
              <w:pStyle w:val="P68B1DB1-TableParagraph40"/>
              <w:spacing w:before="108"/>
              <w:ind w:left="85"/>
              <w:jc w:val="both"/>
            </w:pPr>
            <w:r>
              <w:t>Saistību juridiskā un galīgā termiņa datums. Beztermiņa instrumentiem izmanto “2099–01–31”.</w:t>
            </w:r>
          </w:p>
          <w:p w14:paraId="7FE1CF62" w14:textId="77777777" w:rsidR="00952395" w:rsidRDefault="0083775C">
            <w:pPr>
              <w:pStyle w:val="P68B1DB1-TableParagraph40"/>
              <w:spacing w:before="108"/>
              <w:ind w:left="85"/>
              <w:jc w:val="both"/>
            </w:pPr>
            <w:r>
              <w:t>Vērtspapīru finansēšanas darījumiem, uz kuriem attiecas savstarpējā ieskaita līgums un kuri uzrādīti kā savstarpējo prasījumu ieskaita kopa, izmanto dienu pēc pārskata datuma.</w:t>
            </w:r>
          </w:p>
        </w:tc>
      </w:tr>
      <w:tr w:rsidR="00952395"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952395" w:rsidRDefault="0083775C">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952395" w:rsidRDefault="0083775C">
            <w:pPr>
              <w:pStyle w:val="P68B1DB1-TableParagraph73"/>
              <w:spacing w:before="108"/>
              <w:ind w:left="85"/>
              <w:jc w:val="both"/>
              <w:rPr>
                <w:bCs/>
              </w:rPr>
            </w:pPr>
            <w:r>
              <w:t>Ķīlas, ķīlas vai nodrošinājuma summa</w:t>
            </w:r>
          </w:p>
          <w:p w14:paraId="7FE1CF66" w14:textId="77777777" w:rsidR="00952395" w:rsidRDefault="0083775C">
            <w:pPr>
              <w:pStyle w:val="P68B1DB1-TableParagraph40"/>
              <w:spacing w:before="108"/>
              <w:ind w:left="85"/>
              <w:jc w:val="both"/>
            </w:pPr>
            <w:r>
              <w:t>Ja saistības ir nodrošinātas ar ķīlu, ķīlu vai nodrošinājumu, norāda nodrošinājuma bruto vērtību. Pretējā gadījumā nenodrošinātām saistībām šo kategoriju uzrāda kā nulli. Šī summa noteiks nodrošināto un galu galā nenodrošināto saistību daļu. Nodrošinājuma portfeļiem, ar kuriem nodrošina vairākus rindas posteņus, nosaka kopējo seguma attiecību un piemēro proporcionāli visiem rindas posteņiem, uz kuriem attiecas šis portfelis.</w:t>
            </w:r>
          </w:p>
        </w:tc>
      </w:tr>
      <w:tr w:rsidR="00952395"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952395" w:rsidRDefault="0083775C">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952395" w:rsidRDefault="0083775C">
            <w:pPr>
              <w:pStyle w:val="P68B1DB1-TableParagraph73"/>
              <w:spacing w:before="108"/>
              <w:ind w:left="85"/>
              <w:jc w:val="both"/>
              <w:rPr>
                <w:bCs/>
              </w:rPr>
            </w:pPr>
            <w:r>
              <w:t>Galvotājs (attiecīgā gadījumā)</w:t>
            </w:r>
          </w:p>
          <w:p w14:paraId="7FE1CF6A" w14:textId="77777777" w:rsidR="00952395" w:rsidRDefault="0083775C">
            <w:pPr>
              <w:pStyle w:val="P68B1DB1-TableParagraph40"/>
              <w:spacing w:before="108"/>
              <w:ind w:left="85"/>
              <w:jc w:val="both"/>
            </w:pPr>
            <w:r>
              <w:t>Ja instrumentam ir sniegtas garantijas, norādiet garantijas devēja sīku identifikāciju (LEI kods, ISO 3166–1 alpha-2 valsts kods valdībai utt.). Ja ir vairāki galvotāji, ziņo par visiem identifikatoriem, kas atdalīti ar semikolu.</w:t>
            </w:r>
          </w:p>
        </w:tc>
      </w:tr>
      <w:tr w:rsidR="00952395"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952395" w:rsidRDefault="0083775C">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952395" w:rsidRDefault="0083775C">
            <w:pPr>
              <w:pStyle w:val="P68B1DB1-TableParagraph73"/>
              <w:spacing w:before="108"/>
              <w:ind w:left="85"/>
              <w:jc w:val="both"/>
              <w:rPr>
                <w:bCs/>
              </w:rPr>
            </w:pPr>
            <w:r>
              <w:t>Summa, kas atbilst MREL atbilstības nosacījumiem</w:t>
            </w:r>
          </w:p>
          <w:p w14:paraId="7FE1CF6F" w14:textId="4E658BD3" w:rsidR="00952395" w:rsidRDefault="0083775C">
            <w:pPr>
              <w:pStyle w:val="P68B1DB1-TableParagraph40"/>
              <w:spacing w:before="108"/>
              <w:ind w:left="85"/>
              <w:jc w:val="both"/>
            </w:pPr>
            <w:r>
              <w:t xml:space="preserve">Pašu kapitāla un atbilstīgo saistību summa, ko ieskaita prasībā, kura noteikta saskaņā ar Direktīvas 2014/59/ES 45. panta 1. punktu. </w:t>
            </w:r>
          </w:p>
        </w:tc>
      </w:tr>
      <w:tr w:rsidR="00952395"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952395" w:rsidRDefault="0083775C">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952395" w:rsidRDefault="0083775C">
            <w:pPr>
              <w:pStyle w:val="P68B1DB1-TableParagraph73"/>
              <w:spacing w:before="108"/>
              <w:ind w:left="85"/>
              <w:jc w:val="both"/>
              <w:rPr>
                <w:bCs/>
              </w:rPr>
            </w:pPr>
            <w:r>
              <w:t>Kvalificēšana par pašu kapitālu</w:t>
            </w:r>
          </w:p>
          <w:p w14:paraId="7FE1CF73" w14:textId="52056531" w:rsidR="00952395" w:rsidRDefault="0083775C">
            <w:pPr>
              <w:pStyle w:val="P68B1DB1-TableParagraph40"/>
              <w:spacing w:before="108"/>
              <w:ind w:left="85"/>
              <w:jc w:val="both"/>
            </w:pPr>
            <w:r>
              <w:t>Norādiet, vai un kādā līmenī instruments ir iekļauts pašu kapitālā, kā arī informāciju par pakāpeniskas pārtraukšanas režīmu un iepriekš spēkā esošo tiesību izmantošanas kārtību. No iepriekš noteikta saraksta vērtība var būt “Nē”, “daļēji AT1, T1 un T2”, “T2 tiek pakāpeniski izbeigts”, “T2, attiecībā uz kurām ir tiesības saglabāt iepriekš spēkā esošos nosacījumus”, “Fully Compliant T2”, “Pandfandfathered AT1”, “Fully Compliant AT1” vai “CET1”.</w:t>
            </w:r>
          </w:p>
          <w:p w14:paraId="7FE1CF74" w14:textId="77777777" w:rsidR="00952395" w:rsidRDefault="0083775C">
            <w:pPr>
              <w:pStyle w:val="P68B1DB1-TableParagraph40"/>
              <w:spacing w:before="108"/>
              <w:ind w:left="85"/>
              <w:jc w:val="both"/>
            </w:pPr>
            <w:r>
              <w:t>Iespēju līgumu sarakstā termins “pakāpeniska izņemšana no apgrozības” attiecas uz jebkura konkrēta otrā līmeņa kapitāla instrumenta piecu gadu periodu pirms termiņa beigām, kura laikā tiek veikta tikai proporcionāla atzīšana, pamatojoties uz atlikušo laiku līdz termiņa beigām. “Tiesības saglabāt iepriekš spēkā esošos nosacījumus” attiecas uz visiem pārejas pasākumiem, kas piemērojami T2 instrumentam, neietverot “pakāpenisko izņemšanu no apgrozības”. Šīs “priekšgājējas” laikā atzīšana var būt pilnīga vai daļ</w:t>
            </w:r>
            <w:r>
              <w:t>ēja.</w:t>
            </w:r>
          </w:p>
          <w:p w14:paraId="7FE1CF75" w14:textId="77777777" w:rsidR="00952395" w:rsidRDefault="00952395">
            <w:pPr>
              <w:pStyle w:val="TableParagraph"/>
              <w:spacing w:before="108"/>
              <w:ind w:left="85"/>
              <w:jc w:val="both"/>
              <w:rPr>
                <w:rFonts w:ascii="Times New Roman" w:eastAsia="Times New Roman" w:hAnsi="Times New Roman" w:cs="Times New Roman"/>
                <w:sz w:val="20"/>
                <w:szCs w:val="20"/>
              </w:rPr>
            </w:pPr>
          </w:p>
        </w:tc>
      </w:tr>
      <w:tr w:rsidR="00952395"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952395" w:rsidRDefault="0083775C">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952395" w:rsidRDefault="0083775C">
            <w:pPr>
              <w:pStyle w:val="P68B1DB1-TableParagraph73"/>
              <w:spacing w:before="108"/>
              <w:ind w:left="85"/>
              <w:jc w:val="both"/>
              <w:rPr>
                <w:bCs/>
              </w:rPr>
            </w:pPr>
            <w:r>
              <w:t>Summa, kas atbilst pašu kapitālam</w:t>
            </w:r>
          </w:p>
          <w:p w14:paraId="7FE1CF79" w14:textId="28EFFBCF" w:rsidR="00952395" w:rsidRDefault="0083775C">
            <w:pPr>
              <w:pStyle w:val="P68B1DB1-TableParagraph40"/>
              <w:spacing w:before="108"/>
              <w:ind w:left="85"/>
              <w:jc w:val="both"/>
            </w:pPr>
            <w:r>
              <w:t>Tāda instrumenta summa, kas kvalificējams kā pašu kapitāls.</w:t>
            </w:r>
          </w:p>
        </w:tc>
      </w:tr>
    </w:tbl>
    <w:p w14:paraId="7FE1CF7B" w14:textId="77777777" w:rsidR="00952395" w:rsidRDefault="00952395">
      <w:pPr>
        <w:pStyle w:val="Instructionsberschrift2"/>
        <w:ind w:left="357"/>
        <w:rPr>
          <w:rFonts w:ascii="Times New Roman" w:eastAsia="Calibri" w:hAnsi="Times New Roman" w:cs="Times New Roman"/>
          <w:szCs w:val="20"/>
        </w:rPr>
      </w:pPr>
    </w:p>
    <w:p w14:paraId="7FE1CF7C" w14:textId="78CE26C4" w:rsidR="00952395" w:rsidRDefault="0083775C">
      <w:pPr>
        <w:pStyle w:val="Instructionsberschrift2"/>
        <w:numPr>
          <w:ilvl w:val="1"/>
          <w:numId w:val="49"/>
        </w:numPr>
        <w:spacing w:before="0"/>
        <w:ind w:left="357" w:hanging="357"/>
        <w:rPr>
          <w:rFonts w:ascii="Times New Roman" w:hAnsi="Times New Roman" w:cs="Times New Roman"/>
        </w:rPr>
      </w:pPr>
      <w:bookmarkStart w:id="244" w:name="_Toc208244977"/>
      <w:r>
        <w:rPr>
          <w:rFonts w:ascii="Times New Roman" w:hAnsi="Times New Roman" w:cs="Times New Roman"/>
          <w:color w:val="000000" w:themeColor="text1"/>
        </w:rPr>
        <w:t xml:space="preserve">Z 12.00 — vērtspapīri </w:t>
      </w:r>
      <w:r>
        <w:rPr>
          <w:rFonts w:ascii="Times New Roman" w:eastAsia="Cambria" w:hAnsi="Times New Roman" w:cs="Times New Roman"/>
        </w:rPr>
        <w:t>(tostarp pirmā līmeņa pamata kapitāla, pirmā līmeņa papildu kapitāla un otrā līmeņa kapitāla instrumenti; izņemot grupas ietvaros)</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952395" w:rsidRDefault="0083775C">
      <w:pPr>
        <w:pStyle w:val="P68B1DB1-Numberedtitlelevel372"/>
      </w:pPr>
      <w:r>
        <w:t>Vispārīgas piezīmes</w:t>
      </w:r>
    </w:p>
    <w:p w14:paraId="7FE1CF7F" w14:textId="048C4053" w:rsidR="00952395" w:rsidRDefault="0083775C">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Vērtspapīrs ir aizstājams, apgrozāms finanšu instruments, kas atspoguļo finansiālu vērtību neatkarīgi no tā faktiskajām īpatnībām (piemēram, šie instrumenti ir nodrošināti vai nenodrošināti). Šajā tabulā iekļauj arī pašu kapitāla instrumentus</w:t>
      </w:r>
      <w:r>
        <w:rPr>
          <w:rStyle w:val="FootnoteReference"/>
          <w:rFonts w:eastAsia="Cambria" w:cs="Times New Roman"/>
        </w:rPr>
        <w:footnoteReference w:id="36"/>
      </w:r>
      <w:r>
        <w:rPr>
          <w:rFonts w:ascii="Times New Roman" w:eastAsia="Cambria" w:hAnsi="Times New Roman" w:cs="Times New Roman"/>
          <w:sz w:val="20"/>
          <w:szCs w:val="20"/>
        </w:rPr>
        <w:t>. Pirmā līmeņa pamata kapitāla instrumentu vajadzībām atlikušo prasību par akcijām attiecībā uz kopējo uzskaites pašu kapitālu (kā definēts Z 02.00–r0511) uzrāda instrumentu līmenī.</w:t>
      </w:r>
    </w:p>
    <w:p w14:paraId="7FE1CF81" w14:textId="262B713C" w:rsidR="00952395" w:rsidRDefault="0083775C">
      <w:pPr>
        <w:pStyle w:val="P68B1DB1-InstructionsText286"/>
        <w:numPr>
          <w:ilvl w:val="2"/>
          <w:numId w:val="209"/>
        </w:numPr>
        <w:spacing w:before="0"/>
        <w:ind w:left="1134"/>
      </w:pPr>
      <w:r>
        <w:t>Ja kreditora identifikators (0210. sleja) nav pieejams (piemēram, ja instrumenti tiek tirgoti platformās), katru rindu attiecībā uz šo lauku uzrāda apkopotā līmenī.</w:t>
      </w:r>
    </w:p>
    <w:p w14:paraId="7FE1CF83" w14:textId="77777777" w:rsidR="00952395" w:rsidRDefault="0083775C">
      <w:pPr>
        <w:pStyle w:val="P68B1DB1-InstructionsText286"/>
        <w:numPr>
          <w:ilvl w:val="2"/>
          <w:numId w:val="209"/>
        </w:numPr>
        <w:spacing w:before="0"/>
        <w:ind w:left="1134"/>
      </w:pPr>
      <w:r>
        <w:t>Šīs tabulas vajadzībām saistības uzrāda rindās granularitātes līmenī, ko nosaka pieprasītie lauki.</w:t>
      </w:r>
    </w:p>
    <w:p w14:paraId="7FE1CF86" w14:textId="77777777" w:rsidR="00952395" w:rsidRDefault="00952395">
      <w:pPr>
        <w:spacing w:line="276" w:lineRule="auto"/>
        <w:rPr>
          <w:rFonts w:ascii="Times New Roman" w:hAnsi="Times New Roman" w:cs="Times New Roman"/>
          <w:sz w:val="20"/>
          <w:szCs w:val="20"/>
        </w:rPr>
      </w:pPr>
    </w:p>
    <w:p w14:paraId="7FE1CF87" w14:textId="77777777" w:rsidR="00952395" w:rsidRDefault="0083775C">
      <w:pPr>
        <w:pStyle w:val="P68B1DB1-Numberedtitlelevel372"/>
      </w:pPr>
      <w:r>
        <w:t>Norādījumi attiecībā uz konkrētām pozīcijām</w:t>
      </w:r>
    </w:p>
    <w:p w14:paraId="7FE1CF88" w14:textId="77777777" w:rsidR="00952395" w:rsidRDefault="00952395">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952395"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952395" w:rsidRDefault="0083775C">
            <w:pPr>
              <w:pStyle w:val="P68B1DB1-TableParagraph17"/>
              <w:spacing w:before="108"/>
              <w:ind w:left="85"/>
            </w:pPr>
            <w:r>
              <w:t>Slejas</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952395" w:rsidRDefault="0083775C">
            <w:pPr>
              <w:pStyle w:val="P68B1DB1-TableParagraph17"/>
              <w:spacing w:before="108"/>
              <w:ind w:left="85" w:right="1"/>
            </w:pPr>
            <w:r>
              <w:t>Norādījumi</w:t>
            </w:r>
          </w:p>
        </w:tc>
      </w:tr>
      <w:tr w:rsidR="00952395"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952395" w:rsidRDefault="0083775C">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952395" w:rsidRDefault="0083775C">
            <w:pPr>
              <w:pStyle w:val="P68B1DB1-TableParagraph40"/>
              <w:spacing w:before="108"/>
              <w:ind w:left="85"/>
              <w:jc w:val="both"/>
              <w:rPr>
                <w:b/>
                <w:bCs/>
              </w:rPr>
            </w:pPr>
            <w:r>
              <w:t xml:space="preserve"> </w:t>
            </w:r>
            <w:r>
              <w:rPr>
                <w:b/>
              </w:rPr>
              <w:t>NR.</w:t>
            </w:r>
          </w:p>
          <w:p w14:paraId="7FE1CF8E" w14:textId="77777777" w:rsidR="00952395" w:rsidRDefault="0083775C">
            <w:pPr>
              <w:pStyle w:val="P68B1DB1-TableParagraph40"/>
              <w:spacing w:before="108"/>
              <w:ind w:left="85"/>
              <w:jc w:val="both"/>
            </w:pPr>
            <w:r>
              <w:t>Unikāls numurs/primārā atslēga rindas vienību identificēšanai.</w:t>
            </w:r>
          </w:p>
        </w:tc>
      </w:tr>
      <w:tr w:rsidR="00952395"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952395" w:rsidRDefault="0083775C">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952395" w:rsidRDefault="0083775C">
            <w:pPr>
              <w:pStyle w:val="P68B1DB1-TableParagraph73"/>
              <w:spacing w:before="108"/>
              <w:ind w:left="85"/>
              <w:jc w:val="both"/>
              <w:rPr>
                <w:bCs/>
              </w:rPr>
            </w:pPr>
            <w:r>
              <w:t>Rinda</w:t>
            </w:r>
          </w:p>
          <w:p w14:paraId="7FE1CF92" w14:textId="771261C9" w:rsidR="00952395" w:rsidRDefault="0083775C">
            <w:pPr>
              <w:pStyle w:val="P68B1DB1-TableParagraph40"/>
              <w:spacing w:before="108"/>
              <w:ind w:left="85"/>
              <w:jc w:val="both"/>
            </w:pPr>
            <w:r>
              <w:t>Attiecībā uz katru uzrādīto rindu ir jānodrošina saskaņošana ar saistību struktūras saistību kategorijām veidnē Z02.00 termiņa līmenī no iepriekš noteikta vērtību saraksta.</w:t>
            </w:r>
          </w:p>
        </w:tc>
      </w:tr>
      <w:tr w:rsidR="00952395"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952395" w:rsidRDefault="0083775C">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952395" w:rsidRDefault="0083775C">
            <w:pPr>
              <w:pStyle w:val="P68B1DB1-TableParagraph73"/>
              <w:spacing w:before="108"/>
              <w:ind w:left="85"/>
              <w:jc w:val="both"/>
              <w:rPr>
                <w:bCs/>
              </w:rPr>
            </w:pPr>
            <w:r>
              <w:t xml:space="preserve">Sleja </w:t>
            </w:r>
          </w:p>
          <w:p w14:paraId="7FE1CF96" w14:textId="68A01AA0" w:rsidR="00952395" w:rsidRDefault="0083775C">
            <w:pPr>
              <w:pStyle w:val="P68B1DB1-TableParagraph40"/>
              <w:spacing w:before="108"/>
              <w:ind w:left="85"/>
              <w:jc w:val="both"/>
            </w:pPr>
            <w:r>
              <w:t>Attiecībā uz katru uzrādīto rindu no iepriekš noteikta vērtību saraksta ir jāsniedz saskaņošana ar darījuma partnera kategoriju 02.00, uz kuru attiecas saistības.</w:t>
            </w:r>
          </w:p>
        </w:tc>
      </w:tr>
      <w:tr w:rsidR="00952395"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952395" w:rsidRDefault="0083775C">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952395" w:rsidRDefault="0083775C">
            <w:pPr>
              <w:pStyle w:val="P68B1DB1-TableParagraph40"/>
              <w:spacing w:before="108"/>
              <w:ind w:left="85"/>
              <w:jc w:val="both"/>
              <w:rPr>
                <w:b/>
                <w:bCs/>
              </w:rPr>
            </w:pPr>
            <w:r>
              <w:t xml:space="preserve"> </w:t>
            </w:r>
            <w:r>
              <w:rPr>
                <w:b/>
              </w:rPr>
              <w:t>Maksātnespējas pakāpe</w:t>
            </w:r>
          </w:p>
          <w:p w14:paraId="7FE1CF9A" w14:textId="33768518" w:rsidR="00952395" w:rsidRDefault="0083775C">
            <w:pPr>
              <w:pStyle w:val="P68B1DB1-TableParagraph40"/>
              <w:spacing w:before="108"/>
              <w:ind w:left="85"/>
              <w:jc w:val="both"/>
            </w:pPr>
            <w:r>
              <w:t xml:space="preserve">Maksātnespējas pakāpe ir viena no pakāpēm, kas iekļautas minētās jurisdikcijas noregulējuma iestādes publicētajā pakāpju noteikšanā maksātnespējas procedūrā. </w:t>
            </w:r>
          </w:p>
        </w:tc>
      </w:tr>
      <w:tr w:rsidR="00952395"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952395" w:rsidRDefault="0083775C">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952395" w:rsidRDefault="0083775C">
            <w:pPr>
              <w:pStyle w:val="P68B1DB1-TableParagraph73"/>
              <w:spacing w:before="108"/>
              <w:ind w:left="85"/>
              <w:jc w:val="both"/>
              <w:rPr>
                <w:bCs/>
              </w:rPr>
            </w:pPr>
            <w:r>
              <w:t>ISIN</w:t>
            </w:r>
          </w:p>
          <w:p w14:paraId="7FE1CF9E" w14:textId="02C8C7D3" w:rsidR="00952395" w:rsidRDefault="0083775C">
            <w:pPr>
              <w:pStyle w:val="P68B1DB1-TableParagraph40"/>
              <w:spacing w:before="108"/>
              <w:ind w:left="85"/>
              <w:jc w:val="both"/>
            </w:pPr>
            <w:r>
              <w:t>Uzrāda instrumenta ISIN vai, ja ISIN nav pieejams, citu līguma identifikatoru.</w:t>
            </w:r>
          </w:p>
        </w:tc>
      </w:tr>
      <w:tr w:rsidR="00952395"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952395" w:rsidRDefault="0083775C">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952395" w:rsidRDefault="0083775C">
            <w:pPr>
              <w:pStyle w:val="P68B1DB1-TableParagraph73"/>
              <w:spacing w:before="108"/>
              <w:ind w:left="85"/>
              <w:jc w:val="both"/>
              <w:rPr>
                <w:bCs/>
              </w:rPr>
            </w:pPr>
            <w:r>
              <w:t xml:space="preserve">Instrumenta veids  </w:t>
            </w:r>
          </w:p>
          <w:p w14:paraId="7FE1CFA2" w14:textId="77777777" w:rsidR="00952395" w:rsidRDefault="0083775C">
            <w:pPr>
              <w:pStyle w:val="P68B1DB1-TableParagraph40"/>
              <w:spacing w:before="108"/>
              <w:ind w:left="85"/>
              <w:jc w:val="both"/>
            </w:pPr>
            <w:r>
              <w:t xml:space="preserve">Instrumenta veida identifikācija vai nu </w:t>
            </w:r>
          </w:p>
          <w:p w14:paraId="7FE1CFA3" w14:textId="77777777" w:rsidR="00952395" w:rsidRDefault="0083775C">
            <w:pPr>
              <w:pStyle w:val="P68B1DB1-TableParagraph40"/>
              <w:spacing w:before="108"/>
              <w:ind w:left="85"/>
              <w:jc w:val="both"/>
            </w:pPr>
            <w:r>
              <w:t>— Reģistrēta obligācija</w:t>
            </w:r>
          </w:p>
          <w:p w14:paraId="7FE1CFA4" w14:textId="77777777" w:rsidR="00952395" w:rsidRDefault="0083775C">
            <w:pPr>
              <w:pStyle w:val="P68B1DB1-TableParagraph40"/>
              <w:spacing w:before="108"/>
              <w:ind w:left="85"/>
              <w:jc w:val="both"/>
            </w:pPr>
            <w:r>
              <w:t>Uzrādītāja obligācija</w:t>
            </w:r>
          </w:p>
          <w:p w14:paraId="7FE1CFA5" w14:textId="77777777" w:rsidR="00952395" w:rsidRDefault="0083775C">
            <w:pPr>
              <w:pStyle w:val="P68B1DB1-TableParagraph40"/>
              <w:spacing w:before="108"/>
              <w:ind w:left="85"/>
              <w:jc w:val="both"/>
            </w:pPr>
            <w:r>
              <w:t>Aizņēmēja parādzīmes aizdevums</w:t>
            </w:r>
          </w:p>
          <w:p w14:paraId="7FE1CFA7" w14:textId="3E3D590C" w:rsidR="00952395" w:rsidRDefault="0083775C">
            <w:pPr>
              <w:pStyle w:val="P68B1DB1-TableParagraph40"/>
              <w:spacing w:before="108"/>
              <w:ind w:left="85"/>
              <w:jc w:val="both"/>
            </w:pPr>
            <w:r>
              <w:t>— Depozīta/komercpapīra sertifikāts</w:t>
            </w:r>
          </w:p>
          <w:p w14:paraId="7FE1CFA8" w14:textId="77777777" w:rsidR="00952395" w:rsidRDefault="0083775C">
            <w:pPr>
              <w:pStyle w:val="P68B1DB1-TableParagraph40"/>
              <w:spacing w:before="108"/>
              <w:ind w:left="85"/>
              <w:jc w:val="both"/>
            </w:pPr>
            <w:r>
              <w:t>— Īpašumtiesības</w:t>
            </w:r>
          </w:p>
          <w:p w14:paraId="7FE1CFA9" w14:textId="77777777" w:rsidR="00952395" w:rsidRDefault="0083775C">
            <w:pPr>
              <w:pStyle w:val="P68B1DB1-TableParagraph40"/>
              <w:spacing w:before="108"/>
              <w:ind w:left="85"/>
              <w:jc w:val="both"/>
            </w:pPr>
            <w:r>
              <w:t>Citādi</w:t>
            </w:r>
          </w:p>
          <w:p w14:paraId="7FE1CFAA" w14:textId="2BCDE67E" w:rsidR="00952395" w:rsidRDefault="0083775C">
            <w:pPr>
              <w:pStyle w:val="P68B1DB1-TableParagraph40"/>
              <w:spacing w:before="108"/>
              <w:ind w:left="85"/>
              <w:jc w:val="both"/>
            </w:pPr>
            <w:r>
              <w:lastRenderedPageBreak/>
              <w:t xml:space="preserve"> </w:t>
            </w:r>
          </w:p>
          <w:p w14:paraId="7FE1CFAB" w14:textId="77777777" w:rsidR="00952395" w:rsidRDefault="0083775C">
            <w:pPr>
              <w:pStyle w:val="P68B1DB1-TableParagraph40"/>
              <w:spacing w:before="108"/>
              <w:ind w:left="85"/>
              <w:jc w:val="both"/>
            </w:pPr>
            <w:r>
              <w:t>no iepriekš noteikta saraksta.</w:t>
            </w:r>
          </w:p>
        </w:tc>
      </w:tr>
      <w:tr w:rsidR="00952395"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952395" w:rsidRDefault="0083775C">
            <w:pPr>
              <w:pStyle w:val="P68B1DB1-Normal31"/>
            </w:pPr>
            <w:r>
              <w:lastRenderedPageBreak/>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952395" w:rsidRDefault="0083775C">
            <w:pPr>
              <w:pStyle w:val="P68B1DB1-TableParagraph73"/>
              <w:spacing w:before="108"/>
              <w:ind w:left="85"/>
              <w:jc w:val="both"/>
              <w:rPr>
                <w:bCs/>
              </w:rPr>
            </w:pPr>
            <w:r>
              <w:t xml:space="preserve">Reglamentējošie tiesību akti  </w:t>
            </w:r>
          </w:p>
          <w:p w14:paraId="7FE1CFAF" w14:textId="2BE77EA5" w:rsidR="00952395" w:rsidRDefault="0083775C">
            <w:pPr>
              <w:pStyle w:val="P68B1DB1-TableParagraph40"/>
              <w:spacing w:before="108"/>
              <w:ind w:left="85"/>
              <w:jc w:val="both"/>
            </w:pPr>
            <w:r>
              <w:t xml:space="preserve">Tās valsts ISO 3166–1 alpha-2 kods, kuras tiesību akti reglamentē instrumentu (izmanto ISO 3166–2 kodu, ja attiecas administratīvā apakšiedalījuma tiesību akti, piemēram, “US-NY”). Ja līgumu reglamentē vairāk nekā vienas valsts tiesību akti, ziņo par valsti, kuras tiesību aktiem ir vislielākā nozīme norakstīšanas un konvertācijas pilnvaru atzīšanā.  </w:t>
            </w:r>
          </w:p>
        </w:tc>
      </w:tr>
      <w:tr w:rsidR="00952395"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952395" w:rsidRDefault="0083775C">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952395" w:rsidRDefault="0083775C">
            <w:pPr>
              <w:pStyle w:val="P68B1DB1-TableParagraph73"/>
              <w:spacing w:before="108"/>
              <w:ind w:left="85"/>
              <w:jc w:val="both"/>
              <w:rPr>
                <w:bCs/>
              </w:rPr>
            </w:pPr>
            <w:r>
              <w:t xml:space="preserve">Ja trešās valsts tiesību akti, līgumiska atzīšana </w:t>
            </w:r>
          </w:p>
          <w:p w14:paraId="7FE1CFB3" w14:textId="0329FBCA" w:rsidR="00952395" w:rsidRDefault="0083775C">
            <w:pPr>
              <w:pStyle w:val="P68B1DB1-TableParagraph40"/>
              <w:spacing w:before="108"/>
              <w:ind w:left="85"/>
              <w:jc w:val="both"/>
            </w:pPr>
            <w:r>
              <w:t>Līguma noteikumu noteikšana iekšējās rekapitalizācijas pilnvaru atzīšanai saskaņā ar BAND 55. pantu, vai nu:</w:t>
            </w:r>
          </w:p>
          <w:p w14:paraId="7FE1CFB4" w14:textId="7CAD351E" w:rsidR="00952395" w:rsidRDefault="0083775C">
            <w:pPr>
              <w:pStyle w:val="P68B1DB1-TableParagraph40"/>
              <w:spacing w:before="108"/>
              <w:ind w:left="85"/>
              <w:jc w:val="both"/>
            </w:pPr>
            <w:r>
              <w:t>“Jā, ko pamato juridiskais atzinums” = saistības ietver iekšējās rekapitalizācijas atzīšanas klauzulu saskaņā ar BAND 55. pantu, ko pamato juridisks atzinums;</w:t>
            </w:r>
          </w:p>
          <w:p w14:paraId="7FE1CFB5" w14:textId="77777777" w:rsidR="00952395" w:rsidRDefault="0083775C">
            <w:pPr>
              <w:pStyle w:val="P68B1DB1-TableParagraph40"/>
              <w:spacing w:before="108"/>
              <w:ind w:left="85"/>
              <w:jc w:val="both"/>
            </w:pPr>
            <w:r>
              <w:t>“Jā, ko neatbalsta juridiskais atzinums” = saistības ietver iekšējās rekapitalizācijas atzīšanas klauzulu saskaņā ar BAND 55. pantu, kas pašlaik nav pamatota ar juridisku atzinumu;</w:t>
            </w:r>
          </w:p>
          <w:p w14:paraId="7FE1CFB6" w14:textId="77777777" w:rsidR="00952395" w:rsidRDefault="0083775C">
            <w:pPr>
              <w:pStyle w:val="P68B1DB1-TableParagraph40"/>
              <w:spacing w:before="108"/>
              <w:ind w:left="85"/>
              <w:jc w:val="both"/>
            </w:pPr>
            <w:r>
              <w:t>“Nē” = saistībās nav iekļauta iekšējās rekapitalizācijas atzīšanas klauzula;</w:t>
            </w:r>
          </w:p>
          <w:p w14:paraId="7FE1CFB7" w14:textId="58099242" w:rsidR="00952395" w:rsidRDefault="0083775C">
            <w:pPr>
              <w:pStyle w:val="P68B1DB1-TableParagraph40"/>
              <w:spacing w:before="108"/>
              <w:ind w:left="85"/>
              <w:jc w:val="both"/>
            </w:pPr>
            <w:r>
              <w:t xml:space="preserve">“Nepiemēro”,  </w:t>
            </w:r>
          </w:p>
          <w:p w14:paraId="7FE1CFB8" w14:textId="77777777" w:rsidR="00952395" w:rsidRDefault="0083775C">
            <w:pPr>
              <w:pStyle w:val="P68B1DB1-TableParagraph40"/>
              <w:spacing w:before="108"/>
              <w:ind w:left="85"/>
              <w:jc w:val="both"/>
            </w:pPr>
            <w:r>
              <w:t>no iepriekš noteikta saraksta.</w:t>
            </w:r>
          </w:p>
        </w:tc>
      </w:tr>
      <w:tr w:rsidR="00952395"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952395" w:rsidRDefault="0083775C">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952395" w:rsidRDefault="0083775C">
            <w:pPr>
              <w:pStyle w:val="P68B1DB1-TableParagraph73"/>
              <w:spacing w:before="108"/>
              <w:ind w:left="85"/>
              <w:jc w:val="both"/>
              <w:rPr>
                <w:bCs/>
              </w:rPr>
            </w:pPr>
            <w:r>
              <w:t xml:space="preserve">Valūta </w:t>
            </w:r>
          </w:p>
          <w:p w14:paraId="7FE1CFBC" w14:textId="71E1420D" w:rsidR="00952395" w:rsidRDefault="0083775C">
            <w:pPr>
              <w:pStyle w:val="P68B1DB1-TableParagraph40"/>
              <w:spacing w:before="108"/>
              <w:ind w:left="85"/>
              <w:jc w:val="both"/>
            </w:pPr>
            <w:r>
              <w:t>Saistību valūta saskaņā ar tās ISO 4217 trīsburtu kodu.</w:t>
            </w:r>
          </w:p>
        </w:tc>
      </w:tr>
      <w:tr w:rsidR="00952395"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952395" w:rsidRDefault="0083775C">
            <w:pPr>
              <w:pStyle w:val="P68B1DB1-Normal31"/>
            </w:pPr>
            <w:r>
              <w:t>0110</w:t>
            </w:r>
          </w:p>
          <w:p w14:paraId="7FE1CFC3" w14:textId="77777777" w:rsidR="00952395" w:rsidRDefault="0083775C">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952395" w:rsidRDefault="0083775C">
            <w:pPr>
              <w:pStyle w:val="P68B1DB1-TableParagraph73"/>
              <w:spacing w:before="108"/>
              <w:ind w:left="85"/>
              <w:jc w:val="both"/>
              <w:rPr>
                <w:bCs/>
              </w:rPr>
            </w:pPr>
            <w:r>
              <w:t xml:space="preserve">Nenomaksātā pamatsumma  </w:t>
            </w:r>
          </w:p>
          <w:p w14:paraId="7FE1CFC5" w14:textId="3E328E9E" w:rsidR="00952395" w:rsidRDefault="0083775C">
            <w:pPr>
              <w:pStyle w:val="P68B1DB1-TableParagraph40"/>
              <w:spacing w:before="108"/>
              <w:ind w:left="85"/>
              <w:jc w:val="both"/>
            </w:pPr>
            <w:r>
              <w:t xml:space="preserve">Darījuma partnera turētā instrumenta neatmaksātā pamatsumma, kas norādīta 0210. slejā. Ja darījuma partneris nav pieejams, jo kreditorus nevar identificēt, nenomaksātās pamatsummas sagrupē, neņemot vērā darījuma partneri. Attiecībā uz akcijām šī summa ietver rezerves saskaņā ar norādījumiem par Z02.00-r0511. </w:t>
            </w:r>
          </w:p>
          <w:p w14:paraId="7FE1CFC7" w14:textId="1EFD62D1" w:rsidR="00952395" w:rsidRDefault="00952395">
            <w:pPr>
              <w:pStyle w:val="TableParagraph"/>
              <w:spacing w:before="108"/>
              <w:ind w:left="85"/>
              <w:jc w:val="both"/>
              <w:rPr>
                <w:rFonts w:ascii="Times New Roman" w:eastAsia="Times New Roman" w:hAnsi="Times New Roman" w:cs="Times New Roman"/>
                <w:sz w:val="20"/>
                <w:szCs w:val="20"/>
              </w:rPr>
            </w:pPr>
          </w:p>
        </w:tc>
      </w:tr>
      <w:tr w:rsidR="00952395"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952395" w:rsidRDefault="0083775C">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952395" w:rsidRDefault="0083775C">
            <w:pPr>
              <w:pStyle w:val="P68B1DB1-TableParagraph73"/>
              <w:spacing w:before="108"/>
              <w:ind w:left="85"/>
              <w:jc w:val="both"/>
              <w:rPr>
                <w:bCs/>
              </w:rPr>
            </w:pPr>
            <w:r>
              <w:t xml:space="preserve">Uzkrātie procenti </w:t>
            </w:r>
          </w:p>
          <w:p w14:paraId="7FE1CFCB" w14:textId="5040BFD7" w:rsidR="00952395" w:rsidRDefault="0083775C">
            <w:pPr>
              <w:pStyle w:val="P68B1DB1-TableParagraph40"/>
              <w:spacing w:before="108"/>
              <w:ind w:left="85"/>
              <w:jc w:val="both"/>
            </w:pPr>
            <w:r>
              <w:t>Nenomaksātie uzkrātie procenti par instrumentu.</w:t>
            </w:r>
          </w:p>
        </w:tc>
      </w:tr>
      <w:tr w:rsidR="00952395"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952395" w:rsidRDefault="0083775C">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952395" w:rsidRDefault="0083775C">
            <w:pPr>
              <w:pStyle w:val="P68B1DB1-TableParagraph73"/>
              <w:spacing w:before="108"/>
              <w:ind w:left="85"/>
              <w:jc w:val="both"/>
              <w:rPr>
                <w:bCs/>
              </w:rPr>
            </w:pPr>
            <w:r>
              <w:t xml:space="preserve">Coupon type (Kupona veids) </w:t>
            </w:r>
          </w:p>
          <w:p w14:paraId="7FE1CFCF" w14:textId="77777777" w:rsidR="00952395" w:rsidRDefault="0083775C">
            <w:pPr>
              <w:pStyle w:val="P68B1DB1-TableParagraph40"/>
              <w:spacing w:before="108"/>
              <w:ind w:left="85"/>
              <w:jc w:val="both"/>
            </w:pPr>
            <w:r>
              <w:t>Pašreizējā kupona maksājuma veida identifikācija vai nu “fiksēts kupons”, “mainīgs kupons”, “Strukturēts kupons” vai “nulles kupons” no iepriekš noteikta saraksta.</w:t>
            </w:r>
          </w:p>
        </w:tc>
      </w:tr>
      <w:tr w:rsidR="00952395"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952395" w:rsidRDefault="0083775C">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952395" w:rsidRDefault="0083775C">
            <w:pPr>
              <w:pStyle w:val="P68B1DB1-TableParagraph73"/>
              <w:spacing w:before="108"/>
              <w:ind w:left="85"/>
              <w:jc w:val="both"/>
              <w:rPr>
                <w:bCs/>
              </w:rPr>
            </w:pPr>
            <w:r>
              <w:t>Pašreizējā kupona likme (%)</w:t>
            </w:r>
          </w:p>
          <w:p w14:paraId="7FE1CFD3" w14:textId="32FFE809" w:rsidR="00952395" w:rsidRDefault="0083775C">
            <w:pPr>
              <w:pStyle w:val="P68B1DB1-TableParagraph40"/>
              <w:spacing w:before="108"/>
              <w:ind w:left="85"/>
              <w:jc w:val="both"/>
            </w:pPr>
            <w:r>
              <w:t xml:space="preserve">Kupona likmes līmenis, kas piemērojams instrumentam pārskata datumā. </w:t>
            </w:r>
          </w:p>
        </w:tc>
      </w:tr>
      <w:tr w:rsidR="00952395"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952395" w:rsidRDefault="0083775C">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952395" w:rsidRDefault="0083775C">
            <w:pPr>
              <w:pStyle w:val="P68B1DB1-TableParagraph73"/>
              <w:spacing w:before="108"/>
              <w:ind w:left="85"/>
              <w:jc w:val="both"/>
              <w:rPr>
                <w:bCs/>
              </w:rPr>
            </w:pPr>
            <w:r>
              <w:t xml:space="preserve">Emisijas datums </w:t>
            </w:r>
          </w:p>
          <w:p w14:paraId="7FE1CFD7" w14:textId="77777777" w:rsidR="00952395" w:rsidRDefault="0083775C">
            <w:pPr>
              <w:pStyle w:val="P68B1DB1-TableParagraph40"/>
              <w:spacing w:before="108"/>
              <w:ind w:left="85"/>
              <w:jc w:val="both"/>
            </w:pPr>
            <w:r>
              <w:t>Instrumenta sākotnējās emisijas datums.</w:t>
            </w:r>
          </w:p>
        </w:tc>
      </w:tr>
      <w:tr w:rsidR="00952395"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952395" w:rsidRDefault="0083775C">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952395" w:rsidRDefault="0083775C">
            <w:pPr>
              <w:pStyle w:val="P68B1DB1-TableParagraph73"/>
              <w:spacing w:before="108"/>
              <w:ind w:left="85"/>
              <w:jc w:val="both"/>
              <w:rPr>
                <w:bCs/>
              </w:rPr>
            </w:pPr>
            <w:r>
              <w:t xml:space="preserve">Agrākais dzēšanas datums  </w:t>
            </w:r>
          </w:p>
          <w:p w14:paraId="7FE1CFDB" w14:textId="2A33C765" w:rsidR="00952395" w:rsidRDefault="0083775C">
            <w:pPr>
              <w:pStyle w:val="P68B1DB1-TableParagraph40"/>
              <w:spacing w:before="108"/>
              <w:ind w:left="85"/>
              <w:jc w:val="both"/>
            </w:pPr>
            <w:r>
              <w:t>Ja instrumenta turētājiem ir iespēja pieprasīt pirmstermiņa atmaksu vai ja līgumā ir paredzēti priekšlaicīgas atmaksas nosacījumi, ziņo par agrāko notikuma datumu. Ja šādi izbeigšanas notikumi nav saistīti ar datumu, bet drīzāk ar jebkura notikuma iestāšanos nākotnē, paziņo agrāko datumu, kurā notikums var notikt. Ja pirmstermiņa atmaksa attiecas tikai uz daļu no saistībām (piemēram, pirmstermiņa atmaksa 50 % apmērā no nominālvērtības), saistības sadala, lai ņemtu vērā šo daļējas pirmstermiņa dzēšanas klauz</w:t>
            </w:r>
            <w:r>
              <w:t>ulu.</w:t>
            </w:r>
          </w:p>
        </w:tc>
      </w:tr>
      <w:tr w:rsidR="00952395"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952395" w:rsidRDefault="0083775C">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952395" w:rsidRDefault="0083775C">
            <w:pPr>
              <w:pStyle w:val="P68B1DB1-TableParagraph73"/>
              <w:spacing w:before="108"/>
              <w:ind w:left="85"/>
              <w:jc w:val="both"/>
              <w:rPr>
                <w:bCs/>
              </w:rPr>
            </w:pPr>
            <w:r>
              <w:t xml:space="preserve">Likumīgais termiņš </w:t>
            </w:r>
          </w:p>
          <w:p w14:paraId="7FE1CFDF" w14:textId="3157371F" w:rsidR="00952395" w:rsidRDefault="0083775C">
            <w:pPr>
              <w:pStyle w:val="P68B1DB1-TableParagraph40"/>
              <w:spacing w:before="108"/>
              <w:ind w:left="85"/>
              <w:jc w:val="both"/>
            </w:pPr>
            <w:r>
              <w:lastRenderedPageBreak/>
              <w:t>Instrumenta juridiskā un galīgā termiņa datums. Beztermiņa instrumentiem izmanto “2099–01–31”.</w:t>
            </w:r>
          </w:p>
        </w:tc>
      </w:tr>
      <w:tr w:rsidR="00952395"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952395" w:rsidRDefault="0083775C">
            <w:pPr>
              <w:pStyle w:val="P68B1DB1-Normal31"/>
            </w:pPr>
            <w:r>
              <w:lastRenderedPageBreak/>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952395" w:rsidRDefault="0083775C">
            <w:pPr>
              <w:pStyle w:val="P68B1DB1-TableParagraph73"/>
              <w:spacing w:before="108"/>
              <w:ind w:left="85"/>
              <w:jc w:val="both"/>
              <w:rPr>
                <w:bCs/>
              </w:rPr>
            </w:pPr>
            <w:r>
              <w:t xml:space="preserve">Publiski pieejams/privāts izdevums </w:t>
            </w:r>
          </w:p>
          <w:p w14:paraId="7FE1CFE3" w14:textId="77777777" w:rsidR="00952395" w:rsidRDefault="0083775C">
            <w:pPr>
              <w:pStyle w:val="P68B1DB1-TableParagraph40"/>
              <w:spacing w:before="108"/>
              <w:ind w:left="85"/>
              <w:jc w:val="both"/>
            </w:pPr>
            <w:r>
              <w:t>Publiskā izvietojumā subjekts būs publicējis emisiju, norādot konkrētu piedāvājumu iesniegšanas procedūras grafiku. Gluži pretēji, par privātu izvietošanu vienojas atsevišķas puses, kas rīkojas savā vārdā uz trešo personu rēķina. Vērtība var būt “Publiskā izvietošana” vai “privātā atrašanās vieta” no iepriekš noteikta saraksta.</w:t>
            </w:r>
          </w:p>
        </w:tc>
      </w:tr>
      <w:tr w:rsidR="00952395"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952395" w:rsidRDefault="0083775C">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952395" w:rsidRDefault="0083775C">
            <w:pPr>
              <w:pStyle w:val="P68B1DB1-TableParagraph73"/>
              <w:spacing w:before="108"/>
              <w:ind w:left="85"/>
              <w:jc w:val="both"/>
              <w:rPr>
                <w:bCs/>
              </w:rPr>
            </w:pPr>
            <w:r>
              <w:t xml:space="preserve">Pilnvarotais maksātājs </w:t>
            </w:r>
          </w:p>
          <w:p w14:paraId="7FE1CFE7" w14:textId="77777777" w:rsidR="00952395" w:rsidRDefault="0083775C">
            <w:pPr>
              <w:pStyle w:val="P68B1DB1-TableParagraph40"/>
              <w:spacing w:before="108"/>
              <w:ind w:left="85"/>
              <w:jc w:val="both"/>
            </w:pPr>
            <w:r>
              <w:t>Instrumenta Pilnvarotā maksātāja identifikācija, izmantojot tā LEI kodu. “Pilnvarotais maksātājs” ir iestāde, parasti ieguldījumu banka, kas pieņem līdzekļus no vērtspapīra emitenta un sadala tos šā vērtspapīra turētājiem. Attiecībā uz akcijām maksājumu pārstāvis izmaksā dividendes akcionāriem. Attiecībā uz obligācijām tas sadala kupona maksājumus un pamatsummas atmaksu obligāciju turētājiem.</w:t>
            </w:r>
          </w:p>
        </w:tc>
      </w:tr>
      <w:tr w:rsidR="00952395"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952395" w:rsidRDefault="0083775C">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952395" w:rsidRDefault="0083775C">
            <w:pPr>
              <w:pStyle w:val="P68B1DB1-TableParagraph73"/>
              <w:spacing w:before="108"/>
              <w:ind w:left="85"/>
              <w:jc w:val="both"/>
              <w:rPr>
                <w:bCs/>
              </w:rPr>
            </w:pPr>
            <w:r>
              <w:t xml:space="preserve">Darījuma partnera identifikators </w:t>
            </w:r>
          </w:p>
          <w:p w14:paraId="7FE1CFEF" w14:textId="599C6555" w:rsidR="00952395" w:rsidRDefault="0083775C">
            <w:pPr>
              <w:pStyle w:val="P68B1DB1-TableParagraph40"/>
              <w:spacing w:before="108"/>
              <w:ind w:left="85"/>
              <w:jc w:val="both"/>
            </w:pPr>
            <w:r>
              <w:t>Norāda kreditora LEI kodu. Ja nav LEI, banku gadījumā norāda ECB monetāro finanšu iestāžu identifikatoru (MFI ID), kas izmantots RIAD. Tikai tad, ja nav abu šo identifikatoru, uzrāda iekšējo identifikatoru.</w:t>
            </w:r>
          </w:p>
        </w:tc>
      </w:tr>
      <w:tr w:rsidR="00952395"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952395" w:rsidRDefault="0083775C">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952395" w:rsidRDefault="0083775C">
            <w:pPr>
              <w:pStyle w:val="P68B1DB1-TableParagraph73"/>
              <w:spacing w:before="108"/>
              <w:ind w:left="85"/>
              <w:jc w:val="both"/>
              <w:rPr>
                <w:bCs/>
              </w:rPr>
            </w:pPr>
            <w:r>
              <w:t xml:space="preserve">Identifikatora veids </w:t>
            </w:r>
          </w:p>
          <w:p w14:paraId="7FE1CFF3" w14:textId="77777777" w:rsidR="00952395" w:rsidRDefault="0083775C">
            <w:pPr>
              <w:pStyle w:val="P68B1DB1-TableParagraph40"/>
              <w:spacing w:before="108"/>
              <w:ind w:left="85"/>
              <w:jc w:val="both"/>
            </w:pPr>
            <w:r>
              <w:t>Jāizvēlas no šādām iespējām: “LEI kods”, “MFI kods” vai “Identifikatora veids, kas nav LEI vai MFI kods”.</w:t>
            </w:r>
          </w:p>
        </w:tc>
      </w:tr>
      <w:tr w:rsidR="00952395"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952395" w:rsidRDefault="0083775C">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952395" w:rsidRDefault="0083775C">
            <w:pPr>
              <w:pStyle w:val="P68B1DB1-TableParagraph73"/>
              <w:spacing w:before="108"/>
              <w:ind w:left="85"/>
              <w:jc w:val="both"/>
              <w:rPr>
                <w:bCs/>
              </w:rPr>
            </w:pPr>
            <w:r>
              <w:t xml:space="preserve">Biržas vērtspapīri tiek kotēti </w:t>
            </w:r>
          </w:p>
          <w:p w14:paraId="7FE1CFF7" w14:textId="3C377B4D" w:rsidR="00952395" w:rsidRDefault="0083775C">
            <w:pPr>
              <w:pStyle w:val="P68B1DB1-TableParagraph40"/>
              <w:spacing w:before="108"/>
              <w:ind w:left="85"/>
              <w:jc w:val="both"/>
            </w:pPr>
            <w:r>
              <w:t>Ja instrumenti ir iekļauti apmaiņas platformā, norāda šo(-ās) platformu(-as). Ja runa ir par vairākkārtēju apmaiņu, platformas atdala ar semikolu.</w:t>
            </w:r>
          </w:p>
        </w:tc>
      </w:tr>
      <w:tr w:rsidR="00952395"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952395" w:rsidRDefault="0083775C">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952395" w:rsidRDefault="0083775C">
            <w:pPr>
              <w:pStyle w:val="P68B1DB1-TableParagraph73"/>
              <w:spacing w:before="108"/>
              <w:ind w:left="85"/>
              <w:jc w:val="both"/>
              <w:rPr>
                <w:bCs/>
              </w:rPr>
            </w:pPr>
            <w:r>
              <w:t xml:space="preserve">Norēķinu sistēmas  </w:t>
            </w:r>
          </w:p>
          <w:p w14:paraId="7FE1CFFB" w14:textId="2006B3AF" w:rsidR="00952395" w:rsidRDefault="0083775C">
            <w:pPr>
              <w:pStyle w:val="P68B1DB1-TableParagraph40"/>
              <w:spacing w:before="108"/>
              <w:ind w:left="85"/>
              <w:jc w:val="both"/>
            </w:pPr>
            <w:r>
              <w:t>Norādiet vērtspapīru norēķinu sistēmas, kurās var veikt norēķinus par šiem vērtspapīriem. Ja runa ir par vairākām norēķinu sistēmām, katru no tām atdala ar semikolu.</w:t>
            </w:r>
          </w:p>
        </w:tc>
      </w:tr>
      <w:tr w:rsidR="00952395"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952395" w:rsidRDefault="0083775C">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952395" w:rsidRDefault="0083775C">
            <w:pPr>
              <w:pStyle w:val="P68B1DB1-TableParagraph73"/>
              <w:spacing w:before="108"/>
              <w:ind w:left="85"/>
              <w:jc w:val="both"/>
              <w:rPr>
                <w:bCs/>
              </w:rPr>
            </w:pPr>
            <w:r>
              <w:t xml:space="preserve">Sekretārs </w:t>
            </w:r>
          </w:p>
          <w:p w14:paraId="7FE1CFFF" w14:textId="77777777" w:rsidR="00952395" w:rsidRDefault="0083775C">
            <w:pPr>
              <w:pStyle w:val="P68B1DB1-TableParagraph40"/>
              <w:spacing w:before="108"/>
              <w:ind w:left="85"/>
              <w:jc w:val="both"/>
            </w:pPr>
            <w:r>
              <w:t xml:space="preserve">Norāda reģistratoru (kas atbild par šo vērtspapīru īpašnieku uzskaiti). Reģistrators vai reģistra turētājs parasti ir pats emitents, CVD vai cita struktūra. </w:t>
            </w:r>
          </w:p>
        </w:tc>
      </w:tr>
      <w:tr w:rsidR="00952395" w14:paraId="7FE1D004" w14:textId="77777777">
        <w:tc>
          <w:tcPr>
            <w:tcW w:w="1415" w:type="dxa"/>
            <w:tcBorders>
              <w:top w:val="single" w:sz="8" w:space="0" w:color="1A171C"/>
              <w:left w:val="nil"/>
              <w:right w:val="single" w:sz="8" w:space="0" w:color="1A171C"/>
            </w:tcBorders>
            <w:vAlign w:val="center"/>
          </w:tcPr>
          <w:p w14:paraId="7FE1D001" w14:textId="77777777" w:rsidR="00952395" w:rsidRDefault="0083775C">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952395" w:rsidRDefault="0083775C">
            <w:pPr>
              <w:pStyle w:val="P68B1DB1-TableParagraph73"/>
              <w:spacing w:before="108"/>
              <w:ind w:left="85"/>
              <w:jc w:val="both"/>
              <w:rPr>
                <w:bCs/>
              </w:rPr>
            </w:pPr>
            <w:r>
              <w:t xml:space="preserve">Centrālais vērtspapīru depozitārijs </w:t>
            </w:r>
          </w:p>
          <w:p w14:paraId="7FE1D003" w14:textId="77777777" w:rsidR="00952395" w:rsidRDefault="0083775C">
            <w:pPr>
              <w:pStyle w:val="P68B1DB1-TableParagraph40"/>
              <w:spacing w:before="108"/>
              <w:ind w:left="85"/>
              <w:jc w:val="both"/>
            </w:pPr>
            <w:r>
              <w:t>Norāda vērtspapīru emisijas CVD.</w:t>
            </w:r>
          </w:p>
        </w:tc>
      </w:tr>
      <w:tr w:rsidR="00952395" w14:paraId="7FE1D02F" w14:textId="77777777">
        <w:tc>
          <w:tcPr>
            <w:tcW w:w="1415" w:type="dxa"/>
            <w:tcBorders>
              <w:left w:val="nil"/>
              <w:bottom w:val="single" w:sz="8" w:space="0" w:color="1A171C"/>
              <w:right w:val="single" w:sz="8" w:space="0" w:color="1A171C"/>
            </w:tcBorders>
            <w:vAlign w:val="center"/>
          </w:tcPr>
          <w:p w14:paraId="7FE1D005" w14:textId="77777777" w:rsidR="00952395" w:rsidRDefault="0083775C">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952395" w:rsidRDefault="0083775C">
            <w:pPr>
              <w:pStyle w:val="P68B1DB1-TableParagraph40"/>
              <w:spacing w:before="108"/>
              <w:ind w:left="85"/>
              <w:jc w:val="both"/>
            </w:pPr>
            <w:r>
              <w:t>Ziņojot emisijas CVD, izmanto turpmāk tabulā norādīto saīsinājumu, izņemot gadījumus, kad attiecīgais CVD nav iekļauts sarakstā:</w:t>
            </w:r>
          </w:p>
          <w:p w14:paraId="7FE1D007" w14:textId="77777777" w:rsidR="00952395" w:rsidRDefault="0083775C">
            <w:pPr>
              <w:pStyle w:val="P68B1DB1-TableParagraph40"/>
              <w:spacing w:before="108"/>
              <w:ind w:left="85"/>
              <w:jc w:val="both"/>
            </w:pPr>
            <w:r>
              <w:t>ATHEX CSD_EL</w:t>
            </w:r>
          </w:p>
          <w:p w14:paraId="7FE1D008" w14:textId="77777777" w:rsidR="00952395" w:rsidRDefault="0083775C">
            <w:pPr>
              <w:pStyle w:val="P68B1DB1-TableParagraph40"/>
              <w:spacing w:before="108"/>
              <w:ind w:left="85"/>
              <w:jc w:val="both"/>
            </w:pPr>
            <w:r>
              <w:t>PURVA_EL</w:t>
            </w:r>
          </w:p>
          <w:p w14:paraId="7FE1D009" w14:textId="77777777" w:rsidR="00952395" w:rsidRDefault="0083775C">
            <w:pPr>
              <w:pStyle w:val="P68B1DB1-TableParagraph40"/>
              <w:spacing w:before="108"/>
              <w:ind w:left="85"/>
              <w:jc w:val="both"/>
            </w:pPr>
            <w:r>
              <w:t>CBF_DE</w:t>
            </w:r>
          </w:p>
          <w:p w14:paraId="7FE1D00A" w14:textId="77777777" w:rsidR="00952395" w:rsidRDefault="0083775C">
            <w:pPr>
              <w:pStyle w:val="P68B1DB1-TableParagraph40"/>
              <w:spacing w:before="108"/>
              <w:ind w:left="85"/>
              <w:jc w:val="both"/>
            </w:pPr>
            <w:r>
              <w:t>CBL_LU</w:t>
            </w:r>
          </w:p>
          <w:p w14:paraId="7FE1D00B" w14:textId="77777777" w:rsidR="00952395" w:rsidRDefault="0083775C">
            <w:pPr>
              <w:pStyle w:val="P68B1DB1-TableParagraph40"/>
              <w:spacing w:before="108"/>
              <w:ind w:left="85"/>
              <w:jc w:val="both"/>
            </w:pPr>
            <w:r>
              <w:t>CDCP SR_SK</w:t>
            </w:r>
          </w:p>
          <w:p w14:paraId="7FE1D00C" w14:textId="77777777" w:rsidR="00952395" w:rsidRDefault="0083775C">
            <w:pPr>
              <w:pStyle w:val="P68B1DB1-TableParagraph40"/>
              <w:spacing w:before="108"/>
              <w:ind w:left="85"/>
              <w:jc w:val="both"/>
            </w:pPr>
            <w:r>
              <w:t>CDCP_CZ</w:t>
            </w:r>
          </w:p>
          <w:p w14:paraId="7FE1D00D" w14:textId="77777777" w:rsidR="00952395" w:rsidRDefault="0083775C">
            <w:pPr>
              <w:pStyle w:val="P68B1DB1-TableParagraph40"/>
              <w:spacing w:before="108"/>
              <w:ind w:left="85"/>
              <w:jc w:val="both"/>
            </w:pPr>
            <w:r>
              <w:t>Centrālais depozitārijs &amp; Clearing Company_HR</w:t>
            </w:r>
          </w:p>
          <w:p w14:paraId="7FE1D00E" w14:textId="77777777" w:rsidR="00952395" w:rsidRDefault="0083775C">
            <w:pPr>
              <w:pStyle w:val="P68B1DB1-TableParagraph40"/>
              <w:spacing w:before="108"/>
              <w:ind w:left="85"/>
              <w:jc w:val="both"/>
            </w:pPr>
            <w:r>
              <w:t>Vērtspapīru centrālais depozitārijs Prāga_CZ</w:t>
            </w:r>
          </w:p>
          <w:p w14:paraId="7FE1D00F" w14:textId="77777777" w:rsidR="00952395" w:rsidRDefault="0083775C">
            <w:pPr>
              <w:pStyle w:val="P68B1DB1-TableParagraph40"/>
              <w:spacing w:before="108"/>
              <w:ind w:left="85"/>
              <w:jc w:val="both"/>
            </w:pPr>
            <w:r>
              <w:t>Centrālais depozitārijs_BG</w:t>
            </w:r>
          </w:p>
          <w:p w14:paraId="7FE1D010" w14:textId="77777777" w:rsidR="00952395" w:rsidRDefault="0083775C">
            <w:pPr>
              <w:pStyle w:val="P68B1DB1-TableParagraph40"/>
              <w:spacing w:before="108"/>
              <w:ind w:left="85"/>
              <w:jc w:val="both"/>
            </w:pPr>
            <w:r>
              <w:t>Kipras CDCR_CY</w:t>
            </w:r>
          </w:p>
          <w:p w14:paraId="7FE1D011" w14:textId="77777777" w:rsidR="00952395" w:rsidRDefault="0083775C">
            <w:pPr>
              <w:pStyle w:val="P68B1DB1-TableParagraph40"/>
              <w:spacing w:before="108"/>
              <w:ind w:left="85"/>
              <w:jc w:val="both"/>
            </w:pPr>
            <w:r>
              <w:lastRenderedPageBreak/>
              <w:t>Depozitarul Central_RO</w:t>
            </w:r>
          </w:p>
          <w:p w14:paraId="7FE1D012" w14:textId="77777777" w:rsidR="00952395" w:rsidRDefault="0083775C">
            <w:pPr>
              <w:pStyle w:val="P68B1DB1-TableParagraph40"/>
              <w:spacing w:before="108"/>
              <w:ind w:left="85"/>
              <w:jc w:val="both"/>
            </w:pPr>
            <w:r>
              <w:t>DTC_US</w:t>
            </w:r>
          </w:p>
          <w:p w14:paraId="7FE1D013" w14:textId="77777777" w:rsidR="00952395" w:rsidRDefault="0083775C">
            <w:pPr>
              <w:pStyle w:val="P68B1DB1-TableParagraph40"/>
              <w:spacing w:before="108"/>
              <w:ind w:left="85"/>
              <w:jc w:val="both"/>
            </w:pPr>
            <w:r>
              <w:t>Euroclear Bank_BE</w:t>
            </w:r>
          </w:p>
          <w:p w14:paraId="7FE1D014" w14:textId="77777777" w:rsidR="00952395" w:rsidRDefault="0083775C">
            <w:pPr>
              <w:pStyle w:val="P68B1DB1-TableParagraph40"/>
              <w:spacing w:before="108"/>
              <w:ind w:left="85"/>
              <w:jc w:val="both"/>
            </w:pPr>
            <w:r>
              <w:t>Euroclear Belgium_BE</w:t>
            </w:r>
          </w:p>
          <w:p w14:paraId="7FE1D015" w14:textId="77777777" w:rsidR="00952395" w:rsidRDefault="0083775C">
            <w:pPr>
              <w:pStyle w:val="P68B1DB1-TableParagraph40"/>
              <w:spacing w:before="108"/>
              <w:ind w:left="85"/>
              <w:jc w:val="both"/>
            </w:pPr>
            <w:r>
              <w:t>Euroclear Finland_FI</w:t>
            </w:r>
          </w:p>
          <w:p w14:paraId="7FE1D016" w14:textId="77777777" w:rsidR="00952395" w:rsidRDefault="0083775C">
            <w:pPr>
              <w:pStyle w:val="P68B1DB1-TableParagraph40"/>
              <w:spacing w:before="108"/>
              <w:ind w:left="85"/>
              <w:jc w:val="both"/>
            </w:pPr>
            <w:r>
              <w:t>Euroclear France_FR</w:t>
            </w:r>
          </w:p>
          <w:p w14:paraId="7FE1D017" w14:textId="77777777" w:rsidR="00952395" w:rsidRDefault="0083775C">
            <w:pPr>
              <w:pStyle w:val="P68B1DB1-TableParagraph40"/>
              <w:spacing w:before="108"/>
              <w:ind w:left="85"/>
              <w:jc w:val="both"/>
            </w:pPr>
            <w:r>
              <w:t>Euroclear Netherlands_NL</w:t>
            </w:r>
          </w:p>
          <w:p w14:paraId="7FE1D018" w14:textId="77777777" w:rsidR="00952395" w:rsidRDefault="0083775C">
            <w:pPr>
              <w:pStyle w:val="P68B1DB1-TableParagraph40"/>
              <w:spacing w:before="108"/>
              <w:ind w:left="85"/>
              <w:jc w:val="both"/>
            </w:pPr>
            <w:r>
              <w:t>Euroclear Sweden_SE</w:t>
            </w:r>
          </w:p>
          <w:p w14:paraId="7FE1D019" w14:textId="77777777" w:rsidR="00952395" w:rsidRDefault="0083775C">
            <w:pPr>
              <w:pStyle w:val="P68B1DB1-TableParagraph40"/>
              <w:spacing w:before="108"/>
              <w:ind w:left="85"/>
              <w:jc w:val="both"/>
            </w:pPr>
            <w:r>
              <w:t>Euroclear UK &amp; Ireland_UK</w:t>
            </w:r>
          </w:p>
          <w:p w14:paraId="7FE1D01A" w14:textId="77777777" w:rsidR="00952395" w:rsidRDefault="0083775C">
            <w:pPr>
              <w:pStyle w:val="P68B1DB1-TableParagraph40"/>
              <w:spacing w:before="108"/>
              <w:ind w:left="85"/>
              <w:jc w:val="both"/>
            </w:pPr>
            <w:r>
              <w:t>Valdības vērtspapīru depozitārijs (GSD)_BG</w:t>
            </w:r>
          </w:p>
          <w:p w14:paraId="7FE1D01B" w14:textId="77777777" w:rsidR="00952395" w:rsidRDefault="0083775C">
            <w:pPr>
              <w:pStyle w:val="P68B1DB1-TableParagraph40"/>
              <w:spacing w:before="108"/>
              <w:ind w:left="85"/>
              <w:jc w:val="both"/>
            </w:pPr>
            <w:r>
              <w:t>Iberclear_ES</w:t>
            </w:r>
          </w:p>
          <w:p w14:paraId="7FE1D01C" w14:textId="77777777" w:rsidR="00952395" w:rsidRDefault="0083775C">
            <w:pPr>
              <w:pStyle w:val="P68B1DB1-TableParagraph40"/>
              <w:spacing w:before="108"/>
              <w:ind w:left="85"/>
              <w:jc w:val="both"/>
            </w:pPr>
            <w:r>
              <w:t>INTERBOLSA_PT</w:t>
            </w:r>
          </w:p>
          <w:p w14:paraId="7FE1D01D" w14:textId="77777777" w:rsidR="00952395" w:rsidRDefault="0083775C">
            <w:pPr>
              <w:pStyle w:val="P68B1DB1-TableParagraph40"/>
              <w:spacing w:before="108"/>
              <w:ind w:left="85"/>
              <w:jc w:val="both"/>
            </w:pPr>
            <w:r>
              <w:t>KDD_SI</w:t>
            </w:r>
          </w:p>
          <w:p w14:paraId="7FE1D01E" w14:textId="77777777" w:rsidR="00952395" w:rsidRDefault="0083775C">
            <w:pPr>
              <w:pStyle w:val="P68B1DB1-TableParagraph40"/>
              <w:spacing w:before="108"/>
              <w:ind w:left="85"/>
              <w:jc w:val="both"/>
            </w:pPr>
            <w:r>
              <w:t>KDPW_PL</w:t>
            </w:r>
          </w:p>
          <w:p w14:paraId="7FE1D01F" w14:textId="77777777" w:rsidR="00952395" w:rsidRDefault="0083775C">
            <w:pPr>
              <w:pStyle w:val="P68B1DB1-TableParagraph40"/>
              <w:spacing w:before="108"/>
              <w:ind w:left="85"/>
              <w:jc w:val="both"/>
            </w:pPr>
            <w:r>
              <w:t>KELER_HU</w:t>
            </w:r>
          </w:p>
          <w:p w14:paraId="7FE1D020" w14:textId="77777777" w:rsidR="00952395" w:rsidRDefault="0083775C">
            <w:pPr>
              <w:pStyle w:val="P68B1DB1-TableParagraph40"/>
              <w:spacing w:before="108"/>
              <w:ind w:left="85"/>
              <w:jc w:val="both"/>
            </w:pPr>
            <w:r>
              <w:t>LUX CSD_LU</w:t>
            </w:r>
          </w:p>
          <w:p w14:paraId="7FE1D021" w14:textId="77777777" w:rsidR="00952395" w:rsidRDefault="0083775C">
            <w:pPr>
              <w:pStyle w:val="P68B1DB1-TableParagraph40"/>
              <w:spacing w:before="108"/>
              <w:ind w:left="85"/>
              <w:jc w:val="both"/>
            </w:pPr>
            <w:r>
              <w:t>Maltas biržas CSD_MT</w:t>
            </w:r>
          </w:p>
          <w:p w14:paraId="7FE1D022" w14:textId="77777777" w:rsidR="00952395" w:rsidRDefault="0083775C">
            <w:pPr>
              <w:pStyle w:val="P68B1DB1-TableParagraph40"/>
              <w:spacing w:before="108"/>
              <w:ind w:left="85"/>
              <w:jc w:val="both"/>
            </w:pPr>
            <w:r>
              <w:t>Euronext Securities Milan_IT</w:t>
            </w:r>
          </w:p>
          <w:p w14:paraId="7FE1D023" w14:textId="77777777" w:rsidR="00952395" w:rsidRDefault="0083775C">
            <w:pPr>
              <w:pStyle w:val="P68B1DB1-TableParagraph40"/>
              <w:spacing w:before="108"/>
              <w:ind w:left="85"/>
              <w:jc w:val="both"/>
            </w:pPr>
            <w:r>
              <w:t>Nasdaq CSD_EE</w:t>
            </w:r>
          </w:p>
          <w:p w14:paraId="7FE1D024" w14:textId="77777777" w:rsidR="00952395" w:rsidRDefault="0083775C">
            <w:pPr>
              <w:pStyle w:val="P68B1DB1-TableParagraph40"/>
              <w:spacing w:before="108"/>
              <w:ind w:left="85"/>
              <w:jc w:val="both"/>
            </w:pPr>
            <w:r>
              <w:t>Nasdaq CSD_LT</w:t>
            </w:r>
          </w:p>
          <w:p w14:paraId="7FE1D025" w14:textId="77777777" w:rsidR="00952395" w:rsidRDefault="0083775C">
            <w:pPr>
              <w:pStyle w:val="P68B1DB1-TableParagraph40"/>
              <w:spacing w:before="108"/>
              <w:ind w:left="85"/>
              <w:jc w:val="both"/>
            </w:pPr>
            <w:r>
              <w:t>Nasdaq CSD_LV</w:t>
            </w:r>
          </w:p>
          <w:p w14:paraId="7FE1D026" w14:textId="77777777" w:rsidR="00952395" w:rsidRDefault="0083775C">
            <w:pPr>
              <w:pStyle w:val="P68B1DB1-TableParagraph40"/>
              <w:spacing w:before="108"/>
              <w:ind w:left="85"/>
              <w:jc w:val="both"/>
            </w:pPr>
            <w:r>
              <w:t>NBP SSS_BE</w:t>
            </w:r>
          </w:p>
          <w:p w14:paraId="7FE1D027" w14:textId="77777777" w:rsidR="00952395" w:rsidRDefault="0083775C">
            <w:pPr>
              <w:pStyle w:val="P68B1DB1-TableParagraph40"/>
              <w:spacing w:before="108"/>
              <w:ind w:left="85"/>
              <w:jc w:val="both"/>
            </w:pPr>
            <w:r>
              <w:t>nCDCP_SK</w:t>
            </w:r>
          </w:p>
          <w:p w14:paraId="7FE1D028" w14:textId="77777777" w:rsidR="00952395" w:rsidRDefault="0083775C">
            <w:pPr>
              <w:pStyle w:val="P68B1DB1-TableParagraph40"/>
              <w:spacing w:before="108"/>
              <w:ind w:left="85"/>
              <w:jc w:val="both"/>
            </w:pPr>
            <w:r>
              <w:t>OeKB CSD_AT</w:t>
            </w:r>
          </w:p>
          <w:p w14:paraId="7FE1D029" w14:textId="77777777" w:rsidR="00952395" w:rsidRDefault="0083775C">
            <w:pPr>
              <w:pStyle w:val="P68B1DB1-TableParagraph40"/>
              <w:spacing w:before="108"/>
              <w:ind w:left="85"/>
              <w:jc w:val="both"/>
            </w:pPr>
            <w:r>
              <w:t>SAFIR_RO</w:t>
            </w:r>
          </w:p>
          <w:p w14:paraId="7FE1D02A" w14:textId="77777777" w:rsidR="00952395" w:rsidRDefault="0083775C">
            <w:pPr>
              <w:pStyle w:val="P68B1DB1-TableParagraph40"/>
              <w:spacing w:before="108"/>
              <w:ind w:left="85"/>
              <w:jc w:val="both"/>
            </w:pPr>
            <w:r>
              <w:t>SEŠI SIS_CH</w:t>
            </w:r>
          </w:p>
          <w:p w14:paraId="7FE1D02B" w14:textId="77777777" w:rsidR="00952395" w:rsidRDefault="0083775C">
            <w:pPr>
              <w:pStyle w:val="P68B1DB1-TableParagraph40"/>
              <w:spacing w:before="108"/>
              <w:ind w:left="85"/>
              <w:jc w:val="both"/>
            </w:pPr>
            <w:r>
              <w:t>SKARBNET4_PL</w:t>
            </w:r>
          </w:p>
          <w:p w14:paraId="7FE1D02C" w14:textId="77777777" w:rsidR="00952395" w:rsidRDefault="0083775C">
            <w:pPr>
              <w:pStyle w:val="P68B1DB1-TableParagraph40"/>
              <w:spacing w:before="108"/>
              <w:ind w:left="85"/>
              <w:jc w:val="both"/>
            </w:pPr>
            <w:r>
              <w:t>SKD_CZ</w:t>
            </w:r>
          </w:p>
          <w:p w14:paraId="7FE1D02D" w14:textId="77777777" w:rsidR="00952395" w:rsidRDefault="0083775C">
            <w:pPr>
              <w:pStyle w:val="P68B1DB1-TableParagraph40"/>
              <w:spacing w:before="108"/>
              <w:ind w:left="85"/>
              <w:jc w:val="both"/>
            </w:pPr>
            <w:r>
              <w:t>VP Securities_DK</w:t>
            </w:r>
          </w:p>
          <w:p w14:paraId="7FE1D02E" w14:textId="77777777" w:rsidR="00952395" w:rsidRDefault="0083775C">
            <w:pPr>
              <w:pStyle w:val="P68B1DB1-TableParagraph40"/>
              <w:spacing w:before="108"/>
              <w:ind w:left="85"/>
              <w:jc w:val="both"/>
            </w:pPr>
            <w:r>
              <w:t>VPS_NR.</w:t>
            </w:r>
          </w:p>
        </w:tc>
      </w:tr>
      <w:tr w:rsidR="00952395"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952395" w:rsidRDefault="0083775C">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952395" w:rsidRDefault="0083775C">
            <w:pPr>
              <w:pStyle w:val="P68B1DB1-TableParagraph73"/>
              <w:spacing w:before="108"/>
              <w:ind w:left="85"/>
              <w:jc w:val="both"/>
              <w:rPr>
                <w:bCs/>
              </w:rPr>
            </w:pPr>
            <w:r>
              <w:t>Ķīlas, ķīlas vai nodrošinājuma summa</w:t>
            </w:r>
          </w:p>
          <w:p w14:paraId="7FE1D035" w14:textId="01C91AE9" w:rsidR="00952395" w:rsidRDefault="0083775C">
            <w:pPr>
              <w:pStyle w:val="P68B1DB1-TableParagraph40"/>
              <w:spacing w:before="108"/>
              <w:ind w:left="85"/>
              <w:jc w:val="both"/>
            </w:pPr>
            <w:r>
              <w:t>Ja saistības ir nodrošinātas ar ķīlu, ķīlu vai nodrošinājumu, uzrāda to bruto tirgus vērtību. Pretējā gadījumā nenodrošinātām saistībām šo kategoriju uzrāda kā nulli. Šī summa noteiks nodrošināto un galu galā nenodrošināto saistību daļu. Nodrošinājuma portfeļiem, kas nodrošina vairākus posteņus, nosaka kopējo seguma attiecību un piemēro proporcionāli visiem rindas posteņiem, uz kuriem attiecas šis portfelis.</w:t>
            </w:r>
          </w:p>
        </w:tc>
      </w:tr>
      <w:tr w:rsidR="00952395"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952395" w:rsidRDefault="0083775C">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952395" w:rsidRDefault="0083775C">
            <w:pPr>
              <w:pStyle w:val="P68B1DB1-TableParagraph73"/>
              <w:spacing w:before="108"/>
              <w:ind w:left="85"/>
              <w:jc w:val="both"/>
              <w:rPr>
                <w:bCs/>
              </w:rPr>
            </w:pPr>
            <w:r>
              <w:t xml:space="preserve">Galvinieks </w:t>
            </w:r>
          </w:p>
          <w:p w14:paraId="7FE1D039" w14:textId="7525BFD5" w:rsidR="00952395" w:rsidRDefault="0083775C">
            <w:pPr>
              <w:pStyle w:val="P68B1DB1-TableParagraph40"/>
              <w:spacing w:before="108"/>
              <w:ind w:left="85"/>
              <w:jc w:val="both"/>
            </w:pPr>
            <w:r>
              <w:t>Ja instrumentam ir sniegtas garantijas, norādiet garantijas devēja sīku identifikāciju (LEI kods, ISO 3166–1 alpha-2 valsts kods valdībai utt.). Ja ir vairāki galvotāji, ziņo par visiem identifikatoriem, kas atdalīti ar semikolu.</w:t>
            </w:r>
          </w:p>
        </w:tc>
      </w:tr>
      <w:tr w:rsidR="00952395"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952395" w:rsidRDefault="0083775C">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952395" w:rsidRDefault="0083775C">
            <w:pPr>
              <w:pStyle w:val="P68B1DB1-TableParagraph73"/>
              <w:spacing w:before="108"/>
              <w:ind w:left="85"/>
              <w:jc w:val="both"/>
              <w:rPr>
                <w:bCs/>
              </w:rPr>
            </w:pPr>
            <w:r>
              <w:t xml:space="preserve">Summa, kas atbilst MREL atbilstības nosacījumiem </w:t>
            </w:r>
          </w:p>
          <w:p w14:paraId="7FE1D044" w14:textId="63D3C63A" w:rsidR="00952395" w:rsidRDefault="0083775C">
            <w:pPr>
              <w:pStyle w:val="P68B1DB1-TableParagraph40"/>
              <w:spacing w:before="108"/>
              <w:ind w:left="85"/>
              <w:jc w:val="both"/>
            </w:pPr>
            <w:r>
              <w:lastRenderedPageBreak/>
              <w:t>Pašu kapitāla un atbilstīgo saistību summa, ko ieskaita prasībā, kura noteikta saskaņā ar Direktīvas 2014/59/ES 45. panta 1. punktu.</w:t>
            </w:r>
          </w:p>
        </w:tc>
      </w:tr>
      <w:tr w:rsidR="00952395"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952395" w:rsidRDefault="0083775C">
            <w:pPr>
              <w:pStyle w:val="P68B1DB1-Normal31"/>
            </w:pPr>
            <w:r>
              <w:lastRenderedPageBreak/>
              <w:t>0310</w:t>
            </w:r>
          </w:p>
          <w:p w14:paraId="7FE1D047" w14:textId="77777777" w:rsidR="00952395" w:rsidRDefault="0083775C">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952395" w:rsidRDefault="0083775C">
            <w:pPr>
              <w:pStyle w:val="P68B1DB1-TableParagraph73"/>
              <w:spacing w:before="108"/>
              <w:ind w:left="85"/>
              <w:jc w:val="both"/>
              <w:rPr>
                <w:bCs/>
              </w:rPr>
            </w:pPr>
            <w:r>
              <w:t xml:space="preserve">Kvalificējams kā pašu kapitāls </w:t>
            </w:r>
          </w:p>
          <w:p w14:paraId="7FE1D049" w14:textId="4AE6A326" w:rsidR="00952395" w:rsidRDefault="0083775C">
            <w:pPr>
              <w:pStyle w:val="P68B1DB1-TableParagraph40"/>
              <w:spacing w:before="108"/>
              <w:ind w:left="85"/>
              <w:jc w:val="both"/>
            </w:pPr>
            <w:r>
              <w:t xml:space="preserve">Norādiet, vai un kādā līmenī instruments ir iekļauts pašu kapitālā, kā arī informāciju par pakāpeniskas pārtraukšanas režīmu un iepriekš spēkā esošo tiesību izmantošanas kārtību. No iepriekš noteikta saraksta vērtība var būt “Nē”, “daļēji AT1, T1 un T2”, “T2 tiek pakāpeniski izbeigts”, “T2, attiecībā uz kurām ir tiesības saglabāt iepriekš spēkā esošos nosacījumus”, “Fully Compliant T2”, “Pandfandfathered AT1”, “Fully Compliant AT1” vai “CET1”. </w:t>
            </w:r>
          </w:p>
          <w:p w14:paraId="7FE1D04A" w14:textId="62223A6F" w:rsidR="00952395" w:rsidRDefault="0083775C">
            <w:pPr>
              <w:pStyle w:val="P68B1DB1-TableParagraph40"/>
              <w:spacing w:before="108"/>
              <w:ind w:left="85"/>
              <w:jc w:val="both"/>
            </w:pPr>
            <w:r>
              <w:t>Iespēju līgumu sarakstā termins “pakāpeniska izņemšana no apgrozības” attiecas uz jebkura konkrēta otrā līmeņa kapitāla instrumenta piecu gadu periodu pirms termiņa beigām, kura laikā tiek veikta tikai proporcionāla atzīšana, pamatojoties uz atlikušo laiku līdz termiņa beigām. “Tiesības saglabāt iepriekš spēkā esošos nosacījumus” attiecas uz visiem pārejas pasākumiem, kas piemērojami T2 instrumentam, neietverot “pakāpenisko izņemšanu no apgrozības”. Šīs “priekšgājējas” laikā atzīšana var būt pilnīga vai daļ</w:t>
            </w:r>
            <w:r>
              <w:t>ēja.</w:t>
            </w:r>
          </w:p>
          <w:p w14:paraId="7FE1D04B" w14:textId="56289907" w:rsidR="00952395" w:rsidRDefault="0083775C">
            <w:pPr>
              <w:pStyle w:val="P68B1DB1-TableParagraph40"/>
              <w:spacing w:before="108"/>
              <w:ind w:left="85"/>
              <w:jc w:val="both"/>
            </w:pPr>
            <w:r>
              <w:t xml:space="preserve"> </w:t>
            </w:r>
          </w:p>
        </w:tc>
      </w:tr>
      <w:tr w:rsidR="00952395"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952395" w:rsidRDefault="0083775C">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952395" w:rsidRDefault="0083775C">
            <w:pPr>
              <w:pStyle w:val="P68B1DB1-TableParagraph40"/>
              <w:spacing w:before="108"/>
              <w:ind w:left="85"/>
              <w:jc w:val="both"/>
              <w:rPr>
                <w:b/>
                <w:bCs/>
              </w:rPr>
            </w:pPr>
            <w:r>
              <w:t xml:space="preserve"> </w:t>
            </w:r>
            <w:r>
              <w:rPr>
                <w:b/>
              </w:rPr>
              <w:t>Summa, kas atbilst pašu kapitālam</w:t>
            </w:r>
          </w:p>
          <w:p w14:paraId="7FE1D050" w14:textId="1253231B" w:rsidR="00952395" w:rsidRDefault="0083775C">
            <w:pPr>
              <w:pStyle w:val="P68B1DB1-TableParagraph40"/>
              <w:spacing w:before="108"/>
              <w:ind w:left="85"/>
              <w:jc w:val="both"/>
            </w:pPr>
            <w:r>
              <w:t>Tāda instrumenta summa, kas kvalificējams kā pašu kapitāls.</w:t>
            </w:r>
          </w:p>
        </w:tc>
      </w:tr>
    </w:tbl>
    <w:p w14:paraId="7FE1D052" w14:textId="77777777" w:rsidR="00952395" w:rsidRDefault="00952395">
      <w:pPr>
        <w:rPr>
          <w:rFonts w:ascii="Times New Roman" w:hAnsi="Times New Roman" w:cs="Times New Roman"/>
        </w:rPr>
      </w:pPr>
    </w:p>
    <w:p w14:paraId="7FE1D053" w14:textId="77777777" w:rsidR="00952395" w:rsidRDefault="00952395">
      <w:pPr>
        <w:pStyle w:val="Instructionsberschrift2"/>
        <w:ind w:left="357"/>
        <w:rPr>
          <w:rFonts w:ascii="Times New Roman" w:eastAsia="Calibri" w:hAnsi="Times New Roman" w:cs="Times New Roman"/>
          <w:szCs w:val="20"/>
        </w:rPr>
      </w:pPr>
    </w:p>
    <w:p w14:paraId="7FE1D054" w14:textId="6B5C3BCC" w:rsidR="00952395" w:rsidRDefault="0083775C">
      <w:pPr>
        <w:pStyle w:val="Instructionsberschrift2"/>
        <w:numPr>
          <w:ilvl w:val="1"/>
          <w:numId w:val="49"/>
        </w:numPr>
        <w:spacing w:before="0"/>
        <w:ind w:left="357" w:hanging="357"/>
        <w:rPr>
          <w:rFonts w:ascii="Times New Roman" w:hAnsi="Times New Roman" w:cs="Times New Roman"/>
        </w:rPr>
      </w:pPr>
      <w:bookmarkStart w:id="245" w:name="_Toc208244978"/>
      <w:r>
        <w:rPr>
          <w:rFonts w:ascii="Times New Roman" w:eastAsiaTheme="minorEastAsia" w:hAnsi="Times New Roman" w:cs="Times New Roman"/>
        </w:rPr>
        <w:t xml:space="preserve">Z 13.00 — visi noguldījumi (izņemot grupas iekšējos noguldījumus) </w:t>
      </w:r>
      <w:r>
        <w:rPr>
          <w:rFonts w:ascii="Times New Roman" w:eastAsia="Calibri" w:hAnsi="Times New Roman" w:cs="Times New Roman"/>
          <w:szCs w:val="20"/>
        </w:rPr>
        <w:t>(LIAB-G-3)</w:t>
      </w:r>
      <w:bookmarkEnd w:id="245"/>
    </w:p>
    <w:p w14:paraId="7FE1D057" w14:textId="77777777" w:rsidR="00952395" w:rsidRDefault="0083775C">
      <w:pPr>
        <w:pStyle w:val="P68B1DB1-Numberedtitlelevel372"/>
      </w:pPr>
      <w:r>
        <w:t>Vispārīgas piezīmes</w:t>
      </w:r>
    </w:p>
    <w:p w14:paraId="7FE1D058" w14:textId="669C462E" w:rsidR="00952395" w:rsidRDefault="0083775C">
      <w:pPr>
        <w:pStyle w:val="P68B1DB1-InstructionsText26"/>
        <w:numPr>
          <w:ilvl w:val="2"/>
          <w:numId w:val="209"/>
        </w:numPr>
        <w:spacing w:before="0"/>
        <w:ind w:left="1418"/>
        <w:rPr>
          <w:rFonts w:eastAsia="Cambria"/>
        </w:rPr>
      </w:pPr>
      <w:r>
        <w:t>Šā ziņojuma darbības jomā ietilpst visi noguldījumi, izņemot grupas iekšējos darījumus, neatkarīgi no noguldījuma veida vai termiņa. Noguldījumi būtu jāidentificē, pamatojoties uz definīciju, kas sniegta Direktīvas 2014/49/ES 2. panta 1. punkta 3. apakšpunktā.</w:t>
      </w:r>
    </w:p>
    <w:p w14:paraId="7FE1D05A" w14:textId="4B3AE2E6" w:rsidR="00952395" w:rsidRDefault="0083775C">
      <w:pPr>
        <w:pStyle w:val="P68B1DB1-InstructionsText286"/>
        <w:numPr>
          <w:ilvl w:val="2"/>
          <w:numId w:val="209"/>
        </w:numPr>
        <w:spacing w:before="0"/>
        <w:ind w:left="1418"/>
      </w:pPr>
      <w:r>
        <w:t xml:space="preserve">Šajā tabulā sagrupē visus nesegtos un nepreferenciālos noguldījumus (kā definēts Z 02.00-r0320), kuru atlikušais termiņš ir mazāks par 1 gadu, visus segtos noguldījumus un nesegtos, bet nepreferenciālos noguldījumus (kā definēts Z 02.00.r0310 un neatkarīgi no to atlikušā termiņa), pa saistību kategorijām (0020. sleja), darījuma partnera veidu (0025. sleja) un maksātnespējas prioritāti (0030. sleja). Nenosegti un nepreferenciāli noguldījumi, kuru atlikušais termiņš ir 1 gads vai lielāks, uzrāda kā atsevišķu </w:t>
      </w:r>
      <w:r>
        <w:t xml:space="preserve">rindas posteni attiecībā uz visiem pieprasītajiem laukiem. </w:t>
      </w:r>
    </w:p>
    <w:p w14:paraId="7FE1D05B" w14:textId="4C000A39" w:rsidR="00952395" w:rsidRDefault="0083775C">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Neatkarīgi no 67. punkta katrs kredītiestādes noguldījums neatkarīgi no noguldījuma veida ir jāuzrāda kā atsevišķs rindas postenis</w:t>
      </w:r>
      <w:r>
        <w:rPr>
          <w:rFonts w:ascii="Times New Roman" w:hAnsi="Times New Roman" w:cs="Times New Roman"/>
        </w:rPr>
        <w:t xml:space="preserve"> </w:t>
      </w:r>
      <w:r>
        <w:rPr>
          <w:rFonts w:ascii="Times New Roman" w:eastAsia="Cambria" w:hAnsi="Times New Roman" w:cs="Times New Roman"/>
          <w:sz w:val="20"/>
          <w:szCs w:val="20"/>
        </w:rPr>
        <w:t>attiecībā uz visiem pieprasītajiem laukiem. Piemēram, viens darījums jāuzrāda vairākās rindās, ja tas attiecas uz dažādām maksātnespējas pakāpēm.</w:t>
      </w:r>
    </w:p>
    <w:p w14:paraId="7FE1D05C" w14:textId="0E610125" w:rsidR="00952395" w:rsidRDefault="0083775C">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Visi pārējie noguldījumi, kas nav skaidri minēti iepriekš, jāuzrāda kā atsevišķs rindas postenis</w:t>
      </w:r>
      <w:r>
        <w:rPr>
          <w:rFonts w:ascii="Times New Roman" w:hAnsi="Times New Roman" w:cs="Times New Roman"/>
        </w:rPr>
        <w:t xml:space="preserve"> </w:t>
      </w:r>
      <w:r>
        <w:rPr>
          <w:rFonts w:ascii="Times New Roman" w:eastAsia="Cambria" w:hAnsi="Times New Roman" w:cs="Times New Roman"/>
          <w:sz w:val="20"/>
          <w:szCs w:val="20"/>
        </w:rPr>
        <w:t>attiecībā uz visiem pieprasītajiem laukiem.</w:t>
      </w:r>
    </w:p>
    <w:p w14:paraId="7FE1D061" w14:textId="77777777" w:rsidR="00952395" w:rsidRDefault="0083775C">
      <w:pPr>
        <w:pStyle w:val="P68B1DB1-InstructionsText287"/>
        <w:numPr>
          <w:ilvl w:val="0"/>
          <w:numId w:val="0"/>
        </w:numPr>
        <w:ind w:left="753"/>
      </w:pPr>
      <w:r>
        <w:t>Norādījumi attiecībā uz konkrētām pozīcijām</w:t>
      </w:r>
    </w:p>
    <w:tbl>
      <w:tblPr>
        <w:tblW w:w="0" w:type="auto"/>
        <w:tblLook w:val="01E0" w:firstRow="1" w:lastRow="1" w:firstColumn="1" w:lastColumn="1" w:noHBand="0" w:noVBand="0"/>
      </w:tblPr>
      <w:tblGrid>
        <w:gridCol w:w="1188"/>
        <w:gridCol w:w="7772"/>
        <w:gridCol w:w="66"/>
      </w:tblGrid>
      <w:tr w:rsidR="00952395"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952395" w:rsidRDefault="0083775C">
            <w:pPr>
              <w:pStyle w:val="P68B1DB1-TableParagraph17"/>
              <w:spacing w:before="108"/>
              <w:ind w:left="85"/>
            </w:pPr>
            <w:r>
              <w:t>Slejas</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952395" w:rsidRDefault="0083775C">
            <w:pPr>
              <w:pStyle w:val="P68B1DB1-TableParagraph17"/>
              <w:spacing w:before="108"/>
              <w:ind w:left="85" w:right="1"/>
            </w:pPr>
            <w:r>
              <w:t>Norādījumi</w:t>
            </w:r>
          </w:p>
        </w:tc>
      </w:tr>
      <w:tr w:rsidR="00952395"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952395" w:rsidRDefault="0083775C">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952395" w:rsidRDefault="0083775C">
            <w:pPr>
              <w:pStyle w:val="P68B1DB1-TableParagraph73"/>
              <w:spacing w:before="108"/>
              <w:ind w:left="85"/>
              <w:jc w:val="both"/>
              <w:rPr>
                <w:bCs/>
              </w:rPr>
            </w:pPr>
            <w:r>
              <w:t xml:space="preserve">NR. </w:t>
            </w:r>
          </w:p>
          <w:p w14:paraId="7FE1D067" w14:textId="43449971" w:rsidR="00952395" w:rsidRDefault="0083775C">
            <w:pPr>
              <w:pStyle w:val="P68B1DB1-TableParagraph40"/>
              <w:spacing w:before="108"/>
              <w:ind w:left="85"/>
              <w:jc w:val="both"/>
            </w:pPr>
            <w:r>
              <w:t>Unikāls numurs/primārā atslēga rindas vienību identificēšanai.</w:t>
            </w:r>
          </w:p>
        </w:tc>
      </w:tr>
      <w:tr w:rsidR="00952395"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952395" w:rsidRDefault="0083775C">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952395" w:rsidRDefault="0083775C">
            <w:pPr>
              <w:pStyle w:val="P68B1DB1-TableParagraph73"/>
              <w:spacing w:before="108"/>
              <w:ind w:left="85"/>
              <w:jc w:val="both"/>
              <w:rPr>
                <w:bCs/>
              </w:rPr>
            </w:pPr>
            <w:r>
              <w:t xml:space="preserve">Rinda </w:t>
            </w:r>
          </w:p>
          <w:p w14:paraId="7FE1D06B" w14:textId="7887C3E1" w:rsidR="00952395" w:rsidRDefault="0083775C">
            <w:pPr>
              <w:pStyle w:val="P68B1DB1-TableParagraph40"/>
              <w:spacing w:before="108"/>
              <w:ind w:left="85"/>
              <w:jc w:val="both"/>
            </w:pPr>
            <w:r>
              <w:lastRenderedPageBreak/>
              <w:t>Katrai uzrādītajai rindai no iepriekš noteikta vērtību saraksta jānodrošina saskaņošana ar saistību struktūras saistību kategoriju Z02.00 termiņa līmenī.</w:t>
            </w:r>
          </w:p>
        </w:tc>
      </w:tr>
      <w:tr w:rsidR="00952395"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952395" w:rsidRDefault="0083775C">
            <w:pPr>
              <w:pStyle w:val="P68B1DB1-Normal31"/>
            </w:pPr>
            <w:r>
              <w:lastRenderedPageBreak/>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952395" w:rsidRDefault="0083775C">
            <w:pPr>
              <w:pStyle w:val="P68B1DB1-TableParagraph73"/>
              <w:spacing w:before="108"/>
              <w:ind w:left="85"/>
              <w:jc w:val="both"/>
              <w:rPr>
                <w:bCs/>
              </w:rPr>
            </w:pPr>
            <w:r>
              <w:t xml:space="preserve">Sleja </w:t>
            </w:r>
          </w:p>
          <w:p w14:paraId="7FE1D06F" w14:textId="34DE133F" w:rsidR="00952395" w:rsidRDefault="0083775C">
            <w:pPr>
              <w:pStyle w:val="P68B1DB1-TableParagraph40"/>
              <w:spacing w:before="108"/>
              <w:ind w:left="85"/>
              <w:jc w:val="both"/>
            </w:pPr>
            <w:r>
              <w:t>Katrai uzrādītajai rindai no iepriekšdefinēta vērtību saraksta jānodrošina saskaņošana ar darījuma partnera kategoriju 02.00, uz kuru attiecas noguldījums.</w:t>
            </w:r>
          </w:p>
        </w:tc>
      </w:tr>
      <w:tr w:rsidR="00952395"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952395" w:rsidRDefault="0083775C">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952395" w:rsidRDefault="0083775C">
            <w:pPr>
              <w:pStyle w:val="P68B1DB1-TableParagraph73"/>
              <w:spacing w:before="108"/>
              <w:ind w:left="85"/>
              <w:jc w:val="both"/>
              <w:rPr>
                <w:bCs/>
              </w:rPr>
            </w:pPr>
            <w:r>
              <w:t xml:space="preserve">Maksātnespējas pakāpe  </w:t>
            </w:r>
          </w:p>
          <w:p w14:paraId="7FE1D073" w14:textId="3CA3DC07" w:rsidR="00952395" w:rsidRDefault="0083775C">
            <w:pPr>
              <w:pStyle w:val="P68B1DB1-TableParagraph40"/>
              <w:spacing w:before="108"/>
              <w:ind w:left="85"/>
              <w:jc w:val="both"/>
            </w:pPr>
            <w:r>
              <w:t>Maksātnespējas pakāpe ir viena no pakāpēm, kas iekļautas minētās jurisdikcijas noregulējuma iestādes publicētajā pakāpju noteikšanā maksātnespējas procedūrā.</w:t>
            </w:r>
          </w:p>
        </w:tc>
      </w:tr>
      <w:tr w:rsidR="00952395"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952395" w:rsidRDefault="0083775C">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952395" w:rsidRDefault="0083775C">
            <w:pPr>
              <w:pStyle w:val="P68B1DB1-TableParagraph73"/>
              <w:spacing w:before="108"/>
              <w:ind w:left="85"/>
              <w:jc w:val="both"/>
              <w:rPr>
                <w:bCs/>
              </w:rPr>
            </w:pPr>
            <w:r>
              <w:t xml:space="preserve">Līguma identifikators </w:t>
            </w:r>
          </w:p>
          <w:p w14:paraId="7FE1D077" w14:textId="77777777" w:rsidR="00952395" w:rsidRDefault="0083775C">
            <w:pPr>
              <w:pStyle w:val="P68B1DB1-TableParagraph40"/>
              <w:spacing w:before="108"/>
              <w:ind w:left="85"/>
              <w:jc w:val="both"/>
            </w:pPr>
            <w:r>
              <w:t>Darījuma iekšējais identifikators.</w:t>
            </w:r>
          </w:p>
        </w:tc>
      </w:tr>
      <w:tr w:rsidR="00952395"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952395" w:rsidRDefault="0083775C">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952395" w:rsidRDefault="0083775C">
            <w:pPr>
              <w:pStyle w:val="P68B1DB1-TableParagraph73"/>
              <w:spacing w:before="108"/>
              <w:ind w:left="85"/>
              <w:jc w:val="both"/>
              <w:rPr>
                <w:bCs/>
              </w:rPr>
            </w:pPr>
            <w:r>
              <w:t xml:space="preserve">Darījuma partnera identifikators  </w:t>
            </w:r>
          </w:p>
          <w:p w14:paraId="7FE1D07B" w14:textId="67D0F26D" w:rsidR="00952395" w:rsidRDefault="0083775C">
            <w:pPr>
              <w:pStyle w:val="P68B1DB1-TableParagraph40"/>
              <w:spacing w:before="108"/>
              <w:ind w:left="85"/>
              <w:jc w:val="both"/>
            </w:pPr>
            <w:r>
              <w:t xml:space="preserve">Norāda noguldītāja LEI kodu. Ja nav LEI, banku pārskata gadījumā RIAD izmanto ECB monetāro finanšu iestāžu identifikatoru (MFI ID). Tikai tad, ja abiem šiem identifikatoriem nav, uzrāda iekšējo identifikatoru (par katru partneri tiek gaidīts tikai viens unikālais identifikators). </w:t>
            </w:r>
          </w:p>
        </w:tc>
      </w:tr>
      <w:tr w:rsidR="00952395" w14:paraId="7FE1D07F" w14:textId="77777777">
        <w:tc>
          <w:tcPr>
            <w:tcW w:w="1188" w:type="dxa"/>
            <w:vMerge/>
            <w:tcBorders>
              <w:bottom w:val="single" w:sz="4" w:space="0" w:color="auto"/>
              <w:right w:val="single" w:sz="8" w:space="0" w:color="1A171C"/>
            </w:tcBorders>
            <w:vAlign w:val="center"/>
          </w:tcPr>
          <w:p w14:paraId="7FE1D07D" w14:textId="77777777" w:rsidR="00952395" w:rsidRDefault="00952395">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952395" w:rsidRDefault="0083775C">
            <w:pPr>
              <w:pStyle w:val="P68B1DB1-TableParagraph40"/>
              <w:spacing w:before="108"/>
              <w:ind w:left="85"/>
              <w:jc w:val="both"/>
            </w:pPr>
            <w:r>
              <w:t>Attiecībā uz noguldījumiem, kas uzrādīti apkopotā līmenī, norāda “0000”, jo šis lauks ir obligāts.</w:t>
            </w:r>
          </w:p>
        </w:tc>
      </w:tr>
      <w:tr w:rsidR="00952395"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952395" w:rsidRDefault="0083775C">
            <w:pPr>
              <w:pStyle w:val="P68B1DB1-Normal31"/>
            </w:pPr>
            <w:r>
              <w:t>0045</w:t>
            </w:r>
          </w:p>
        </w:tc>
        <w:tc>
          <w:tcPr>
            <w:tcW w:w="7838" w:type="dxa"/>
            <w:gridSpan w:val="2"/>
            <w:tcBorders>
              <w:top w:val="single" w:sz="4" w:space="0" w:color="auto"/>
              <w:left w:val="single" w:sz="4" w:space="0" w:color="auto"/>
            </w:tcBorders>
          </w:tcPr>
          <w:p w14:paraId="7FE1D081" w14:textId="05C93935" w:rsidR="00952395" w:rsidRDefault="0083775C">
            <w:pPr>
              <w:pStyle w:val="P68B1DB1-TableParagraph73"/>
              <w:spacing w:before="108"/>
              <w:ind w:left="85"/>
              <w:jc w:val="both"/>
              <w:rPr>
                <w:bCs/>
              </w:rPr>
            </w:pPr>
            <w:r>
              <w:t xml:space="preserve">Identifikatora veids </w:t>
            </w:r>
          </w:p>
          <w:p w14:paraId="7FE1D082" w14:textId="77777777" w:rsidR="00952395" w:rsidRDefault="0083775C">
            <w:pPr>
              <w:pStyle w:val="P68B1DB1-TableParagraph40"/>
              <w:spacing w:before="108"/>
              <w:ind w:left="85"/>
              <w:jc w:val="both"/>
            </w:pPr>
            <w:r>
              <w:t>Jāizvēlas no šādām iespējām: “LEI kods”, “MFI kods” vai “Identifikatora veids, kas nav LEI vai MFI kods”.</w:t>
            </w:r>
          </w:p>
        </w:tc>
      </w:tr>
      <w:tr w:rsidR="00952395"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952395" w:rsidRDefault="00952395">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952395" w:rsidRDefault="0083775C">
            <w:pPr>
              <w:pStyle w:val="P68B1DB1-TableParagraph40"/>
              <w:spacing w:before="108"/>
              <w:ind w:left="85"/>
              <w:jc w:val="both"/>
            </w:pPr>
            <w:r>
              <w:t>Attiecībā uz noguldījumiem, kas uzrādīti apkopotā līmenī, norāda “Identifikatora veids, kas nav LEI vai MFI kods”.</w:t>
            </w:r>
          </w:p>
        </w:tc>
      </w:tr>
      <w:tr w:rsidR="00952395"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952395" w:rsidRDefault="0083775C">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952395" w:rsidRDefault="0083775C">
            <w:pPr>
              <w:pStyle w:val="P68B1DB1-TableParagraph73"/>
              <w:spacing w:before="108"/>
              <w:ind w:left="85"/>
              <w:jc w:val="both"/>
              <w:rPr>
                <w:bCs/>
              </w:rPr>
            </w:pPr>
            <w:r>
              <w:t xml:space="preserve">Reglamentējošie tiesību akti  </w:t>
            </w:r>
          </w:p>
          <w:p w14:paraId="7FE1D089" w14:textId="1A451092" w:rsidR="00952395" w:rsidRDefault="0083775C">
            <w:pPr>
              <w:pStyle w:val="P68B1DB1-TableParagraph40"/>
              <w:spacing w:before="108"/>
              <w:ind w:left="85"/>
              <w:jc w:val="both"/>
            </w:pPr>
            <w:r>
              <w:t>Tās valsts ISO 3166–1 alpha-2 kods, kuras tiesību akti reglamentē instrumentu (izmanto ISO 3166–2 kodu, ja attiecas administratīvā apakšiedalījuma tiesību akti, piemēram, “US-NY”). Ja līgumu reglamentē vairāk nekā vienas valsts tiesību akti, ziņo par valsti, kuras tiesību aktiem ir vislielākā nozīme norakstīšanas un konvertācijas pilnvaru atzīšanā.  Noguldījumiem, kas uzrādīti apkopotā līmenī, izmanto vērtību “Citas valstis”.</w:t>
            </w:r>
          </w:p>
        </w:tc>
      </w:tr>
      <w:tr w:rsidR="00952395"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952395" w:rsidRDefault="0083775C">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952395" w:rsidRDefault="0083775C">
            <w:pPr>
              <w:pStyle w:val="P68B1DB1-TableParagraph73"/>
              <w:spacing w:before="108"/>
              <w:ind w:left="85"/>
              <w:jc w:val="both"/>
              <w:rPr>
                <w:bCs/>
              </w:rPr>
            </w:pPr>
            <w:r>
              <w:t xml:space="preserve">Valūta  </w:t>
            </w:r>
          </w:p>
          <w:p w14:paraId="7FE1D08D" w14:textId="3FCE0053" w:rsidR="00952395" w:rsidRDefault="0083775C">
            <w:pPr>
              <w:pStyle w:val="P68B1DB1-TableParagraph40"/>
              <w:spacing w:before="108"/>
              <w:ind w:left="85"/>
              <w:jc w:val="both"/>
            </w:pPr>
            <w:r>
              <w:t>Noguldījuma valūta saskaņā ar tā ISO 4217 trīsburtu kodu. Noguldījumiem, kas uzrādīti apkopotā līmenī, izmanto vērtību “XXX”.</w:t>
            </w:r>
          </w:p>
        </w:tc>
      </w:tr>
      <w:tr w:rsidR="00952395"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952395" w:rsidRDefault="0083775C">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952395" w:rsidRDefault="0083775C">
            <w:pPr>
              <w:pStyle w:val="P68B1DB1-TableParagraph73"/>
              <w:spacing w:before="108"/>
              <w:ind w:left="85"/>
              <w:jc w:val="both"/>
              <w:rPr>
                <w:bCs/>
              </w:rPr>
            </w:pPr>
            <w:r>
              <w:t xml:space="preserve">Nenomaksātā pamatsumma  </w:t>
            </w:r>
          </w:p>
          <w:p w14:paraId="7FE1D091" w14:textId="6232EFBD" w:rsidR="00952395" w:rsidRDefault="0083775C">
            <w:pPr>
              <w:pStyle w:val="P68B1DB1-TableParagraph40"/>
              <w:spacing w:before="108"/>
              <w:ind w:left="85"/>
              <w:jc w:val="both"/>
            </w:pPr>
            <w:r>
              <w:t>Nenomaksātā noguldījuma pamatsumma.</w:t>
            </w:r>
          </w:p>
        </w:tc>
      </w:tr>
      <w:tr w:rsidR="00952395"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952395" w:rsidRDefault="0083775C">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952395" w:rsidRDefault="0083775C">
            <w:pPr>
              <w:pStyle w:val="P68B1DB1-TableParagraph73"/>
              <w:spacing w:before="108"/>
              <w:ind w:left="85"/>
              <w:jc w:val="both"/>
              <w:rPr>
                <w:bCs/>
              </w:rPr>
            </w:pPr>
            <w:r>
              <w:t xml:space="preserve">Uzkrātie procenti </w:t>
            </w:r>
          </w:p>
          <w:p w14:paraId="7FE1D095" w14:textId="1CBCCFC7" w:rsidR="00952395" w:rsidRDefault="0083775C">
            <w:pPr>
              <w:pStyle w:val="P68B1DB1-TableParagraph40"/>
              <w:spacing w:before="108"/>
              <w:ind w:left="85"/>
              <w:jc w:val="both"/>
            </w:pPr>
            <w:r>
              <w:t>Nenomaksātie uzkrātie procenti par noguldījumu.</w:t>
            </w:r>
          </w:p>
        </w:tc>
      </w:tr>
      <w:tr w:rsidR="00952395"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952395" w:rsidRDefault="0083775C">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952395" w:rsidRDefault="0083775C">
            <w:pPr>
              <w:pStyle w:val="P68B1DB1-TableParagraph73"/>
              <w:spacing w:before="108"/>
              <w:ind w:left="85"/>
              <w:jc w:val="both"/>
              <w:rPr>
                <w:bCs/>
              </w:rPr>
            </w:pPr>
            <w:r>
              <w:t xml:space="preserve">Pašreizējā procentu likme (%) </w:t>
            </w:r>
          </w:p>
          <w:p w14:paraId="7FE1D099" w14:textId="0E3CB279" w:rsidR="00952395" w:rsidRDefault="0083775C">
            <w:pPr>
              <w:pStyle w:val="P68B1DB1-TableParagraph40"/>
              <w:spacing w:before="108"/>
              <w:ind w:left="85"/>
              <w:jc w:val="both"/>
            </w:pPr>
            <w:r>
              <w:t xml:space="preserve">Noguldījumam piemērojamās procentu likmes pašreizējais līmenis. </w:t>
            </w:r>
          </w:p>
        </w:tc>
      </w:tr>
      <w:tr w:rsidR="00952395"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952395" w:rsidRDefault="0083775C">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952395" w:rsidRDefault="0083775C">
            <w:pPr>
              <w:pStyle w:val="P68B1DB1-TableParagraph73"/>
              <w:spacing w:before="108"/>
              <w:ind w:left="85"/>
              <w:jc w:val="both"/>
              <w:rPr>
                <w:bCs/>
              </w:rPr>
            </w:pPr>
            <w:r>
              <w:t xml:space="preserve">Ķīlas, ķīlas vai nodrošinājuma summa </w:t>
            </w:r>
          </w:p>
          <w:p w14:paraId="7FE1D0A2" w14:textId="5FFC3F02" w:rsidR="00952395" w:rsidRDefault="0083775C">
            <w:pPr>
              <w:pStyle w:val="P68B1DB1-TableParagraph40"/>
              <w:spacing w:before="108"/>
              <w:ind w:left="85"/>
              <w:jc w:val="both"/>
            </w:pPr>
            <w:r>
              <w:t>Ja saistības ir nodrošinātas ar ķīlu, ķīlu vai nodrošinājumu, norāda to bruto tirgus vērtību. Pretējā gadījumā nenodrošinātām saistībām šo kategoriju uzrāda kā nulli. Šī summa noteiks jebkura nodrošinātā noguldījuma nodrošināto un galu galā nenodrošināto daļu. Nodrošinājuma portfeļiem, ar kuriem nodrošina vairākus rindas posteņus, nosaka kopējo seguma attiecību un piemēro proporcionāli visiem rindas posteņiem, uz kuriem attiecas šis portfelis.</w:t>
            </w:r>
          </w:p>
        </w:tc>
      </w:tr>
      <w:tr w:rsidR="00952395"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952395" w:rsidRDefault="0083775C">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952395" w:rsidRDefault="0083775C">
            <w:pPr>
              <w:pStyle w:val="P68B1DB1-TableParagraph73"/>
              <w:spacing w:before="108"/>
              <w:ind w:left="85"/>
              <w:jc w:val="both"/>
              <w:rPr>
                <w:bCs/>
              </w:rPr>
            </w:pPr>
            <w:r>
              <w:t xml:space="preserve">Summa, kas atbilst MREL atbilstības nosacījumiem </w:t>
            </w:r>
          </w:p>
          <w:p w14:paraId="7FE1D0A6" w14:textId="65380CFA" w:rsidR="00952395" w:rsidRDefault="0083775C">
            <w:pPr>
              <w:pStyle w:val="P68B1DB1-TableParagraph40"/>
              <w:spacing w:before="108"/>
              <w:ind w:left="85"/>
              <w:jc w:val="both"/>
            </w:pPr>
            <w:r>
              <w:lastRenderedPageBreak/>
              <w:t>Pašu kapitāla un atbilstīgo saistību summa, ko ieskaita prasībā, kura noteikta saskaņā ar Direktīvas 2014/59/ES 45. panta 1. punktu.</w:t>
            </w:r>
          </w:p>
        </w:tc>
      </w:tr>
      <w:tr w:rsidR="00952395"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952395" w:rsidRDefault="0083775C">
            <w:pPr>
              <w:pStyle w:val="P68B1DB1-Normal31"/>
            </w:pPr>
            <w:r>
              <w:lastRenderedPageBreak/>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952395" w:rsidRDefault="0083775C">
            <w:pPr>
              <w:pStyle w:val="P68B1DB1-TableParagraph73"/>
              <w:spacing w:before="108"/>
              <w:ind w:left="85"/>
              <w:jc w:val="both"/>
              <w:rPr>
                <w:bCs/>
              </w:rPr>
            </w:pPr>
            <w:r>
              <w:t xml:space="preserve">Termiņnoguldījumu emisijas datums </w:t>
            </w:r>
          </w:p>
          <w:p w14:paraId="7FE1D0AA" w14:textId="77777777" w:rsidR="00952395" w:rsidRDefault="0083775C">
            <w:pPr>
              <w:pStyle w:val="P68B1DB1-TableParagraph40"/>
              <w:spacing w:before="108"/>
              <w:ind w:left="85"/>
              <w:jc w:val="both"/>
            </w:pPr>
            <w:r>
              <w:t>Termiņnoguldījuma sākotnējās emisijas datums.</w:t>
            </w:r>
          </w:p>
        </w:tc>
      </w:tr>
      <w:tr w:rsidR="00952395" w14:paraId="7FE1D0AF" w14:textId="77777777">
        <w:tc>
          <w:tcPr>
            <w:tcW w:w="1188" w:type="dxa"/>
            <w:vMerge w:val="restart"/>
            <w:tcBorders>
              <w:top w:val="single" w:sz="8" w:space="0" w:color="1A171C"/>
              <w:left w:val="nil"/>
              <w:right w:val="single" w:sz="8" w:space="0" w:color="1A171C"/>
            </w:tcBorders>
          </w:tcPr>
          <w:p w14:paraId="7FE1D0AC" w14:textId="77777777" w:rsidR="00952395" w:rsidRDefault="0083775C">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952395" w:rsidRDefault="0083775C">
            <w:pPr>
              <w:pStyle w:val="P68B1DB1-TableParagraph73"/>
              <w:spacing w:before="108"/>
              <w:ind w:left="85"/>
              <w:jc w:val="both"/>
              <w:rPr>
                <w:bCs/>
              </w:rPr>
            </w:pPr>
            <w:r>
              <w:t xml:space="preserve">Agrākais dzēšanas datums  </w:t>
            </w:r>
          </w:p>
          <w:p w14:paraId="7FE1D0AE" w14:textId="5DABFCEF" w:rsidR="00952395" w:rsidRDefault="0083775C">
            <w:pPr>
              <w:pStyle w:val="P68B1DB1-TableParagraph40"/>
              <w:spacing w:before="108"/>
              <w:ind w:left="85"/>
              <w:jc w:val="both"/>
            </w:pPr>
            <w:r>
              <w:t>Ja kreditora turētājiem ir iespēja pieprasīt saistību pirmstermiņa atmaksu vai ja līgumā ir paredzēti nosacījumi pirmstermiņa atmaksai, norāda agrāko notikuma datumu, pretējā gadījumā — noguldījuma likumīgā galīgā termiņa datumu. Ja pirmstermiņa atmaksa attiecas tikai uz daļu no saistībām (piemēram, pirmstermiņa atmaksa 50 % apmērā no nominālvērtības), saistības sadala, lai ņemtu vērā šo daļējas pirmstermiņa dzēšanas klauzulu.</w:t>
            </w:r>
          </w:p>
        </w:tc>
      </w:tr>
      <w:tr w:rsidR="00952395" w14:paraId="7FE1D0B2" w14:textId="77777777">
        <w:tc>
          <w:tcPr>
            <w:tcW w:w="1188" w:type="dxa"/>
            <w:vMerge/>
            <w:tcBorders>
              <w:bottom w:val="single" w:sz="8" w:space="0" w:color="1A171C"/>
              <w:right w:val="single" w:sz="8" w:space="0" w:color="1A171C"/>
            </w:tcBorders>
            <w:vAlign w:val="center"/>
          </w:tcPr>
          <w:p w14:paraId="7FE1D0B0" w14:textId="77777777" w:rsidR="00952395" w:rsidRDefault="00952395">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952395" w:rsidRDefault="0083775C">
            <w:pPr>
              <w:pStyle w:val="P68B1DB1-TableParagraph40"/>
              <w:spacing w:before="108"/>
              <w:ind w:left="85"/>
              <w:jc w:val="both"/>
            </w:pPr>
            <w:r>
              <w:t xml:space="preserve">Attiecībā uz noguldījumiem, kas uzrādīti apkopotā līmenī, agrāko dzēšanas datumu uzrāda kā “2199–12–31”. </w:t>
            </w:r>
          </w:p>
        </w:tc>
      </w:tr>
      <w:tr w:rsidR="00952395" w14:paraId="7FE1D0B6" w14:textId="77777777">
        <w:tc>
          <w:tcPr>
            <w:tcW w:w="1188" w:type="dxa"/>
            <w:vMerge w:val="restart"/>
            <w:tcBorders>
              <w:top w:val="single" w:sz="8" w:space="0" w:color="1A171C"/>
              <w:left w:val="nil"/>
              <w:right w:val="single" w:sz="8" w:space="0" w:color="1A171C"/>
            </w:tcBorders>
          </w:tcPr>
          <w:p w14:paraId="7FE1D0B3" w14:textId="413885FF" w:rsidR="00952395" w:rsidRDefault="00952395">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952395" w:rsidRDefault="00952395">
            <w:pPr>
              <w:pStyle w:val="TableParagraph"/>
              <w:spacing w:before="108"/>
              <w:ind w:left="85"/>
              <w:jc w:val="both"/>
              <w:rPr>
                <w:rFonts w:ascii="Times New Roman" w:eastAsia="Times New Roman" w:hAnsi="Times New Roman" w:cs="Times New Roman"/>
                <w:sz w:val="20"/>
                <w:szCs w:val="20"/>
              </w:rPr>
            </w:pPr>
          </w:p>
        </w:tc>
      </w:tr>
      <w:tr w:rsidR="00952395" w14:paraId="7FE1D0B9" w14:textId="77777777">
        <w:tc>
          <w:tcPr>
            <w:tcW w:w="1188" w:type="dxa"/>
            <w:vMerge/>
            <w:tcBorders>
              <w:bottom w:val="single" w:sz="8" w:space="0" w:color="1A171C"/>
              <w:right w:val="single" w:sz="8" w:space="0" w:color="1A171C"/>
            </w:tcBorders>
            <w:vAlign w:val="center"/>
          </w:tcPr>
          <w:p w14:paraId="7FE1D0B7" w14:textId="77777777" w:rsidR="00952395" w:rsidRDefault="00952395">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952395" w:rsidRDefault="00952395">
            <w:pPr>
              <w:rPr>
                <w:rFonts w:ascii="Times New Roman" w:hAnsi="Times New Roman" w:cs="Times New Roman"/>
              </w:rPr>
            </w:pPr>
          </w:p>
        </w:tc>
      </w:tr>
    </w:tbl>
    <w:p w14:paraId="7FE1D0BA" w14:textId="77777777" w:rsidR="00952395" w:rsidRDefault="00952395">
      <w:pPr>
        <w:pStyle w:val="body"/>
        <w:rPr>
          <w:rFonts w:ascii="Times New Roman" w:hAnsi="Times New Roman" w:cs="Times New Roman"/>
          <w:color w:val="000000" w:themeColor="text1"/>
          <w:sz w:val="20"/>
          <w:szCs w:val="20"/>
        </w:rPr>
      </w:pPr>
    </w:p>
    <w:p w14:paraId="7FE1D0BB" w14:textId="77777777" w:rsidR="00952395" w:rsidRDefault="00952395">
      <w:pPr>
        <w:rPr>
          <w:rFonts w:ascii="Times New Roman" w:hAnsi="Times New Roman" w:cs="Times New Roman"/>
        </w:rPr>
      </w:pPr>
    </w:p>
    <w:p w14:paraId="7FE1D0BC" w14:textId="77777777" w:rsidR="00952395" w:rsidRDefault="00952395">
      <w:pPr>
        <w:pStyle w:val="Instructionsberschrift2"/>
        <w:ind w:left="357"/>
        <w:rPr>
          <w:rFonts w:ascii="Times New Roman" w:eastAsia="Calibri" w:hAnsi="Times New Roman" w:cs="Times New Roman"/>
          <w:szCs w:val="20"/>
        </w:rPr>
      </w:pPr>
    </w:p>
    <w:p w14:paraId="7FE1D0BD" w14:textId="2FE97D37" w:rsidR="00952395" w:rsidRDefault="0083775C">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4979"/>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Citas finanšu saistības (kas nav iekļautas citās cilnēs, izņemot grupas iekšējās saistības) </w:t>
      </w:r>
      <w:r>
        <w:rPr>
          <w:rFonts w:ascii="Times New Roman" w:eastAsia="Calibri" w:hAnsi="Times New Roman" w:cs="Times New Roman"/>
          <w:szCs w:val="20"/>
        </w:rPr>
        <w:t>(LIAB-G-4)</w:t>
      </w:r>
      <w:bookmarkEnd w:id="246"/>
    </w:p>
    <w:p w14:paraId="7FE1D0BE" w14:textId="56404057" w:rsidR="00952395" w:rsidRDefault="00952395">
      <w:pPr>
        <w:pStyle w:val="Instructionsberschrift2"/>
        <w:ind w:left="357"/>
        <w:rPr>
          <w:rFonts w:ascii="Times New Roman" w:eastAsiaTheme="minorEastAsia" w:hAnsi="Times New Roman" w:cs="Times New Roman"/>
          <w:color w:val="000000" w:themeColor="text1"/>
        </w:rPr>
      </w:pPr>
    </w:p>
    <w:p w14:paraId="7FE1D0BF" w14:textId="77777777" w:rsidR="00952395" w:rsidRDefault="0083775C">
      <w:pPr>
        <w:pStyle w:val="P68B1DB1-Numberedtitlelevel372"/>
      </w:pPr>
      <w:r>
        <w:t>Vispārīgas piezīmes</w:t>
      </w:r>
    </w:p>
    <w:p w14:paraId="7FE1D0C0" w14:textId="28B97243" w:rsidR="00952395" w:rsidRDefault="0083775C">
      <w:pPr>
        <w:pStyle w:val="P68B1DB1-InstructionsText286"/>
        <w:numPr>
          <w:ilvl w:val="2"/>
          <w:numId w:val="209"/>
        </w:numPr>
        <w:spacing w:before="0"/>
        <w:ind w:left="1276"/>
      </w:pPr>
      <w:r>
        <w:t>Šajā tabulā ir ietvertas visas saistības, kas nav uzrādītas nevienā citā detalizētās informācijas prasībā (t. i., Z11.00, Z12.00, Z13.00, Z15.00, Z16.00 un Z17.00), piemēram, aizdevumi, pamatdarbības saistības, saistības pret tīrvērtes iestādēm utt.</w:t>
      </w:r>
    </w:p>
    <w:p w14:paraId="7FE1D0C2" w14:textId="3CB02A11" w:rsidR="00952395" w:rsidRDefault="0083775C">
      <w:pPr>
        <w:pStyle w:val="P68B1DB1-InstructionsText286"/>
        <w:numPr>
          <w:ilvl w:val="2"/>
          <w:numId w:val="209"/>
        </w:numPr>
        <w:spacing w:before="0"/>
        <w:ind w:left="1276"/>
      </w:pPr>
      <w:r>
        <w:t>Šūnas, kas nav piemērojamas konkrētām saistībām (piemēram, uzkrātie procenti, pašreizējā procentu likme, emisijas datums utt.), var neaizpildīt.</w:t>
      </w:r>
    </w:p>
    <w:p w14:paraId="7FE1D0C3" w14:textId="7C8B3D6D" w:rsidR="00952395" w:rsidRDefault="0083775C">
      <w:pPr>
        <w:pStyle w:val="P68B1DB1-InstructionsText286"/>
        <w:numPr>
          <w:ilvl w:val="2"/>
          <w:numId w:val="209"/>
        </w:numPr>
        <w:spacing w:before="0"/>
        <w:ind w:left="1276"/>
      </w:pPr>
      <w:r>
        <w:t>Šīs tabulas vajadzībām saistības uzrāda rindās granularitātes līmenī, ko nosaka pieprasītie lauki (principā katru darījumu, kas uzrādīts kā atsevišķs rindas postenis). Grupas darbinieku saistības pēc veida un maksātnespējas prioritātes.</w:t>
      </w:r>
    </w:p>
    <w:p w14:paraId="7FE1D0C5" w14:textId="77777777" w:rsidR="00952395" w:rsidRDefault="0083775C">
      <w:pPr>
        <w:pStyle w:val="P68B1DB1-InstructionsText287"/>
        <w:numPr>
          <w:ilvl w:val="0"/>
          <w:numId w:val="0"/>
        </w:numPr>
        <w:spacing w:before="0"/>
      </w:pPr>
      <w:r>
        <w:t>Norādījumi attiecībā uz konkrētām pozīcijām</w:t>
      </w:r>
    </w:p>
    <w:tbl>
      <w:tblPr>
        <w:tblW w:w="9015" w:type="dxa"/>
        <w:tblInd w:w="135" w:type="dxa"/>
        <w:tblLayout w:type="fixed"/>
        <w:tblLook w:val="04A0" w:firstRow="1" w:lastRow="0" w:firstColumn="1" w:lastColumn="0" w:noHBand="0" w:noVBand="1"/>
      </w:tblPr>
      <w:tblGrid>
        <w:gridCol w:w="1183"/>
        <w:gridCol w:w="7832"/>
      </w:tblGrid>
      <w:tr w:rsidR="00952395"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952395" w:rsidRDefault="0083775C">
            <w:pPr>
              <w:pStyle w:val="P68B1DB1-TableParagraph17"/>
              <w:spacing w:before="108"/>
              <w:ind w:left="85"/>
            </w:pPr>
            <w:r>
              <w:t xml:space="preserve">Slejas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952395" w:rsidRDefault="0083775C">
            <w:pPr>
              <w:pStyle w:val="P68B1DB1-TableParagraph17"/>
              <w:spacing w:before="108"/>
              <w:ind w:left="85"/>
            </w:pPr>
            <w:r>
              <w:t xml:space="preserve">Norādījumi </w:t>
            </w:r>
          </w:p>
        </w:tc>
      </w:tr>
      <w:tr w:rsidR="00952395"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952395" w:rsidRDefault="0083775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952395" w:rsidRDefault="0083775C">
            <w:pPr>
              <w:pStyle w:val="P68B1DB1-TableParagraph73"/>
              <w:spacing w:before="108"/>
              <w:ind w:left="85"/>
              <w:jc w:val="both"/>
              <w:rPr>
                <w:bCs/>
              </w:rPr>
            </w:pPr>
            <w:r>
              <w:t xml:space="preserve">NR. </w:t>
            </w:r>
          </w:p>
          <w:p w14:paraId="7FE1D0CB" w14:textId="1F8D9197" w:rsidR="00952395" w:rsidRDefault="0083775C">
            <w:pPr>
              <w:pStyle w:val="P68B1DB1-TableParagraph40"/>
              <w:spacing w:before="108"/>
              <w:ind w:left="85"/>
              <w:jc w:val="both"/>
            </w:pPr>
            <w:r>
              <w:t>Unikāls numurs/primārā atslēga rindas vienību identificēšanai.</w:t>
            </w:r>
          </w:p>
        </w:tc>
      </w:tr>
      <w:tr w:rsidR="00952395"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952395" w:rsidRDefault="0083775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952395" w:rsidRDefault="0083775C">
            <w:pPr>
              <w:pStyle w:val="P68B1DB1-TableParagraph73"/>
              <w:spacing w:before="108"/>
              <w:ind w:left="85"/>
              <w:jc w:val="both"/>
              <w:rPr>
                <w:bCs/>
              </w:rPr>
            </w:pPr>
            <w:r>
              <w:t xml:space="preserve">Rinda </w:t>
            </w:r>
          </w:p>
          <w:p w14:paraId="7FE1D0CF" w14:textId="3C03C281" w:rsidR="00952395" w:rsidRDefault="0083775C">
            <w:pPr>
              <w:pStyle w:val="P68B1DB1-TableParagraph40"/>
              <w:spacing w:before="108"/>
              <w:ind w:left="85"/>
              <w:jc w:val="both"/>
            </w:pPr>
            <w:r>
              <w:t>Katrai uzrādītajai rindai no iepriekš noteikta vērtību saraksta jānodrošina saskaņošana ar saistību struktūras saistību kategorijām Z02.00 termiņa līmenī.</w:t>
            </w:r>
          </w:p>
        </w:tc>
      </w:tr>
      <w:tr w:rsidR="00952395"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952395" w:rsidRDefault="0083775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952395" w:rsidRDefault="0083775C">
            <w:pPr>
              <w:pStyle w:val="P68B1DB1-TableParagraph73"/>
              <w:spacing w:before="108"/>
              <w:ind w:left="85"/>
              <w:jc w:val="both"/>
              <w:rPr>
                <w:bCs/>
              </w:rPr>
            </w:pPr>
            <w:r>
              <w:t xml:space="preserve">Sleja </w:t>
            </w:r>
          </w:p>
          <w:p w14:paraId="7FE1D0D3" w14:textId="0F37C958" w:rsidR="00952395" w:rsidRDefault="0083775C">
            <w:pPr>
              <w:pStyle w:val="P68B1DB1-TableParagraph40"/>
              <w:spacing w:before="108"/>
              <w:ind w:left="85"/>
              <w:jc w:val="both"/>
            </w:pPr>
            <w:r>
              <w:t>Attiecībā uz katru uzrādīto rindu no iepriekšdefinēta vērtību saraksta ir jāsniedz saskaņošana ar darījuma partnera kategoriju Z02.00, uz kuru attiecas saistības.</w:t>
            </w:r>
          </w:p>
        </w:tc>
      </w:tr>
      <w:tr w:rsidR="00952395"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952395" w:rsidRDefault="0083775C">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952395" w:rsidRDefault="0083775C">
            <w:pPr>
              <w:pStyle w:val="P68B1DB1-TableParagraph73"/>
              <w:spacing w:before="108"/>
              <w:ind w:left="85"/>
              <w:jc w:val="both"/>
              <w:rPr>
                <w:bCs/>
              </w:rPr>
            </w:pPr>
            <w:r>
              <w:t xml:space="preserve">Maksātnespējas pakāpe  </w:t>
            </w:r>
          </w:p>
          <w:p w14:paraId="7FE1D0D7" w14:textId="3C00E6EA" w:rsidR="00952395" w:rsidRDefault="0083775C">
            <w:pPr>
              <w:pStyle w:val="P68B1DB1-TableParagraph40"/>
              <w:spacing w:before="108"/>
              <w:ind w:left="85"/>
              <w:jc w:val="both"/>
            </w:pPr>
            <w:r>
              <w:t>Maksātnespējas pakāpe ir viena no pakāpēm, kas iekļautas minētās jurisdikcijas noregulējuma iestādes publicētajā pakāpju noteikšanā maksātnespējas procedūrā.</w:t>
            </w:r>
          </w:p>
        </w:tc>
      </w:tr>
      <w:tr w:rsidR="00952395"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952395" w:rsidRDefault="0083775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952395" w:rsidRDefault="0083775C">
            <w:pPr>
              <w:pStyle w:val="P68B1DB1-TableParagraph73"/>
              <w:spacing w:before="108"/>
              <w:ind w:left="85"/>
              <w:jc w:val="both"/>
              <w:rPr>
                <w:bCs/>
              </w:rPr>
            </w:pPr>
            <w:r>
              <w:t xml:space="preserve">Līguma identifikators </w:t>
            </w:r>
          </w:p>
          <w:p w14:paraId="7FE1D0DB" w14:textId="09A77FF8" w:rsidR="00952395" w:rsidRDefault="0083775C">
            <w:pPr>
              <w:pStyle w:val="P68B1DB1-TableParagraph40"/>
              <w:spacing w:before="108"/>
              <w:ind w:left="85"/>
              <w:jc w:val="both"/>
            </w:pPr>
            <w:r>
              <w:t>Uzrāda instrumenta ISIN vai, ja ISIN nav pieejams, citu līguma identifikatoru.</w:t>
            </w:r>
          </w:p>
        </w:tc>
      </w:tr>
      <w:tr w:rsidR="00952395"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952395" w:rsidRDefault="0083775C">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952395" w:rsidRDefault="0083775C">
            <w:pPr>
              <w:pStyle w:val="P68B1DB1-TableParagraph73"/>
              <w:spacing w:before="108"/>
              <w:ind w:left="85"/>
              <w:jc w:val="both"/>
              <w:rPr>
                <w:bCs/>
              </w:rPr>
            </w:pPr>
            <w:r>
              <w:t xml:space="preserve">Darījuma partnera nosaukums </w:t>
            </w:r>
          </w:p>
          <w:p w14:paraId="7FE1D0DF" w14:textId="5D08E31A" w:rsidR="00952395" w:rsidRDefault="0083775C">
            <w:pPr>
              <w:pStyle w:val="P68B1DB1-TableParagraph40"/>
              <w:spacing w:before="108"/>
              <w:ind w:left="85"/>
              <w:jc w:val="both"/>
            </w:pPr>
            <w:r>
              <w:t>Saistību darījuma partnera uzņēmuma nosaukums.</w:t>
            </w:r>
          </w:p>
        </w:tc>
      </w:tr>
      <w:tr w:rsidR="00952395"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952395" w:rsidRDefault="0083775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952395" w:rsidRDefault="0083775C">
            <w:pPr>
              <w:pStyle w:val="P68B1DB1-TableParagraph73"/>
              <w:spacing w:before="108"/>
              <w:ind w:left="85"/>
              <w:jc w:val="both"/>
            </w:pPr>
            <w:r>
              <w:t>Darījuma partnera identifikators</w:t>
            </w:r>
          </w:p>
          <w:p w14:paraId="7FE1D0E3" w14:textId="4E34C2DB" w:rsidR="00952395" w:rsidRDefault="0083775C">
            <w:pPr>
              <w:pStyle w:val="P68B1DB1-TableParagraph40"/>
              <w:spacing w:before="108"/>
              <w:ind w:left="85"/>
              <w:jc w:val="both"/>
            </w:pPr>
            <w:r>
              <w:t>Norāda kreditora LEI kodu. Ja nav LEI, banku pārskata gadījumā RIAD izmanto ECB monetāro finanšu iestāžu identifikatoru (MFI ID). Tikai tad, ja nav abu šo identifikatoru, uzrāda iekšējo identifikatoru.</w:t>
            </w:r>
          </w:p>
          <w:p w14:paraId="7FE1D0E4" w14:textId="1D573481" w:rsidR="00952395" w:rsidRDefault="00952395">
            <w:pPr>
              <w:pStyle w:val="TableParagraph"/>
              <w:spacing w:before="108"/>
              <w:ind w:left="85"/>
              <w:jc w:val="both"/>
              <w:rPr>
                <w:rFonts w:ascii="Times New Roman" w:eastAsia="Times New Roman" w:hAnsi="Times New Roman" w:cs="Times New Roman"/>
                <w:sz w:val="20"/>
                <w:szCs w:val="20"/>
              </w:rPr>
            </w:pPr>
          </w:p>
        </w:tc>
      </w:tr>
      <w:tr w:rsidR="00952395"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952395" w:rsidRDefault="0083775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952395" w:rsidRDefault="0083775C">
            <w:pPr>
              <w:pStyle w:val="P68B1DB1-TableParagraph73"/>
              <w:spacing w:before="108"/>
              <w:ind w:left="85"/>
              <w:jc w:val="both"/>
              <w:rPr>
                <w:bCs/>
              </w:rPr>
            </w:pPr>
            <w:r>
              <w:t xml:space="preserve">Identifikatora veids </w:t>
            </w:r>
          </w:p>
          <w:p w14:paraId="7FE1D0E8" w14:textId="77777777" w:rsidR="00952395" w:rsidRDefault="0083775C">
            <w:pPr>
              <w:pStyle w:val="P68B1DB1-TableParagraph40"/>
              <w:spacing w:before="108"/>
              <w:ind w:left="85"/>
              <w:jc w:val="both"/>
            </w:pPr>
            <w:r>
              <w:t>Jāizvēlas no šādām iespējām: “LEI kods”, “MFI kods” vai “Identifikatora veids, kas nav LEI vai MFI kods”.</w:t>
            </w:r>
          </w:p>
        </w:tc>
      </w:tr>
      <w:tr w:rsidR="00952395"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952395" w:rsidRDefault="0083775C">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952395" w:rsidRDefault="0083775C">
            <w:pPr>
              <w:pStyle w:val="P68B1DB1-TableParagraph73"/>
              <w:spacing w:before="108"/>
              <w:ind w:left="85"/>
              <w:jc w:val="both"/>
              <w:rPr>
                <w:bCs/>
              </w:rPr>
            </w:pPr>
            <w:r>
              <w:t xml:space="preserve">Reglamentējošie tiesību akti  </w:t>
            </w:r>
          </w:p>
          <w:p w14:paraId="7FE1D0EC" w14:textId="237CB9E1" w:rsidR="00952395" w:rsidRDefault="0083775C">
            <w:pPr>
              <w:pStyle w:val="P68B1DB1-TableParagraph40"/>
              <w:spacing w:before="108"/>
              <w:ind w:left="85"/>
              <w:jc w:val="both"/>
            </w:pPr>
            <w:r>
              <w:t xml:space="preserve">Tās valsts ISO 3166–1 alpha-2 kods, kuras tiesību akti reglamentē instrumentu (izmanto ISO 3166–2 kodu, ja attiecas administratīvā apakšiedalījuma tiesību akti, piemēram, “US-NY”). Ja līgumu reglamentē vairāk nekā vienas valsts tiesību akti, ziņo par valsti, kuras tiesību aktiem ir vislielākā nozīme norakstīšanas un konvertācijas pilnvaru atzīšanā.  </w:t>
            </w:r>
          </w:p>
        </w:tc>
      </w:tr>
      <w:tr w:rsidR="00952395"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952395" w:rsidRDefault="0083775C">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952395" w:rsidRDefault="0083775C">
            <w:pPr>
              <w:pStyle w:val="P68B1DB1-TableParagraph73"/>
              <w:spacing w:before="108"/>
              <w:ind w:left="85"/>
              <w:jc w:val="both"/>
              <w:rPr>
                <w:bCs/>
              </w:rPr>
            </w:pPr>
            <w:r>
              <w:t xml:space="preserve">Finanšu saistību veids </w:t>
            </w:r>
          </w:p>
          <w:p w14:paraId="7FE1D0F0" w14:textId="3ACB2D3D" w:rsidR="00952395" w:rsidRDefault="0083775C">
            <w:pPr>
              <w:pStyle w:val="P68B1DB1-TableParagraph40"/>
              <w:spacing w:before="108"/>
              <w:ind w:left="85"/>
              <w:jc w:val="both"/>
            </w:pPr>
            <w:r>
              <w:t>Jāizvēlas no šādām opcijām: “Aizdevums aizdevumam”, “Reģistrēta obligācija”, “Apmaiņas dokuments”, “Saistītas partnerības iemaksas”, “Citas finanšu saistības”.</w:t>
            </w:r>
          </w:p>
        </w:tc>
      </w:tr>
      <w:tr w:rsidR="00952395"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952395" w:rsidRDefault="0083775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952395" w:rsidRDefault="0083775C">
            <w:pPr>
              <w:pStyle w:val="P68B1DB1-TableParagraph73"/>
              <w:spacing w:before="108"/>
              <w:ind w:left="85"/>
              <w:jc w:val="both"/>
            </w:pPr>
            <w:r>
              <w:t xml:space="preserve">Ja tiesību akti ir trešās valsts tiesību akti, līgumiska atzīšana </w:t>
            </w:r>
          </w:p>
          <w:p w14:paraId="7FE1D0F6" w14:textId="77777777" w:rsidR="00952395" w:rsidRDefault="0083775C">
            <w:pPr>
              <w:pStyle w:val="P68B1DB1-TableParagraph40"/>
              <w:spacing w:before="108"/>
              <w:ind w:left="85"/>
              <w:jc w:val="both"/>
            </w:pPr>
            <w:r>
              <w:t xml:space="preserve">Līguma noteikumu noteikšana iekšējās rekapitalizācijas pilnvaru atzīšanai saskaņā ar BAND 55. pantu vai nu </w:t>
            </w:r>
          </w:p>
          <w:p w14:paraId="7FE1D0F7" w14:textId="77777777" w:rsidR="00952395" w:rsidRDefault="0083775C">
            <w:pPr>
              <w:pStyle w:val="P68B1DB1-TableParagraph40"/>
              <w:spacing w:before="108"/>
              <w:ind w:left="85"/>
              <w:jc w:val="both"/>
            </w:pPr>
            <w:r>
              <w:t>Jā, atbalstīts ar juridisko atzinumu” = saistības ietver iekšējās rekapitalizācijas atzīšanas klauzulu saskaņā ar BAND 55. pantu, ko pamato juridisks atzinums;</w:t>
            </w:r>
          </w:p>
          <w:p w14:paraId="7FE1D0F8" w14:textId="77777777" w:rsidR="00952395" w:rsidRDefault="0083775C">
            <w:pPr>
              <w:pStyle w:val="P68B1DB1-TableParagraph40"/>
              <w:spacing w:before="108"/>
              <w:ind w:left="85"/>
              <w:jc w:val="both"/>
            </w:pPr>
            <w:r>
              <w:t>“Jā, ko neatbalsta juridiskais atzinums” = saistības ietver iekšējās rekapitalizācijas atzīšanas klauzulu saskaņā ar BAND 55. pantu, kas pašlaik nav pamatota ar juridisku atzinumu;</w:t>
            </w:r>
          </w:p>
          <w:p w14:paraId="7FE1D0F9" w14:textId="77777777" w:rsidR="00952395" w:rsidRDefault="0083775C">
            <w:pPr>
              <w:pStyle w:val="P68B1DB1-TableParagraph40"/>
              <w:spacing w:before="108"/>
              <w:ind w:left="85"/>
              <w:jc w:val="both"/>
            </w:pPr>
            <w:r>
              <w:t>“Nē” = saistībās nav iekļauta iekšējās rekapitalizācijas atzīšanas klauzula;</w:t>
            </w:r>
          </w:p>
          <w:p w14:paraId="7FE1D0FA" w14:textId="07E9B1A6" w:rsidR="00952395" w:rsidRDefault="0083775C">
            <w:pPr>
              <w:pStyle w:val="P68B1DB1-TableParagraph40"/>
              <w:spacing w:before="108"/>
              <w:ind w:left="85"/>
              <w:jc w:val="both"/>
            </w:pPr>
            <w:r>
              <w:t xml:space="preserve">“Nepiemēro”,   </w:t>
            </w:r>
          </w:p>
          <w:p w14:paraId="7FE1D0FB" w14:textId="77777777" w:rsidR="00952395" w:rsidRDefault="0083775C">
            <w:pPr>
              <w:pStyle w:val="P68B1DB1-TableParagraph40"/>
              <w:spacing w:before="108"/>
              <w:ind w:left="85"/>
              <w:jc w:val="both"/>
            </w:pPr>
            <w:r>
              <w:t>no iepriekš noteikta saraksta.</w:t>
            </w:r>
          </w:p>
        </w:tc>
      </w:tr>
      <w:tr w:rsidR="00952395"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952395" w:rsidRDefault="0083775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952395" w:rsidRDefault="0083775C">
            <w:pPr>
              <w:pStyle w:val="P68B1DB1-TableParagraph73"/>
              <w:spacing w:before="108"/>
              <w:ind w:left="85"/>
              <w:jc w:val="both"/>
              <w:rPr>
                <w:bCs/>
              </w:rPr>
            </w:pPr>
            <w:r>
              <w:t xml:space="preserve">Nenomaksātā pamatsumma  </w:t>
            </w:r>
          </w:p>
          <w:p w14:paraId="7FE1D0FF" w14:textId="66FDB1F5" w:rsidR="00952395" w:rsidRDefault="0083775C">
            <w:pPr>
              <w:pStyle w:val="P68B1DB1-TableParagraph40"/>
              <w:spacing w:before="108"/>
              <w:ind w:left="85"/>
              <w:jc w:val="both"/>
            </w:pPr>
            <w:r>
              <w:t>Saistību nenomaksātā pamatsumma.</w:t>
            </w:r>
          </w:p>
        </w:tc>
      </w:tr>
      <w:tr w:rsidR="00952395"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952395" w:rsidRDefault="0083775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952395" w:rsidRDefault="0083775C">
            <w:pPr>
              <w:pStyle w:val="P68B1DB1-TableParagraph73"/>
              <w:spacing w:before="108"/>
              <w:ind w:left="85"/>
              <w:jc w:val="both"/>
              <w:rPr>
                <w:bCs/>
              </w:rPr>
            </w:pPr>
            <w:r>
              <w:t xml:space="preserve">Uzkrātie procenti </w:t>
            </w:r>
          </w:p>
          <w:p w14:paraId="7FE1D103" w14:textId="345D6EBF" w:rsidR="00952395" w:rsidRDefault="0083775C">
            <w:pPr>
              <w:pStyle w:val="P68B1DB1-TableParagraph40"/>
              <w:spacing w:before="108"/>
              <w:ind w:left="85"/>
              <w:jc w:val="both"/>
            </w:pPr>
            <w:r>
              <w:t>Nesamaksātie uzkrātie procenti par saistībām.</w:t>
            </w:r>
          </w:p>
        </w:tc>
      </w:tr>
      <w:tr w:rsidR="00952395"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952395" w:rsidRDefault="0083775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952395" w:rsidRDefault="0083775C">
            <w:pPr>
              <w:pStyle w:val="P68B1DB1-TableParagraph73"/>
              <w:spacing w:before="108"/>
              <w:ind w:left="85"/>
              <w:jc w:val="both"/>
              <w:rPr>
                <w:bCs/>
              </w:rPr>
            </w:pPr>
            <w:r>
              <w:t xml:space="preserve">Pašreizējā procentu likme (%) </w:t>
            </w:r>
          </w:p>
          <w:p w14:paraId="7FE1D107" w14:textId="574366AF" w:rsidR="00952395" w:rsidRDefault="0083775C">
            <w:pPr>
              <w:pStyle w:val="P68B1DB1-TableParagraph40"/>
              <w:spacing w:before="108"/>
              <w:ind w:left="85"/>
              <w:jc w:val="both"/>
            </w:pPr>
            <w:r>
              <w:t xml:space="preserve">Saistībām piemērojamās procentu likmes pašreizējais līmenis. </w:t>
            </w:r>
          </w:p>
        </w:tc>
      </w:tr>
      <w:tr w:rsidR="00952395"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952395" w:rsidRDefault="0083775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952395" w:rsidRDefault="0083775C">
            <w:pPr>
              <w:pStyle w:val="P68B1DB1-TableParagraph73"/>
              <w:spacing w:before="108"/>
              <w:ind w:left="85"/>
              <w:jc w:val="both"/>
              <w:rPr>
                <w:bCs/>
              </w:rPr>
            </w:pPr>
            <w:r>
              <w:t xml:space="preserve">Valūta  </w:t>
            </w:r>
          </w:p>
          <w:p w14:paraId="7FE1D10B" w14:textId="4FC71DBE" w:rsidR="00952395" w:rsidRDefault="0083775C">
            <w:pPr>
              <w:pStyle w:val="P68B1DB1-TableParagraph40"/>
              <w:spacing w:before="108"/>
              <w:ind w:left="85"/>
              <w:jc w:val="both"/>
            </w:pPr>
            <w:r>
              <w:t>Saistību valūta saskaņā ar tās ISO 4217 trīsburtu kodu.</w:t>
            </w:r>
          </w:p>
        </w:tc>
      </w:tr>
      <w:tr w:rsidR="00952395"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952395" w:rsidRDefault="0083775C">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952395" w:rsidRDefault="0083775C">
            <w:pPr>
              <w:pStyle w:val="P68B1DB1-TableParagraph73"/>
              <w:spacing w:before="108"/>
              <w:ind w:left="85"/>
              <w:jc w:val="both"/>
              <w:rPr>
                <w:bCs/>
              </w:rPr>
            </w:pPr>
            <w:r>
              <w:t xml:space="preserve">Izdošanas datums </w:t>
            </w:r>
          </w:p>
          <w:p w14:paraId="7FE1D10F" w14:textId="77777777" w:rsidR="00952395" w:rsidRDefault="0083775C">
            <w:pPr>
              <w:pStyle w:val="P68B1DB1-TableParagraph40"/>
              <w:spacing w:before="108"/>
              <w:ind w:left="85"/>
              <w:jc w:val="both"/>
            </w:pPr>
            <w:r>
              <w:lastRenderedPageBreak/>
              <w:t>Saistību sākotnējās emisijas datums.</w:t>
            </w:r>
          </w:p>
        </w:tc>
      </w:tr>
      <w:tr w:rsidR="00952395"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952395" w:rsidRDefault="0083775C">
            <w:pPr>
              <w:pStyle w:val="P68B1DB1-Normal31"/>
            </w:pPr>
            <w:r>
              <w:lastRenderedPageBreak/>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952395" w:rsidRDefault="0083775C">
            <w:pPr>
              <w:pStyle w:val="P68B1DB1-TableParagraph73"/>
              <w:spacing w:before="108"/>
              <w:ind w:left="85"/>
              <w:jc w:val="both"/>
              <w:rPr>
                <w:bCs/>
              </w:rPr>
            </w:pPr>
            <w:r>
              <w:t xml:space="preserve">Agrākais atpirkšanas datums  </w:t>
            </w:r>
          </w:p>
          <w:p w14:paraId="7FE1D113" w14:textId="6DCF0327" w:rsidR="00952395" w:rsidRDefault="0083775C">
            <w:pPr>
              <w:pStyle w:val="P68B1DB1-TableParagraph40"/>
              <w:spacing w:before="108"/>
              <w:ind w:left="85"/>
              <w:jc w:val="both"/>
            </w:pPr>
            <w:r>
              <w:t>Ja kreditoram ir iespēja pieprasīt pirmstermiņa atmaksu vai līgumā ir paredzēti nosacījumi saistību pirmstermiņa atmaksai, norāda agrāko notikuma datumu. Ja pirmstermiņa atmaksa attiecas tikai uz daļu no saistībām (piemēram, pirmstermiņa atmaksa 50 % apmērā no nominālvērtības), saistības sadala, lai ņemtu vērā šo daļējas pirmstermiņa dzēšanas klauzulu.</w:t>
            </w:r>
          </w:p>
        </w:tc>
      </w:tr>
      <w:tr w:rsidR="00952395"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952395" w:rsidRDefault="0083775C">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952395" w:rsidRDefault="0083775C">
            <w:pPr>
              <w:pStyle w:val="P68B1DB1-TableParagraph73"/>
              <w:spacing w:before="108"/>
              <w:ind w:left="85"/>
              <w:jc w:val="both"/>
              <w:rPr>
                <w:bCs/>
              </w:rPr>
            </w:pPr>
            <w:r>
              <w:t xml:space="preserve"> Likumīgais termiņš </w:t>
            </w:r>
          </w:p>
          <w:p w14:paraId="7FE1D117" w14:textId="39B8EDB9" w:rsidR="00952395" w:rsidRDefault="0083775C">
            <w:pPr>
              <w:pStyle w:val="P68B1DB1-TableParagraph40"/>
              <w:spacing w:before="108"/>
              <w:ind w:left="85"/>
              <w:jc w:val="both"/>
            </w:pPr>
            <w:r>
              <w:t>Instrumenta juridiskā un galīgā termiņa datums. Beztermiņa instrumentiem izmanto “2099–01–31”.</w:t>
            </w:r>
          </w:p>
        </w:tc>
      </w:tr>
      <w:tr w:rsidR="00952395"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952395" w:rsidRDefault="0083775C">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952395" w:rsidRDefault="0083775C">
            <w:pPr>
              <w:pStyle w:val="P68B1DB1-TableParagraph73"/>
              <w:spacing w:before="108"/>
              <w:ind w:left="85"/>
              <w:jc w:val="both"/>
              <w:rPr>
                <w:bCs/>
              </w:rPr>
            </w:pPr>
            <w:r>
              <w:t xml:space="preserve">Ķīlas, ķīlas vai nodrošinājuma summa </w:t>
            </w:r>
          </w:p>
          <w:p w14:paraId="7FE1D120" w14:textId="7CF01C3B" w:rsidR="00952395" w:rsidRDefault="0083775C">
            <w:pPr>
              <w:pStyle w:val="P68B1DB1-TableParagraph40"/>
              <w:spacing w:before="108"/>
              <w:ind w:left="85"/>
              <w:jc w:val="both"/>
            </w:pPr>
            <w:r>
              <w:t>Ja saistības ir nodrošinātas ar ķīlu, ķīlu vai nodrošinājumu, norāda to bruto tirgus vērtību. Pretējā gadījumā nenodrošinātām saistībām šo kategoriju uzrāda kā nulli. Šī summa noteiks nodrošināto un galu galā nenodrošināto saistību daļu. Nodrošinājuma portfeļiem, ar kuriem nodrošina vairākus rindas posteņus, nosaka kopējo seguma attiecību un piemēro proporcionāli visiem rindas posteņiem, uz kuriem attiecas šis portfelis.</w:t>
            </w:r>
          </w:p>
        </w:tc>
      </w:tr>
      <w:tr w:rsidR="00952395"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952395" w:rsidRDefault="0083775C">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952395" w:rsidRDefault="0083775C">
            <w:pPr>
              <w:pStyle w:val="P68B1DB1-TableParagraph73"/>
              <w:spacing w:before="108"/>
              <w:ind w:left="85"/>
              <w:jc w:val="both"/>
              <w:rPr>
                <w:bCs/>
              </w:rPr>
            </w:pPr>
            <w:r>
              <w:t xml:space="preserve">Galvinieks </w:t>
            </w:r>
          </w:p>
          <w:p w14:paraId="7FE1D124" w14:textId="216ADC15" w:rsidR="00952395" w:rsidRDefault="0083775C">
            <w:pPr>
              <w:pStyle w:val="P68B1DB1-TableParagraph40"/>
              <w:spacing w:before="108"/>
              <w:ind w:left="85"/>
              <w:jc w:val="both"/>
            </w:pPr>
            <w:r>
              <w:t>Ja instrumentam ir sniegtas garantijas, norādiet garantijas devēja sīku identifikāciju (LEI kods, ISO 3166–1 alpha-2 valsts kods valdībai utt.). Ja ir vairāki galvotāji, ziņo par visiem identifikatoriem, kas atdalīti ar semikolu.</w:t>
            </w:r>
          </w:p>
        </w:tc>
      </w:tr>
      <w:tr w:rsidR="00952395"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952395" w:rsidRDefault="0083775C">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952395" w:rsidRDefault="0083775C">
            <w:pPr>
              <w:pStyle w:val="P68B1DB1-TableParagraph73"/>
              <w:spacing w:before="108"/>
              <w:ind w:left="85"/>
              <w:jc w:val="both"/>
              <w:rPr>
                <w:bCs/>
              </w:rPr>
            </w:pPr>
            <w:r>
              <w:t xml:space="preserve">Summa, kas atbilst MREL atbilstības nosacījumiem </w:t>
            </w:r>
          </w:p>
          <w:p w14:paraId="7FE1D130" w14:textId="267C8F59" w:rsidR="00952395" w:rsidRDefault="0083775C">
            <w:pPr>
              <w:pStyle w:val="P68B1DB1-TableParagraph40"/>
              <w:spacing w:before="108"/>
              <w:ind w:left="85"/>
              <w:jc w:val="both"/>
            </w:pPr>
            <w:r>
              <w:t>Pašu kapitāla un atbilstīgo saistību summa, kas ieskaitīta prasībā, kura noteikta saskaņā ar Direktīvas 2014/59/ES 45. panta 1. punktu</w:t>
            </w:r>
          </w:p>
        </w:tc>
      </w:tr>
      <w:tr w:rsidR="00952395"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952395" w:rsidRDefault="0083775C">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952395" w:rsidRDefault="0083775C">
            <w:pPr>
              <w:pStyle w:val="P68B1DB1-TableParagraph73"/>
              <w:spacing w:before="108"/>
              <w:ind w:left="85"/>
              <w:jc w:val="both"/>
              <w:rPr>
                <w:bCs/>
              </w:rPr>
            </w:pPr>
            <w:r>
              <w:t xml:space="preserve">Kvalificējams kā pašu kapitāls </w:t>
            </w:r>
          </w:p>
          <w:p w14:paraId="7FE1D134" w14:textId="3B38CBB9" w:rsidR="00952395" w:rsidRDefault="0083775C">
            <w:pPr>
              <w:pStyle w:val="P68B1DB1-TableParagraph40"/>
              <w:spacing w:before="108"/>
              <w:ind w:left="85"/>
              <w:jc w:val="both"/>
            </w:pPr>
            <w:r>
              <w:t>Norādiet, vai un kādā līmenī instruments ir iekļauts pašu kapitālā, kā arī informāciju par pakāpeniskas pārtraukšanas režīmu un iepriekš spēkā esošo tiesību izmantošanas kārtību. No iepriekš noteikta saraksta vērtība var būt “Nē”, “daļēji AT1, T1 un T2”, “T2 tiek pakāpeniski izbeigts”, “T2, attiecībā uz kurām ir tiesības saglabāt iepriekš spēkā esošos nosacījumus”, “Fully Compliant T2”, “Pandfandfathered AT1”, “Fully Compliant AT1” vai “CET1”.</w:t>
            </w:r>
          </w:p>
        </w:tc>
      </w:tr>
      <w:tr w:rsidR="00952395"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952395" w:rsidRDefault="0083775C">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952395" w:rsidRDefault="0083775C">
            <w:pPr>
              <w:pStyle w:val="P68B1DB1-TableParagraph40"/>
              <w:spacing w:before="108"/>
              <w:ind w:left="85"/>
              <w:jc w:val="both"/>
              <w:rPr>
                <w:b/>
                <w:bCs/>
              </w:rPr>
            </w:pPr>
            <w:r>
              <w:t xml:space="preserve"> </w:t>
            </w:r>
            <w:r>
              <w:rPr>
                <w:b/>
              </w:rPr>
              <w:t>Summa, kas atbilst pašu kapitālam</w:t>
            </w:r>
          </w:p>
          <w:p w14:paraId="7FE1D138" w14:textId="48ED7147" w:rsidR="00952395" w:rsidRDefault="0083775C">
            <w:pPr>
              <w:pStyle w:val="P68B1DB1-TableParagraph40"/>
              <w:spacing w:before="108"/>
              <w:ind w:left="85"/>
              <w:jc w:val="both"/>
            </w:pPr>
            <w:r>
              <w:t>Tāda instrumenta summa, kas kvalificējams kā pašu kapitāls.</w:t>
            </w:r>
          </w:p>
        </w:tc>
      </w:tr>
    </w:tbl>
    <w:p w14:paraId="7FE1D13A" w14:textId="77777777" w:rsidR="00952395" w:rsidRDefault="00952395">
      <w:pPr>
        <w:pStyle w:val="Instructionsberschrift2"/>
        <w:ind w:left="357"/>
        <w:rPr>
          <w:rFonts w:ascii="Times New Roman" w:eastAsia="Calibri" w:hAnsi="Times New Roman" w:cs="Times New Roman"/>
          <w:szCs w:val="20"/>
        </w:rPr>
      </w:pPr>
      <w:bookmarkStart w:id="247" w:name="_Toc81454216"/>
    </w:p>
    <w:p w14:paraId="7FE1D13B" w14:textId="0DCB9703" w:rsidR="00952395" w:rsidRDefault="0083775C">
      <w:pPr>
        <w:pStyle w:val="Instructionsberschrift2"/>
        <w:numPr>
          <w:ilvl w:val="1"/>
          <w:numId w:val="49"/>
        </w:numPr>
        <w:spacing w:before="0"/>
        <w:ind w:left="357" w:hanging="357"/>
        <w:rPr>
          <w:rFonts w:ascii="Times New Roman" w:hAnsi="Times New Roman" w:cs="Times New Roman"/>
        </w:rPr>
      </w:pPr>
      <w:bookmarkStart w:id="248" w:name="_Toc208244980"/>
      <w:r>
        <w:rPr>
          <w:rFonts w:ascii="Times New Roman" w:eastAsiaTheme="minorEastAsia" w:hAnsi="Times New Roman" w:cs="Times New Roman"/>
        </w:rPr>
        <w:t xml:space="preserve">Z 15.00 — Atvasinātie instrumenti </w:t>
      </w:r>
      <w:r>
        <w:rPr>
          <w:rFonts w:ascii="Times New Roman" w:eastAsia="Calibri" w:hAnsi="Times New Roman" w:cs="Times New Roman"/>
          <w:szCs w:val="20"/>
        </w:rPr>
        <w:t>(LIAB-G-5)</w:t>
      </w:r>
      <w:bookmarkEnd w:id="248"/>
    </w:p>
    <w:bookmarkEnd w:id="247"/>
    <w:p w14:paraId="7FE1D13D" w14:textId="77777777" w:rsidR="00952395" w:rsidRDefault="0083775C">
      <w:pPr>
        <w:pStyle w:val="P68B1DB1-Numberedtitlelevel388"/>
      </w:pPr>
      <w:r>
        <w:t>Vispārīgas piezīmes</w:t>
      </w:r>
    </w:p>
    <w:p w14:paraId="7FE1D13E" w14:textId="2F22A34C" w:rsidR="00952395" w:rsidRDefault="0083775C">
      <w:pPr>
        <w:pStyle w:val="P68B1DB1-InstructionsText286"/>
        <w:numPr>
          <w:ilvl w:val="2"/>
          <w:numId w:val="209"/>
        </w:numPr>
        <w:spacing w:before="0"/>
        <w:ind w:left="1276"/>
        <w:rPr>
          <w:rFonts w:eastAsiaTheme="majorEastAsia"/>
        </w:rPr>
      </w:pPr>
      <w:r>
        <w:t xml:space="preserve">Šīs tabulas vajadzībām saistības, kas izriet no atvasinātajiem instrumentiem, uzrāda pa savstarpējo prasījumu ieskaita kopām, t. i., katru savstarpējo prasījumu ieskaita kopu uzrāda kā atsevišķu rindas posteni. </w:t>
      </w:r>
    </w:p>
    <w:p w14:paraId="7FE1D140" w14:textId="6B5870BD" w:rsidR="00952395" w:rsidRDefault="0083775C">
      <w:pPr>
        <w:pStyle w:val="P68B1DB1-InstructionsText286"/>
        <w:numPr>
          <w:ilvl w:val="2"/>
          <w:numId w:val="209"/>
        </w:numPr>
        <w:spacing w:before="0"/>
        <w:ind w:left="1276"/>
      </w:pPr>
      <w:r>
        <w:t>Uzrāda tikai atvasināto instrumentu savstarpējo prasījumu ieskaita kopas/atsevišķus līgumus, kuru rezultātā rodas neto tirgus vērtības (s0120. sleja) saistības.</w:t>
      </w:r>
    </w:p>
    <w:p w14:paraId="7FE1D142" w14:textId="77777777" w:rsidR="00952395" w:rsidRDefault="0083775C">
      <w:pPr>
        <w:pStyle w:val="P68B1DB1-Numberedtitlelevel388"/>
      </w:pPr>
      <w:r>
        <w:t>Norādījumi attiecībā uz konkrētām pozīcijām</w:t>
      </w:r>
    </w:p>
    <w:tbl>
      <w:tblPr>
        <w:tblW w:w="9015" w:type="dxa"/>
        <w:tblInd w:w="135" w:type="dxa"/>
        <w:tblLayout w:type="fixed"/>
        <w:tblLook w:val="04A0" w:firstRow="1" w:lastRow="0" w:firstColumn="1" w:lastColumn="0" w:noHBand="0" w:noVBand="1"/>
      </w:tblPr>
      <w:tblGrid>
        <w:gridCol w:w="1183"/>
        <w:gridCol w:w="7832"/>
      </w:tblGrid>
      <w:tr w:rsidR="00952395"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952395" w:rsidRDefault="0083775C">
            <w:pPr>
              <w:pStyle w:val="P68B1DB1-Normal31"/>
            </w:pPr>
            <w:r>
              <w:t xml:space="preserve">Slejas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952395" w:rsidRDefault="0083775C">
            <w:pPr>
              <w:pStyle w:val="P68B1DB1-Normal31"/>
            </w:pPr>
            <w:r>
              <w:t xml:space="preserve">Norādījumi </w:t>
            </w:r>
          </w:p>
        </w:tc>
      </w:tr>
      <w:tr w:rsidR="00952395"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952395" w:rsidRDefault="0083775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952395" w:rsidRDefault="0083775C">
            <w:pPr>
              <w:pStyle w:val="P68B1DB1-TableParagraph73"/>
              <w:spacing w:before="108"/>
              <w:ind w:left="85"/>
              <w:jc w:val="both"/>
              <w:rPr>
                <w:bCs/>
              </w:rPr>
            </w:pPr>
            <w:r>
              <w:t xml:space="preserve">NR. </w:t>
            </w:r>
          </w:p>
          <w:p w14:paraId="7FE1D148" w14:textId="7090CAA7" w:rsidR="00952395" w:rsidRDefault="0083775C">
            <w:pPr>
              <w:pStyle w:val="P68B1DB1-TableParagraph40"/>
              <w:spacing w:before="108"/>
              <w:ind w:left="85"/>
              <w:jc w:val="both"/>
            </w:pPr>
            <w:r>
              <w:lastRenderedPageBreak/>
              <w:t>Unikāls numurs/primārā atslēga rindas vienību identificēšanai.</w:t>
            </w:r>
          </w:p>
        </w:tc>
      </w:tr>
      <w:tr w:rsidR="00952395"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952395" w:rsidRDefault="0083775C">
            <w:pPr>
              <w:pStyle w:val="P68B1DB1-Normal31"/>
            </w:pPr>
            <w:r>
              <w:lastRenderedPageBreak/>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952395" w:rsidRDefault="0083775C">
            <w:pPr>
              <w:pStyle w:val="P68B1DB1-TableParagraph73"/>
              <w:spacing w:before="108"/>
              <w:ind w:left="85"/>
              <w:jc w:val="both"/>
              <w:rPr>
                <w:bCs/>
              </w:rPr>
            </w:pPr>
            <w:r>
              <w:t xml:space="preserve">Sleja </w:t>
            </w:r>
          </w:p>
          <w:p w14:paraId="7FE1D14C" w14:textId="43946C69" w:rsidR="00952395" w:rsidRDefault="0083775C">
            <w:pPr>
              <w:pStyle w:val="P68B1DB1-TableParagraph40"/>
              <w:spacing w:before="108"/>
              <w:ind w:left="85"/>
              <w:jc w:val="both"/>
            </w:pPr>
            <w:r>
              <w:t>Katrai savstarpējo prasījumu ieskaita kopai saskaņošana ar kuru no darījuma partneru klasēm Z 02.00 saistību struktūru, par kuru tā ir nolīgta, jāsniedz no iepriekš noteikta vērtību saraksta.</w:t>
            </w:r>
          </w:p>
        </w:tc>
      </w:tr>
      <w:tr w:rsidR="00952395"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952395" w:rsidRDefault="0083775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952395" w:rsidRDefault="0083775C">
            <w:pPr>
              <w:pStyle w:val="P68B1DB1-TableParagraph73"/>
              <w:spacing w:before="108"/>
              <w:ind w:left="85"/>
              <w:jc w:val="both"/>
              <w:rPr>
                <w:bCs/>
              </w:rPr>
            </w:pPr>
            <w:r>
              <w:t xml:space="preserve">Maksātnespējas pakāpe  </w:t>
            </w:r>
          </w:p>
          <w:p w14:paraId="7FE1D150" w14:textId="00926D41" w:rsidR="00952395" w:rsidRDefault="0083775C">
            <w:pPr>
              <w:pStyle w:val="P68B1DB1-TableParagraph40"/>
              <w:spacing w:before="108"/>
              <w:ind w:left="85"/>
              <w:jc w:val="both"/>
            </w:pPr>
            <w:r>
              <w:t>Maksātnespējas pakāpe ir viena no pakāpēm, kas iekļautas minētās jurisdikcijas noregulējuma iestādes publicētajā pakāpju noteikšanā maksātnespējas procedūrā.</w:t>
            </w:r>
          </w:p>
        </w:tc>
      </w:tr>
      <w:tr w:rsidR="00952395"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952395" w:rsidRDefault="0083775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952395" w:rsidRDefault="0083775C">
            <w:pPr>
              <w:pStyle w:val="P68B1DB1-TableParagraph73"/>
              <w:spacing w:before="108"/>
              <w:ind w:left="85"/>
              <w:jc w:val="both"/>
              <w:rPr>
                <w:bCs/>
              </w:rPr>
            </w:pPr>
            <w:r>
              <w:t xml:space="preserve">Pamatlīguma ID  </w:t>
            </w:r>
          </w:p>
          <w:p w14:paraId="7FE1D154" w14:textId="77777777" w:rsidR="00952395" w:rsidRDefault="0083775C">
            <w:pPr>
              <w:pStyle w:val="P68B1DB1-TableParagraph40"/>
              <w:spacing w:before="108"/>
              <w:ind w:left="85"/>
              <w:jc w:val="both"/>
            </w:pPr>
            <w:r>
              <w:t>Jumta līguma vai atsevišķa līguma iekšējais identifikators.</w:t>
            </w:r>
          </w:p>
        </w:tc>
      </w:tr>
      <w:tr w:rsidR="00952395"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952395" w:rsidRDefault="0083775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952395" w:rsidRDefault="0083775C">
            <w:pPr>
              <w:pStyle w:val="P68B1DB1-TableParagraph73"/>
              <w:spacing w:before="108"/>
              <w:ind w:left="85"/>
              <w:jc w:val="both"/>
              <w:rPr>
                <w:bCs/>
              </w:rPr>
            </w:pPr>
            <w:r>
              <w:t xml:space="preserve">Pamatlīguma veids </w:t>
            </w:r>
          </w:p>
          <w:p w14:paraId="7FE1D158" w14:textId="338F32CE" w:rsidR="00952395" w:rsidRDefault="0083775C">
            <w:pPr>
              <w:pStyle w:val="P68B1DB1-TableParagraph40"/>
              <w:spacing w:before="108"/>
              <w:ind w:left="85"/>
              <w:jc w:val="both"/>
            </w:pPr>
            <w:r>
              <w:t>No iepriekš noteikta saraksta precizēt pamatlīgumu, vai nu “ISDA 2002 pamatlīgums”, “ISDA 1992. gada pamatlīgums”, “ISDA 1987. gada pamatlīgums”, “ISDA 1986. gada pamatlīgums”, “ISDA 1985. gada pamatlīgums”, “cits pamatnolīgums”, “Vienotais līgums”.</w:t>
            </w:r>
          </w:p>
        </w:tc>
      </w:tr>
      <w:tr w:rsidR="00952395"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952395" w:rsidRDefault="0083775C">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952395" w:rsidRDefault="0083775C">
            <w:pPr>
              <w:pStyle w:val="P68B1DB1-TableParagraph73"/>
              <w:spacing w:before="108"/>
              <w:ind w:left="85"/>
              <w:jc w:val="both"/>
              <w:rPr>
                <w:bCs/>
              </w:rPr>
            </w:pPr>
            <w:r>
              <w:t xml:space="preserve">ISDA protokolam atbilstoša struktūra  </w:t>
            </w:r>
          </w:p>
          <w:p w14:paraId="7FE1D15C" w14:textId="34C9BF40" w:rsidR="00952395" w:rsidRDefault="0083775C">
            <w:pPr>
              <w:pStyle w:val="P68B1DB1-TableParagraph40"/>
              <w:spacing w:before="108"/>
              <w:ind w:left="85"/>
              <w:jc w:val="both"/>
            </w:pPr>
            <w:r>
              <w:t xml:space="preserve">Norādiet, vai struktūra pati ir parakstījusi ISDA Universālās uzturēšanās protokolu, proti, “ISDA Vispārējais protokols”, “ISDA JMP modulis”, “BRRD II Omnibus Jurisdikcijas modulis” vai “Nē” no iepriekš noteikta saraksta. </w:t>
            </w:r>
          </w:p>
        </w:tc>
      </w:tr>
      <w:tr w:rsidR="00952395"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952395" w:rsidRDefault="0083775C">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952395" w:rsidRDefault="0083775C">
            <w:pPr>
              <w:pStyle w:val="P68B1DB1-TableParagraph73"/>
              <w:spacing w:before="108"/>
              <w:ind w:left="85"/>
              <w:jc w:val="both"/>
              <w:rPr>
                <w:bCs/>
              </w:rPr>
            </w:pPr>
            <w:r>
              <w:t xml:space="preserve">Noregulējuma pagaidu atzīšana  </w:t>
            </w:r>
          </w:p>
          <w:p w14:paraId="7FE1D160" w14:textId="59E963FA" w:rsidR="00952395" w:rsidRDefault="0083775C">
            <w:pPr>
              <w:pStyle w:val="P68B1DB1-TableParagraph40"/>
              <w:spacing w:before="108"/>
              <w:ind w:left="85"/>
              <w:jc w:val="both"/>
            </w:pPr>
            <w:r>
              <w:t>Norādiet, vai darījuma partneris ir ievērojis vai nu “ISDA universālo protokolu”, “ISDA JMP moduli”, “Citu nolīgumu par noregulējuma apturēšanas atzīšanu” vai “Noregulējuma apturēšanas atzīšanu” no iepriekš noteikta saraksta.</w:t>
            </w:r>
          </w:p>
        </w:tc>
      </w:tr>
      <w:tr w:rsidR="00952395"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952395" w:rsidRDefault="0083775C">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952395" w:rsidRDefault="0083775C">
            <w:pPr>
              <w:pStyle w:val="P68B1DB1-TableParagraph73"/>
              <w:spacing w:before="108"/>
              <w:ind w:left="85"/>
              <w:jc w:val="both"/>
              <w:rPr>
                <w:bCs/>
              </w:rPr>
            </w:pPr>
            <w:r>
              <w:t xml:space="preserve">Darījumu partnera nosaukums </w:t>
            </w:r>
          </w:p>
          <w:p w14:paraId="7FE1D164" w14:textId="222EF1A6" w:rsidR="00952395" w:rsidRDefault="0083775C">
            <w:pPr>
              <w:pStyle w:val="P68B1DB1-TableParagraph40"/>
              <w:spacing w:before="108"/>
              <w:ind w:left="85"/>
              <w:jc w:val="both"/>
            </w:pPr>
            <w:bookmarkStart w:id="249" w:name="_Hlk189839311"/>
            <w:r>
              <w:t>Darījuma partnera uzņēmuma nosaukums.</w:t>
            </w:r>
            <w:bookmarkEnd w:id="249"/>
            <w:r>
              <w:t xml:space="preserve"> Attiecībā uz atvasinātajiem instrumentiem, kam tīrvērte veikta CCP, norāda attiecīgo CCP kā darījuma partneri.</w:t>
            </w:r>
          </w:p>
        </w:tc>
      </w:tr>
      <w:tr w:rsidR="00952395"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952395" w:rsidRDefault="0083775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952395" w:rsidRDefault="0083775C">
            <w:pPr>
              <w:pStyle w:val="P68B1DB1-TableParagraph73"/>
              <w:spacing w:before="108"/>
              <w:ind w:left="85"/>
              <w:jc w:val="both"/>
              <w:rPr>
                <w:bCs/>
              </w:rPr>
            </w:pPr>
            <w:r>
              <w:t xml:space="preserve">Darījuma partnera identifikators </w:t>
            </w:r>
          </w:p>
          <w:p w14:paraId="7FE1D168" w14:textId="7D4036D9" w:rsidR="00952395" w:rsidRDefault="0083775C">
            <w:pPr>
              <w:pStyle w:val="P68B1DB1-TableParagraph40"/>
              <w:spacing w:before="108"/>
              <w:ind w:left="85"/>
              <w:jc w:val="both"/>
            </w:pPr>
            <w:r>
              <w:t xml:space="preserve">Norāda darījuma partnera LEI kodu. Ja nav LEI, banku pārskata gadījumā RIAD izmanto ECB monetāro finanšu iestāžu identifikatoru (MFI ID). Ja abu šo identifikatoru nav, norāda iekšējo identifikatoru. </w:t>
            </w:r>
          </w:p>
        </w:tc>
      </w:tr>
      <w:tr w:rsidR="00952395"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952395" w:rsidRDefault="0083775C">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952395" w:rsidRDefault="0083775C">
            <w:pPr>
              <w:pStyle w:val="P68B1DB1-TableParagraph73"/>
              <w:spacing w:before="108"/>
              <w:ind w:left="85"/>
              <w:jc w:val="both"/>
              <w:rPr>
                <w:bCs/>
              </w:rPr>
            </w:pPr>
            <w:r>
              <w:t xml:space="preserve">Identifikatora veids </w:t>
            </w:r>
          </w:p>
          <w:p w14:paraId="7FE1D16C" w14:textId="77777777" w:rsidR="00952395" w:rsidRDefault="0083775C">
            <w:pPr>
              <w:pStyle w:val="P68B1DB1-TableParagraph40"/>
              <w:spacing w:before="108"/>
              <w:ind w:left="85"/>
              <w:jc w:val="both"/>
            </w:pPr>
            <w:r>
              <w:t>Jāizvēlas no šādām iespējām: “LEI kods”, “MFI kods” vai “Identifikatora veids, kas nav LEI vai MFI kods”.</w:t>
            </w:r>
          </w:p>
        </w:tc>
      </w:tr>
      <w:tr w:rsidR="00952395"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952395" w:rsidRDefault="0083775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952395" w:rsidRDefault="0083775C">
            <w:pPr>
              <w:pStyle w:val="P68B1DB1-TableParagraph73"/>
              <w:spacing w:before="108"/>
              <w:ind w:left="85"/>
              <w:jc w:val="both"/>
              <w:rPr>
                <w:bCs/>
              </w:rPr>
            </w:pPr>
            <w:r>
              <w:t xml:space="preserve">Darījumu partnera valsts  </w:t>
            </w:r>
          </w:p>
          <w:p w14:paraId="7FE1D170" w14:textId="77777777" w:rsidR="00952395" w:rsidRDefault="0083775C">
            <w:pPr>
              <w:pStyle w:val="P68B1DB1-TableParagraph40"/>
              <w:spacing w:before="108"/>
              <w:ind w:left="85"/>
              <w:jc w:val="both"/>
            </w:pPr>
            <w:r>
              <w:t>Tās valsts ISO 3166–1 alpha-2 identifikācija, kurā darījuma partneris ir inkorporēts.</w:t>
            </w:r>
          </w:p>
        </w:tc>
      </w:tr>
      <w:tr w:rsidR="00952395"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952395" w:rsidRDefault="0083775C">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952395" w:rsidRDefault="0083775C">
            <w:pPr>
              <w:pStyle w:val="P68B1DB1-TableParagraph73"/>
              <w:spacing w:before="108"/>
              <w:ind w:left="85"/>
              <w:jc w:val="both"/>
              <w:rPr>
                <w:bCs/>
              </w:rPr>
            </w:pPr>
            <w:r>
              <w:t>Grupas iekšējais darījums</w:t>
            </w:r>
          </w:p>
          <w:p w14:paraId="1EA32667" w14:textId="1995F401" w:rsidR="00952395" w:rsidRDefault="0083775C">
            <w:pPr>
              <w:pStyle w:val="P68B1DB1-TableParagraph40"/>
              <w:spacing w:before="108"/>
              <w:ind w:left="85"/>
              <w:jc w:val="both"/>
            </w:pPr>
            <w:r>
              <w:t>Pārskatu sniedzošajai vienībai ir jānorāda, vai paziņotais darījums tiek veikts ar darījumu partneri, kas ietilpst galīgā mātesuzņēmuma grāmatvedības konsolidācijas tvērumā. Pieļaujamās vērtības ir “patiess” vai “false”.</w:t>
            </w:r>
          </w:p>
        </w:tc>
      </w:tr>
      <w:tr w:rsidR="00952395"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952395" w:rsidRDefault="0083775C">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952395" w:rsidRDefault="0083775C">
            <w:pPr>
              <w:pStyle w:val="P68B1DB1-TableParagraph73"/>
              <w:spacing w:before="108"/>
              <w:ind w:left="85"/>
              <w:jc w:val="both"/>
              <w:rPr>
                <w:bCs/>
              </w:rPr>
            </w:pPr>
            <w:r>
              <w:t>Pamatlīguma/vienotā līguma piemērojamie tiesību akti</w:t>
            </w:r>
          </w:p>
          <w:p w14:paraId="7FE1D178" w14:textId="69ED3535" w:rsidR="00952395" w:rsidRDefault="0083775C">
            <w:pPr>
              <w:pStyle w:val="P68B1DB1-TableParagraph40"/>
              <w:spacing w:before="108"/>
              <w:ind w:left="85"/>
              <w:jc w:val="both"/>
            </w:pPr>
            <w:r>
              <w:t xml:space="preserve">Tās valsts ISO 3166–1 alpha-2 kods, kuras tiesību akti reglamentē jumta līgumu/vienoto līgumu (izmanto ISO 3166–2 kodu, ja attiecas administratīvā apakšiedalījuma tiesību akti, piemēram, “US-NY”). Ja līgumu reglamentē vairāk nekā vienas valsts tiesību akti, ziņo par valsti, kuras tiesību aktiem ir vislielākā nozīme norakstīšanas un konvertācijas pilnvaru atzīšanā.  </w:t>
            </w:r>
          </w:p>
        </w:tc>
      </w:tr>
      <w:tr w:rsidR="00952395"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952395" w:rsidRDefault="0083775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952395" w:rsidRDefault="0083775C">
            <w:pPr>
              <w:pStyle w:val="P68B1DB1-TableParagraph73"/>
              <w:spacing w:before="108"/>
              <w:ind w:left="85"/>
              <w:jc w:val="both"/>
              <w:rPr>
                <w:bCs/>
              </w:rPr>
            </w:pPr>
            <w:r>
              <w:t xml:space="preserve">Pārbaudīto darījumu skaits  </w:t>
            </w:r>
          </w:p>
          <w:p w14:paraId="7FE1D17C" w14:textId="77777777" w:rsidR="00952395" w:rsidRDefault="0083775C">
            <w:pPr>
              <w:pStyle w:val="P68B1DB1-TableParagraph40"/>
              <w:spacing w:before="108"/>
              <w:ind w:left="85"/>
              <w:jc w:val="both"/>
            </w:pPr>
            <w:r>
              <w:lastRenderedPageBreak/>
              <w:t>Norādiet to atsevišķo līgumu skaitu, kas ir iekļauti pamatlīgumu savstarpējo prasījumu ieskaita kopā.</w:t>
            </w:r>
          </w:p>
        </w:tc>
      </w:tr>
      <w:tr w:rsidR="00952395"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952395" w:rsidRDefault="0083775C">
            <w:pPr>
              <w:pStyle w:val="P68B1DB1-Normal31"/>
            </w:pPr>
            <w:r>
              <w:lastRenderedPageBreak/>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952395" w:rsidRDefault="0083775C">
            <w:pPr>
              <w:pStyle w:val="P68B1DB1-TableParagraph73"/>
              <w:spacing w:before="108"/>
              <w:ind w:left="85"/>
              <w:jc w:val="both"/>
              <w:rPr>
                <w:bCs/>
              </w:rPr>
            </w:pPr>
            <w:r>
              <w:t xml:space="preserve">Neto vērtība pēc tirgus vērtības </w:t>
            </w:r>
          </w:p>
          <w:p w14:paraId="7FE1D180" w14:textId="229346B5" w:rsidR="00952395" w:rsidRDefault="0083775C">
            <w:pPr>
              <w:pStyle w:val="P68B1DB1-TableParagraph40"/>
              <w:spacing w:before="108"/>
              <w:ind w:left="85"/>
              <w:jc w:val="both"/>
            </w:pPr>
            <w:r>
              <w:t xml:space="preserve">Atvasināto instrumentu saistību neto tirgus vērtība katrā savstarpējo prasījumu līgumiskā ieskaita kopā, pieņemot, ka atvasinātie instrumenti tiek slēgti atsauces datumā. </w:t>
            </w:r>
          </w:p>
        </w:tc>
      </w:tr>
      <w:tr w:rsidR="00952395"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952395" w:rsidRDefault="0083775C">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952395" w:rsidRDefault="0083775C">
            <w:pPr>
              <w:pStyle w:val="P68B1DB1-TableParagraph73"/>
              <w:spacing w:before="108"/>
              <w:ind w:left="85"/>
              <w:jc w:val="both"/>
              <w:rPr>
                <w:bCs/>
              </w:rPr>
            </w:pPr>
            <w:r>
              <w:t xml:space="preserve">Sniegtā neto nodrošinājuma vērtība </w:t>
            </w:r>
          </w:p>
          <w:p w14:paraId="7FE1D184" w14:textId="014CEFC4" w:rsidR="00952395" w:rsidRDefault="0083775C">
            <w:pPr>
              <w:pStyle w:val="P68B1DB1-TableParagraph40"/>
              <w:spacing w:before="108"/>
              <w:ind w:left="85"/>
              <w:jc w:val="both"/>
            </w:pPr>
            <w:r>
              <w:t>Savstarpējo prasījumu ieskaita kopas nodrošinājuma pozīciju neto tirgus vērtība (t. i., sniegtais nodrošinājums samazināts par jebkuru saņemto nodrošinājumu). Tas ietver visus maržinālos kontus saskaņā ar savstarpējo prasījumu ieskaita līgumiem. Uzrāda kā pozitīvu vērtību attiecībā uz neto nodrošinājumu, kas iesniegts darījumu partneriem.</w:t>
            </w:r>
          </w:p>
        </w:tc>
      </w:tr>
      <w:tr w:rsidR="00952395"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952395" w:rsidRDefault="0083775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952395" w:rsidRDefault="0083775C">
            <w:pPr>
              <w:pStyle w:val="P68B1DB1-TableParagraph40"/>
              <w:spacing w:before="108"/>
              <w:ind w:left="85"/>
              <w:jc w:val="both"/>
              <w:rPr>
                <w:b/>
                <w:bCs/>
              </w:rPr>
            </w:pPr>
            <w:r>
              <w:t xml:space="preserve"> </w:t>
            </w:r>
            <w:r>
              <w:rPr>
                <w:b/>
              </w:rPr>
              <w:t>Aplēstā slēgšanas summa</w:t>
            </w:r>
          </w:p>
          <w:p w14:paraId="7FE1D188" w14:textId="63DBB8B6" w:rsidR="00952395" w:rsidRDefault="0083775C">
            <w:pPr>
              <w:pStyle w:val="P68B1DB1-TableParagraph40"/>
              <w:spacing w:before="108"/>
              <w:ind w:left="85"/>
              <w:jc w:val="both"/>
            </w:pPr>
            <w:r>
              <w:t xml:space="preserve">Aplēstā slēgšanas summa, kas sedz to zaudējumu vai izmaksu summu, kas radušies atvasināto instrumentu darījumu partneriem, vai peļņu, ko tie guvuši, aizstājot vai iegūstot ekonomisko ekvivalentu saskaņā ar līgumu būtiskajiem noteikumiem un pušu izvēles tiesībām attiecībā uz izbeigtajiem līgumiem. Dažreiz; aplēses, kas vajadzīgas, lai noteiktu šo vērtību saskaņā ar Deleģēto regulu (ES) 2016/1401, ir grūti paziņot individuāli. Tāpēc to vietā var izmantot aizstājējvērtības, kuru pamatā var būt pieejamie dati, </w:t>
            </w:r>
            <w:r>
              <w:t>piemēram, prudenciālās prasības tirgus riskam. Pozitīva vērtība aplēstajai slēgšanas summai palielina aplēsto priekšlaicīgas izbeigšanas summu, savukārt negatīva zīme samazinātu aplēsto priekšlaicīgas izbeigšanas summu.</w:t>
            </w:r>
          </w:p>
        </w:tc>
      </w:tr>
      <w:tr w:rsidR="00952395"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952395" w:rsidRDefault="0083775C">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952395" w:rsidRDefault="0083775C">
            <w:pPr>
              <w:pStyle w:val="P68B1DB1-TableParagraph40"/>
              <w:spacing w:before="108"/>
              <w:ind w:left="85"/>
              <w:jc w:val="both"/>
              <w:rPr>
                <w:b/>
                <w:bCs/>
              </w:rPr>
            </w:pPr>
            <w:r>
              <w:t xml:space="preserve"> </w:t>
            </w:r>
            <w:r>
              <w:rPr>
                <w:b/>
              </w:rPr>
              <w:t>Aplēstā priekšlaicīgas izbeigšanas summa</w:t>
            </w:r>
          </w:p>
          <w:p w14:paraId="7FE1D18C" w14:textId="77777777" w:rsidR="00952395" w:rsidRDefault="0083775C">
            <w:pPr>
              <w:pStyle w:val="P68B1DB1-TableParagraph40"/>
              <w:spacing w:before="108"/>
              <w:ind w:left="85"/>
              <w:jc w:val="both"/>
            </w:pPr>
            <w:r>
              <w:t>Atsaucoties uz Deleģēto regulu (ES) 2016/1401 par atvasināto instrumentu vērtēšanu saskaņā ar BAND 49. panta 4. punktu, šo summu nosaka šādi:</w:t>
            </w:r>
          </w:p>
        </w:tc>
      </w:tr>
      <w:tr w:rsidR="00952395" w14:paraId="7FE1D190" w14:textId="77777777">
        <w:tc>
          <w:tcPr>
            <w:tcW w:w="1183" w:type="dxa"/>
            <w:vMerge/>
            <w:tcBorders>
              <w:right w:val="single" w:sz="8" w:space="0" w:color="1A171C"/>
            </w:tcBorders>
            <w:vAlign w:val="center"/>
          </w:tcPr>
          <w:p w14:paraId="7FE1D18E" w14:textId="77777777" w:rsidR="00952395" w:rsidRDefault="00952395">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952395" w:rsidRDefault="0083775C">
            <w:pPr>
              <w:pStyle w:val="P68B1DB1-TableParagraph40"/>
              <w:spacing w:before="108"/>
              <w:ind w:left="85"/>
              <w:jc w:val="both"/>
            </w:pPr>
            <w:r>
              <w:t xml:space="preserve"> “Vērtētājs nosaka to saistību vērtību, kuras izriet no atvasināto instrumentu līgumiem, kā priekšlaicīgas izbeigšanas summu, ko aprēķina, saskaitot šādas summas: </w:t>
            </w:r>
          </w:p>
        </w:tc>
      </w:tr>
      <w:tr w:rsidR="00952395" w14:paraId="7FE1D193" w14:textId="77777777">
        <w:tc>
          <w:tcPr>
            <w:tcW w:w="1183" w:type="dxa"/>
            <w:vMerge/>
            <w:tcBorders>
              <w:right w:val="single" w:sz="8" w:space="0" w:color="1A171C"/>
            </w:tcBorders>
            <w:vAlign w:val="center"/>
          </w:tcPr>
          <w:p w14:paraId="7FE1D191" w14:textId="77777777" w:rsidR="00952395" w:rsidRDefault="00952395">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952395" w:rsidRDefault="0083775C">
            <w:pPr>
              <w:pStyle w:val="P68B1DB1-TableParagraph40"/>
              <w:spacing w:before="108"/>
              <w:ind w:left="85"/>
              <w:jc w:val="both"/>
            </w:pPr>
            <w:r>
              <w:t xml:space="preserve"> · Nesamaksātās summas, nodrošinājums vai citas summas, kas noregulējamajai iestādei ir jāmaksā darījumu partnerim, atskaitot nesamaksātās summas, nodrošinājumu un citas summas, kas darījumu partnerim ir jāmaksā noregulējamajai iestādei slēgšanas dienā; kā arī</w:t>
            </w:r>
          </w:p>
        </w:tc>
      </w:tr>
      <w:tr w:rsidR="00952395" w14:paraId="7FE1D196" w14:textId="77777777">
        <w:tc>
          <w:tcPr>
            <w:tcW w:w="1183" w:type="dxa"/>
            <w:vMerge/>
            <w:tcBorders>
              <w:right w:val="single" w:sz="8" w:space="0" w:color="1A171C"/>
            </w:tcBorders>
            <w:vAlign w:val="center"/>
          </w:tcPr>
          <w:p w14:paraId="7FE1D194" w14:textId="77777777" w:rsidR="00952395" w:rsidRDefault="00952395">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952395" w:rsidRDefault="0083775C">
            <w:pPr>
              <w:pStyle w:val="P68B1DB1-TableParagraph40"/>
              <w:spacing w:before="108"/>
              <w:ind w:left="85"/>
              <w:jc w:val="both"/>
            </w:pPr>
            <w:r>
              <w:t xml:space="preserve"> · Slēgšanas summa, kas sedz to zaudējumu vai izmaksu summu, kas radušies atvasināto instrumentu darījumu partneriem, vai peļņu, ko tie guvuši, aizstājot vai iegūstot ekonomisko ekvivalentu saskaņā ar līgumu būtiskajiem noteikumiem un pušu izvēles tiesībām attiecībā uz izbeigtajiem līgumiem.”</w:t>
            </w:r>
          </w:p>
        </w:tc>
      </w:tr>
      <w:tr w:rsidR="00952395" w14:paraId="7FE1D199" w14:textId="77777777">
        <w:tc>
          <w:tcPr>
            <w:tcW w:w="1183" w:type="dxa"/>
            <w:vMerge/>
            <w:tcBorders>
              <w:right w:val="single" w:sz="8" w:space="0" w:color="1A171C"/>
            </w:tcBorders>
            <w:vAlign w:val="center"/>
          </w:tcPr>
          <w:p w14:paraId="7FE1D197" w14:textId="77777777" w:rsidR="00952395" w:rsidRDefault="00952395">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952395" w:rsidRDefault="0083775C">
            <w:pPr>
              <w:pStyle w:val="P68B1DB1-TableParagraph40"/>
              <w:spacing w:before="108"/>
              <w:ind w:left="85"/>
              <w:jc w:val="both"/>
            </w:pPr>
            <w:r>
              <w:t xml:space="preserve"> Tādējādi paredzamajai agrīnas izbeigšanas summai jābūt vienādai ar neto tirgus vērtību (c0120) — norīkotā neto nodrošinājuma vērtība (c0130) + aplēstā noslēguma summa (0140).</w:t>
            </w:r>
          </w:p>
        </w:tc>
      </w:tr>
    </w:tbl>
    <w:p w14:paraId="7FE1D19A" w14:textId="77777777" w:rsidR="00952395" w:rsidRDefault="00952395">
      <w:pPr>
        <w:pStyle w:val="Instructionsberschrift2"/>
        <w:ind w:left="357"/>
        <w:rPr>
          <w:rFonts w:ascii="Times New Roman" w:eastAsia="Calibri" w:hAnsi="Times New Roman" w:cs="Times New Roman"/>
          <w:szCs w:val="20"/>
        </w:rPr>
      </w:pPr>
      <w:bookmarkStart w:id="250" w:name="_Toc81454217"/>
    </w:p>
    <w:p w14:paraId="7FE1D19B" w14:textId="08247010" w:rsidR="00952395" w:rsidRDefault="0083775C">
      <w:pPr>
        <w:pStyle w:val="Instructionsberschrift2"/>
        <w:numPr>
          <w:ilvl w:val="1"/>
          <w:numId w:val="49"/>
        </w:numPr>
        <w:spacing w:before="0"/>
        <w:ind w:left="357" w:hanging="357"/>
        <w:rPr>
          <w:rFonts w:ascii="Times New Roman" w:hAnsi="Times New Roman" w:cs="Times New Roman"/>
        </w:rPr>
      </w:pPr>
      <w:bookmarkStart w:id="251" w:name="_Toc208244981"/>
      <w:r>
        <w:rPr>
          <w:rFonts w:ascii="Times New Roman" w:eastAsiaTheme="minorEastAsia" w:hAnsi="Times New Roman" w:cs="Times New Roman"/>
        </w:rPr>
        <w:t xml:space="preserve">Z 16.00 — nodrošinātie finanšu darījumi, izņemot grupas iekšējos darījumus </w:t>
      </w:r>
      <w:r>
        <w:rPr>
          <w:rFonts w:ascii="Times New Roman" w:eastAsia="Calibri" w:hAnsi="Times New Roman" w:cs="Times New Roman"/>
          <w:szCs w:val="20"/>
        </w:rPr>
        <w:t>(LIAB-G-6)</w:t>
      </w:r>
      <w:bookmarkEnd w:id="251"/>
    </w:p>
    <w:p w14:paraId="7FE1D19C" w14:textId="07C13721" w:rsidR="00952395" w:rsidRDefault="0083775C">
      <w:pPr>
        <w:pStyle w:val="P68B1DB1-Instructionsberschrift289"/>
        <w:rPr>
          <w:rFonts w:eastAsiaTheme="minorEastAsia"/>
        </w:rPr>
      </w:pPr>
      <w:r>
        <w:t xml:space="preserve"> </w:t>
      </w:r>
      <w:bookmarkEnd w:id="250"/>
    </w:p>
    <w:p w14:paraId="7FE1D19D" w14:textId="77777777" w:rsidR="00952395" w:rsidRDefault="0083775C">
      <w:pPr>
        <w:pStyle w:val="P68B1DB1-Numberedtitlelevel388"/>
      </w:pPr>
      <w:r>
        <w:t>Vispārīgas piezīmes</w:t>
      </w:r>
    </w:p>
    <w:p w14:paraId="7FE1D19E" w14:textId="3901B7DB" w:rsidR="00952395" w:rsidRDefault="0083775C">
      <w:pPr>
        <w:pStyle w:val="P68B1DB1-InstructionsText286"/>
        <w:numPr>
          <w:ilvl w:val="2"/>
          <w:numId w:val="209"/>
        </w:numPr>
        <w:spacing w:before="0"/>
        <w:ind w:left="1276"/>
        <w:rPr>
          <w:rFonts w:eastAsiaTheme="majorEastAsia"/>
        </w:rPr>
      </w:pPr>
      <w:r>
        <w:t xml:space="preserve">Nodrošinātais finansējums ietver visus finansēšanas mehānismus, uz kuriem attiecas nodrošinājuma, ķīlu vai ķīlas tiesību sniegšana, izņemot, piemēram, vērtspapīrus, kas jāuzrāda Z12.00. </w:t>
      </w:r>
    </w:p>
    <w:p w14:paraId="7FE1D19F" w14:textId="77777777" w:rsidR="00952395" w:rsidRDefault="0083775C">
      <w:pPr>
        <w:pStyle w:val="P68B1DB1-InstructionsText286"/>
        <w:numPr>
          <w:ilvl w:val="2"/>
          <w:numId w:val="209"/>
        </w:numPr>
        <w:spacing w:before="0"/>
        <w:ind w:left="1276"/>
      </w:pPr>
      <w:r>
        <w:t>Tipiski šādu pasākumu piemēri ir centrālās bankas finansēšanas vai atpirkšanas līgumi.</w:t>
      </w:r>
    </w:p>
    <w:p w14:paraId="7FE1D1A0" w14:textId="77777777" w:rsidR="00952395" w:rsidRDefault="0083775C">
      <w:pPr>
        <w:pStyle w:val="P68B1DB1-InstructionsText286"/>
        <w:numPr>
          <w:ilvl w:val="2"/>
          <w:numId w:val="209"/>
        </w:numPr>
        <w:spacing w:before="0"/>
        <w:ind w:left="1276"/>
      </w:pPr>
      <w:r>
        <w:t>Ir jāuzrāda nodrošinātās saistības, nevis pats nodrošinājums.</w:t>
      </w:r>
    </w:p>
    <w:p w14:paraId="7FE1D1A1" w14:textId="437B0574" w:rsidR="00952395" w:rsidRDefault="0083775C">
      <w:pPr>
        <w:pStyle w:val="P68B1DB1-InstructionsText286"/>
        <w:numPr>
          <w:ilvl w:val="2"/>
          <w:numId w:val="209"/>
        </w:numPr>
        <w:spacing w:before="0"/>
        <w:ind w:left="1276"/>
      </w:pPr>
      <w:r>
        <w:lastRenderedPageBreak/>
        <w:t xml:space="preserve">Šīs tabulas vajadzībām nodrošinātie finansēšanas līgumi jāuzrāda pa savstarpējo prasījumu ieskaita kopām, t. i., katru savstarpējo prasījumu ieskaita kopu uzrāda kā atsevišķu rindas posteni. Tomēr vienas un tās pašas savstarpējo prasījumu ieskaita kopas nodrošinātā daļa un nenodrošinātā daļa jāuzrāda dažādos rindas posteņos, ja tie attiecas uz dažādām maksātnespējas pakāpēm. </w:t>
      </w:r>
    </w:p>
    <w:p w14:paraId="7FE1D1A2" w14:textId="77777777" w:rsidR="00952395" w:rsidRDefault="0083775C">
      <w:pPr>
        <w:pStyle w:val="P68B1DB1-InstructionsText286"/>
        <w:numPr>
          <w:ilvl w:val="2"/>
          <w:numId w:val="209"/>
        </w:numPr>
        <w:spacing w:before="0"/>
        <w:ind w:left="1276"/>
      </w:pPr>
      <w:r>
        <w:t>Šajā sakarā nav piemērojamas ziņošanas robežvērtības.</w:t>
      </w:r>
    </w:p>
    <w:p w14:paraId="7FE1D1A3" w14:textId="77777777" w:rsidR="00952395" w:rsidRDefault="0083775C">
      <w:pPr>
        <w:pStyle w:val="P68B1DB1-Numberedtitlelevel388"/>
      </w:pPr>
      <w:r>
        <w:t>Norādījumi attiecībā uz konkrētām pozīcijām</w:t>
      </w:r>
    </w:p>
    <w:tbl>
      <w:tblPr>
        <w:tblW w:w="9015" w:type="dxa"/>
        <w:tblInd w:w="135" w:type="dxa"/>
        <w:tblLayout w:type="fixed"/>
        <w:tblLook w:val="04A0" w:firstRow="1" w:lastRow="0" w:firstColumn="1" w:lastColumn="0" w:noHBand="0" w:noVBand="1"/>
      </w:tblPr>
      <w:tblGrid>
        <w:gridCol w:w="1183"/>
        <w:gridCol w:w="7832"/>
      </w:tblGrid>
      <w:tr w:rsidR="00952395"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952395" w:rsidRDefault="0083775C">
            <w:pPr>
              <w:pStyle w:val="P68B1DB1-Normal31"/>
            </w:pPr>
            <w:r>
              <w:t xml:space="preserve">Slejas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952395" w:rsidRDefault="0083775C">
            <w:pPr>
              <w:pStyle w:val="P68B1DB1-Normal31"/>
            </w:pPr>
            <w:r>
              <w:t xml:space="preserve">Norādījumi </w:t>
            </w:r>
          </w:p>
        </w:tc>
      </w:tr>
      <w:tr w:rsidR="00952395"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952395" w:rsidRDefault="0083775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952395" w:rsidRDefault="0083775C">
            <w:pPr>
              <w:pStyle w:val="P68B1DB1-TableParagraph40"/>
              <w:spacing w:before="108"/>
              <w:ind w:left="85"/>
              <w:jc w:val="both"/>
              <w:rPr>
                <w:b/>
                <w:bCs/>
              </w:rPr>
            </w:pPr>
            <w:r>
              <w:t xml:space="preserve"> </w:t>
            </w:r>
            <w:r>
              <w:rPr>
                <w:b/>
              </w:rPr>
              <w:t>NR.</w:t>
            </w:r>
          </w:p>
          <w:p w14:paraId="7FE1D1A9" w14:textId="7C09A169" w:rsidR="00952395" w:rsidRDefault="0083775C">
            <w:pPr>
              <w:pStyle w:val="P68B1DB1-TableParagraph40"/>
              <w:spacing w:before="108"/>
              <w:ind w:left="85"/>
              <w:jc w:val="both"/>
            </w:pPr>
            <w:r>
              <w:t>Unikāls numurs/primārā atslēga rindas vienību identificēšanai.</w:t>
            </w:r>
          </w:p>
        </w:tc>
      </w:tr>
      <w:tr w:rsidR="00952395"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952395" w:rsidRDefault="0083775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952395" w:rsidRDefault="0083775C">
            <w:pPr>
              <w:pStyle w:val="P68B1DB1-TableParagraph40"/>
              <w:spacing w:before="108"/>
              <w:ind w:left="85"/>
              <w:jc w:val="both"/>
              <w:rPr>
                <w:b/>
                <w:bCs/>
              </w:rPr>
            </w:pPr>
            <w:r>
              <w:t xml:space="preserve"> </w:t>
            </w:r>
            <w:r>
              <w:rPr>
                <w:b/>
              </w:rPr>
              <w:t>Sleja</w:t>
            </w:r>
          </w:p>
          <w:p w14:paraId="7FE1D1AD" w14:textId="57B67374" w:rsidR="00952395" w:rsidRDefault="0083775C">
            <w:pPr>
              <w:pStyle w:val="P68B1DB1-TableParagraph40"/>
              <w:spacing w:before="108"/>
              <w:ind w:left="85"/>
              <w:jc w:val="both"/>
            </w:pPr>
            <w:r>
              <w:t>Katrai savstarpējo prasījumu ieskaita kopai saskaņošana ar darījuma partneru kategoriju Z02.00, uz kuru attiecas saistības, ir jānodrošina no iepriekš noteikta vērtību saraksta.</w:t>
            </w:r>
          </w:p>
        </w:tc>
      </w:tr>
      <w:tr w:rsidR="00952395"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952395" w:rsidRDefault="0083775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952395" w:rsidRDefault="0083775C">
            <w:pPr>
              <w:pStyle w:val="P68B1DB1-TableParagraph40"/>
              <w:spacing w:before="108"/>
              <w:ind w:left="85"/>
              <w:jc w:val="both"/>
              <w:rPr>
                <w:b/>
                <w:bCs/>
              </w:rPr>
            </w:pPr>
            <w:r>
              <w:t xml:space="preserve"> </w:t>
            </w:r>
            <w:r>
              <w:rPr>
                <w:b/>
              </w:rPr>
              <w:t>Maksātnespējas atļaušana</w:t>
            </w:r>
          </w:p>
          <w:p w14:paraId="7FE1D1B1" w14:textId="0D780E4C" w:rsidR="00952395" w:rsidRDefault="0083775C">
            <w:pPr>
              <w:pStyle w:val="P68B1DB1-TableParagraph40"/>
              <w:spacing w:before="108"/>
              <w:ind w:left="85"/>
              <w:jc w:val="both"/>
            </w:pPr>
            <w:r>
              <w:t>Maksātnespējas pakāpe ir viena no pakāpēm, kas iekļautas minētās jurisdikcijas noregulējuma iestādes publicētajā pakāpju noteikšanā maksātnespējas procedūrā.</w:t>
            </w:r>
          </w:p>
        </w:tc>
      </w:tr>
      <w:tr w:rsidR="00952395"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952395" w:rsidRDefault="0083775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952395" w:rsidRDefault="0083775C">
            <w:pPr>
              <w:pStyle w:val="P68B1DB1-TableParagraph73"/>
              <w:spacing w:before="108"/>
              <w:ind w:left="85"/>
              <w:jc w:val="both"/>
              <w:rPr>
                <w:bCs/>
              </w:rPr>
            </w:pPr>
            <w:r>
              <w:t xml:space="preserve"> Pamatlīguma ID </w:t>
            </w:r>
          </w:p>
          <w:p w14:paraId="7FE1D1B5" w14:textId="77777777" w:rsidR="00952395" w:rsidRDefault="0083775C">
            <w:pPr>
              <w:pStyle w:val="P68B1DB1-TableParagraph40"/>
              <w:spacing w:before="108"/>
              <w:ind w:left="85"/>
              <w:jc w:val="both"/>
            </w:pPr>
            <w:r>
              <w:t>Jumta līguma vai atsevišķa līguma iekšējais identifikators.</w:t>
            </w:r>
          </w:p>
        </w:tc>
      </w:tr>
      <w:tr w:rsidR="00952395"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952395" w:rsidRDefault="0083775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952395" w:rsidRDefault="0083775C">
            <w:pPr>
              <w:pStyle w:val="P68B1DB1-TableParagraph73"/>
              <w:spacing w:before="108"/>
              <w:ind w:left="85"/>
              <w:jc w:val="both"/>
              <w:rPr>
                <w:bCs/>
              </w:rPr>
            </w:pPr>
            <w:r>
              <w:t xml:space="preserve"> MA veids (piemēram, LMRA) </w:t>
            </w:r>
          </w:p>
          <w:p w14:paraId="7FE1D1B9" w14:textId="7472E062" w:rsidR="00952395" w:rsidRDefault="0083775C">
            <w:pPr>
              <w:pStyle w:val="P68B1DB1-TableParagraph40"/>
              <w:spacing w:before="108"/>
              <w:ind w:left="85"/>
              <w:jc w:val="both"/>
            </w:pPr>
            <w:r>
              <w:t>No iepriekš noteikta saraksta precizē jumta līgumu, vai nu “ICMA 2011 Global jumta līgumus par aktīvu pārdošanu ar atpirkšanu”, “ICMA 2000 Global jumta līgumus par aktīvu pārdošanu ar atpirkšanu”, “ICMA 1995 Global jumta līgumus par aktīvu pārdošanu ar atpirkšanu”, “ICMA 1992 Global jumta līgumus par aktīvu pārdošanu ar atpirkšanu”, “citus globālos pamatlīgumus par aktīvu pārdošanu ar atpirkšanu” vai “vienotu līgumu”.</w:t>
            </w:r>
          </w:p>
        </w:tc>
      </w:tr>
      <w:tr w:rsidR="00952395"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952395" w:rsidRDefault="0083775C">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952395" w:rsidRDefault="0083775C">
            <w:pPr>
              <w:pStyle w:val="P68B1DB1-TableParagraph73"/>
              <w:spacing w:before="108"/>
              <w:ind w:left="85"/>
              <w:jc w:val="both"/>
              <w:rPr>
                <w:bCs/>
              </w:rPr>
            </w:pPr>
            <w:bookmarkStart w:id="252" w:name="_Hlk189839338"/>
            <w:r>
              <w:t xml:space="preserve">Darījuma partnera nosaukums </w:t>
            </w:r>
          </w:p>
          <w:bookmarkEnd w:id="252"/>
          <w:p w14:paraId="7FE1D1BD" w14:textId="0E71EEA1" w:rsidR="00952395" w:rsidRDefault="0083775C">
            <w:pPr>
              <w:pStyle w:val="P68B1DB1-TableParagraph40"/>
              <w:spacing w:before="108"/>
              <w:ind w:left="85"/>
              <w:jc w:val="both"/>
            </w:pPr>
            <w:r>
              <w:t>Darījuma partnera uzņēmuma nosaukums.</w:t>
            </w:r>
          </w:p>
        </w:tc>
      </w:tr>
      <w:tr w:rsidR="00952395"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952395" w:rsidRDefault="0083775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952395" w:rsidRDefault="0083775C">
            <w:pPr>
              <w:pStyle w:val="P68B1DB1-TableParagraph40"/>
              <w:spacing w:before="108"/>
              <w:ind w:left="85"/>
              <w:jc w:val="both"/>
              <w:rPr>
                <w:b/>
                <w:bCs/>
              </w:rPr>
            </w:pPr>
            <w:r>
              <w:t xml:space="preserve"> </w:t>
            </w:r>
            <w:r>
              <w:rPr>
                <w:b/>
              </w:rPr>
              <w:t>Darījuma partneris (LEI/MFI/vietējais identifikators)</w:t>
            </w:r>
          </w:p>
          <w:p w14:paraId="7FE1D1C1" w14:textId="5ADC0AB9" w:rsidR="00952395" w:rsidRDefault="0083775C">
            <w:pPr>
              <w:pStyle w:val="P68B1DB1-TableParagraph40"/>
              <w:spacing w:before="108"/>
              <w:ind w:left="85"/>
              <w:jc w:val="both"/>
            </w:pPr>
            <w:r>
              <w:t>Norāda kreditora LEI kodu. Ja nav LEI, banku pārskata gadījumā RIAD izmanto ECB monetāro finanšu iestāžu identifikatoru (MFI ID). Ja abu šo identifikatoru nav, norāda iekšējo identifikatoru.</w:t>
            </w:r>
          </w:p>
        </w:tc>
      </w:tr>
      <w:tr w:rsidR="00952395"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952395" w:rsidRDefault="0083775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952395" w:rsidRDefault="0083775C">
            <w:pPr>
              <w:pStyle w:val="P68B1DB1-TableParagraph73"/>
              <w:spacing w:before="108"/>
              <w:ind w:left="85"/>
              <w:jc w:val="both"/>
              <w:rPr>
                <w:bCs/>
              </w:rPr>
            </w:pPr>
            <w:r>
              <w:t xml:space="preserve">Identifikatora veids </w:t>
            </w:r>
          </w:p>
          <w:p w14:paraId="7FE1D1C5" w14:textId="77777777" w:rsidR="00952395" w:rsidRDefault="0083775C">
            <w:pPr>
              <w:pStyle w:val="P68B1DB1-TableParagraph40"/>
              <w:spacing w:before="108"/>
              <w:ind w:left="85"/>
              <w:jc w:val="both"/>
            </w:pPr>
            <w:r>
              <w:t>Jāizvēlas no šādām iespējām: “LEI kods”, “MFI kods” vai “Identifikatora veids, kas nav LEI vai MFI kods”.</w:t>
            </w:r>
          </w:p>
        </w:tc>
      </w:tr>
      <w:tr w:rsidR="00952395"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952395" w:rsidRDefault="0083775C">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952395" w:rsidRDefault="0083775C">
            <w:pPr>
              <w:pStyle w:val="P68B1DB1-TableParagraph40"/>
              <w:spacing w:before="108"/>
              <w:ind w:left="85"/>
              <w:jc w:val="both"/>
              <w:rPr>
                <w:b/>
                <w:bCs/>
              </w:rPr>
            </w:pPr>
            <w:r>
              <w:t xml:space="preserve"> </w:t>
            </w:r>
            <w:r>
              <w:rPr>
                <w:b/>
              </w:rPr>
              <w:t>Darījuma partnera valsts</w:t>
            </w:r>
          </w:p>
          <w:p w14:paraId="7FE1D1C9" w14:textId="77777777" w:rsidR="00952395" w:rsidRDefault="0083775C">
            <w:pPr>
              <w:pStyle w:val="P68B1DB1-TableParagraph40"/>
              <w:spacing w:before="108"/>
              <w:ind w:left="85"/>
              <w:jc w:val="both"/>
            </w:pPr>
            <w:r>
              <w:t>Tās valsts nosaukums, kurā darījumu partneris ir inkorporēts.</w:t>
            </w:r>
          </w:p>
        </w:tc>
      </w:tr>
      <w:tr w:rsidR="00952395"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952395" w:rsidRDefault="0083775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952395" w:rsidRDefault="0083775C">
            <w:pPr>
              <w:pStyle w:val="P68B1DB1-TableParagraph40"/>
              <w:spacing w:before="108"/>
              <w:ind w:left="85"/>
              <w:jc w:val="both"/>
              <w:rPr>
                <w:b/>
                <w:bCs/>
              </w:rPr>
            </w:pPr>
            <w:r>
              <w:t xml:space="preserve"> </w:t>
            </w:r>
            <w:r>
              <w:rPr>
                <w:b/>
              </w:rPr>
              <w:t>VI/vienotā darījuma reglamentējošie tiesību akti</w:t>
            </w:r>
          </w:p>
          <w:p w14:paraId="7FE1D1CD" w14:textId="77777777" w:rsidR="00952395" w:rsidRDefault="0083775C">
            <w:pPr>
              <w:pStyle w:val="P68B1DB1-TableParagraph40"/>
              <w:spacing w:before="108"/>
              <w:ind w:left="85"/>
              <w:jc w:val="both"/>
            </w:pPr>
            <w:r>
              <w:t xml:space="preserve">Tās valsts nosaukums, kuras tiesību akti reglamentē VI/vienoto līgumu. Ja līgumu reglamentē vairāk nekā vienas valsts tiesību akti, ziņo par valsti, kuras tiesību aktiem ir vislielākā nozīme norakstīšanas un konvertācijas pilnvaru atzīšanā.  </w:t>
            </w:r>
          </w:p>
        </w:tc>
      </w:tr>
      <w:tr w:rsidR="00952395"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952395" w:rsidRDefault="0083775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952395" w:rsidRDefault="0083775C">
            <w:pPr>
              <w:pStyle w:val="P68B1DB1-TableParagraph40"/>
              <w:spacing w:before="108"/>
              <w:ind w:left="85"/>
              <w:jc w:val="both"/>
              <w:rPr>
                <w:b/>
                <w:bCs/>
              </w:rPr>
            </w:pPr>
            <w:r>
              <w:t xml:space="preserve"> </w:t>
            </w:r>
            <w:r>
              <w:rPr>
                <w:b/>
              </w:rPr>
              <w:t>Pārbaudīto darījumu skaits</w:t>
            </w:r>
          </w:p>
          <w:p w14:paraId="7FE1D1D1" w14:textId="77777777" w:rsidR="00952395" w:rsidRDefault="0083775C">
            <w:pPr>
              <w:pStyle w:val="P68B1DB1-TableParagraph40"/>
              <w:spacing w:before="108"/>
              <w:ind w:left="85"/>
              <w:jc w:val="both"/>
            </w:pPr>
            <w:r>
              <w:t>Norādiet to atsevišķo līgumu skaitu, kas ir iekļauti vadošās iestādes savstarpējo prasījumu ieskaita kopā.</w:t>
            </w:r>
          </w:p>
        </w:tc>
      </w:tr>
      <w:tr w:rsidR="00952395"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952395" w:rsidRDefault="0083775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952395" w:rsidRDefault="0083775C">
            <w:pPr>
              <w:pStyle w:val="P68B1DB1-TableParagraph40"/>
              <w:spacing w:before="108"/>
              <w:ind w:left="85"/>
              <w:jc w:val="both"/>
              <w:rPr>
                <w:b/>
                <w:bCs/>
              </w:rPr>
            </w:pPr>
            <w:r>
              <w:t xml:space="preserve"> </w:t>
            </w:r>
            <w:r>
              <w:rPr>
                <w:b/>
              </w:rPr>
              <w:t>Saņemtā finansējuma neto summa</w:t>
            </w:r>
          </w:p>
          <w:p w14:paraId="7FE1D1D5" w14:textId="40508D2F" w:rsidR="00952395" w:rsidRDefault="0083775C">
            <w:pPr>
              <w:pStyle w:val="P68B1DB1-TableParagraph40"/>
              <w:spacing w:before="108"/>
              <w:ind w:left="85"/>
              <w:jc w:val="both"/>
            </w:pPr>
            <w:r>
              <w:t xml:space="preserve">Norāda saskaņā ar nodrošinātajiem finansēšanas līgumiem saņemtā finansējuma neto summu, ņemot vērā visus darījumus, uz kuriem attiecas savstarpējā ieskaita līgums. Jāņem vērā, ka šī </w:t>
            </w:r>
            <w:r>
              <w:lastRenderedPageBreak/>
              <w:t>summa neietver uzkrātos procentus, bet attiecīgā summa 0120. rindā Z02.00.</w:t>
            </w:r>
          </w:p>
        </w:tc>
      </w:tr>
      <w:tr w:rsidR="00952395"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952395" w:rsidRDefault="0083775C">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952395" w:rsidRDefault="0083775C">
            <w:pPr>
              <w:pStyle w:val="P68B1DB1-TableParagraph73"/>
              <w:spacing w:before="108"/>
              <w:ind w:left="85"/>
              <w:jc w:val="both"/>
              <w:rPr>
                <w:bCs/>
              </w:rPr>
            </w:pPr>
            <w:r>
              <w:t xml:space="preserve"> Norīkotā nodrošinājuma neto summa  </w:t>
            </w:r>
          </w:p>
          <w:p w14:paraId="7FE1D1D9" w14:textId="6D452434" w:rsidR="00952395" w:rsidRDefault="0083775C">
            <w:pPr>
              <w:pStyle w:val="P68B1DB1-TableParagraph40"/>
              <w:spacing w:before="108"/>
              <w:ind w:left="85"/>
              <w:jc w:val="both"/>
            </w:pPr>
            <w:r>
              <w:t>Katrai savstarpējo prasījumu ieskaita kopai norāda tāda nodrošinājuma neto vērtību, kas iesniegts, lai segtu nodrošinātos finansēšanas darījumus, ņemot vērā visas nodrošinājuma pozīcijas, kas ņemtas vērā savstarpējā ieskaita līgumā. Tas ietver jebkādu nodrošinājuma vai drošības rezerves summu, kas tiek apmainīta.</w:t>
            </w:r>
          </w:p>
        </w:tc>
      </w:tr>
    </w:tbl>
    <w:p w14:paraId="7FE1D1DB" w14:textId="77777777" w:rsidR="00952395" w:rsidRDefault="00952395">
      <w:pPr>
        <w:pStyle w:val="Instructionsberschrift2"/>
        <w:ind w:left="357"/>
        <w:rPr>
          <w:rFonts w:ascii="Times New Roman" w:eastAsia="Calibri" w:hAnsi="Times New Roman" w:cs="Times New Roman"/>
          <w:szCs w:val="20"/>
        </w:rPr>
      </w:pPr>
      <w:bookmarkStart w:id="253" w:name="_Toc81454218"/>
    </w:p>
    <w:p w14:paraId="7FE1D1DC" w14:textId="4F83132F" w:rsidR="00952395" w:rsidRDefault="0083775C">
      <w:pPr>
        <w:pStyle w:val="Instructionsberschrift2"/>
        <w:numPr>
          <w:ilvl w:val="1"/>
          <w:numId w:val="49"/>
        </w:numPr>
        <w:spacing w:before="0"/>
        <w:ind w:left="357" w:hanging="357"/>
        <w:rPr>
          <w:rFonts w:ascii="Times New Roman" w:hAnsi="Times New Roman" w:cs="Times New Roman"/>
        </w:rPr>
      </w:pPr>
      <w:bookmarkStart w:id="254" w:name="_Toc208244982"/>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Citas nefinanšu saistības (kas nav iekļautas citās cilnēs, izņemot grupas iekšējās saistības) </w:t>
      </w:r>
      <w:r>
        <w:rPr>
          <w:rFonts w:ascii="Times New Roman" w:eastAsia="Calibri" w:hAnsi="Times New Roman" w:cs="Times New Roman"/>
          <w:szCs w:val="20"/>
        </w:rPr>
        <w:t>(LIAB-G-7)</w:t>
      </w:r>
      <w:bookmarkEnd w:id="254"/>
    </w:p>
    <w:bookmarkEnd w:id="253"/>
    <w:p w14:paraId="7FE1D1DD" w14:textId="28BEEC11" w:rsidR="00952395" w:rsidRDefault="00952395">
      <w:pPr>
        <w:pStyle w:val="Instructionsberschrift2"/>
        <w:ind w:left="357"/>
        <w:rPr>
          <w:rFonts w:ascii="Times New Roman" w:eastAsiaTheme="minorEastAsia" w:hAnsi="Times New Roman" w:cs="Times New Roman"/>
          <w:u w:val="none"/>
        </w:rPr>
      </w:pPr>
    </w:p>
    <w:p w14:paraId="7FE1D1DE" w14:textId="77777777" w:rsidR="00952395" w:rsidRDefault="0083775C">
      <w:pPr>
        <w:pStyle w:val="P68B1DB1-Numberedtitlelevel388"/>
      </w:pPr>
      <w:r>
        <w:t>Vispārīgas piezīmes</w:t>
      </w:r>
    </w:p>
    <w:p w14:paraId="7FE1D1DF" w14:textId="6152DD19" w:rsidR="00952395" w:rsidRDefault="0083775C">
      <w:pPr>
        <w:pStyle w:val="P68B1DB1-InstructionsText286"/>
        <w:numPr>
          <w:ilvl w:val="2"/>
          <w:numId w:val="209"/>
        </w:numPr>
        <w:spacing w:before="0"/>
        <w:ind w:left="1276"/>
        <w:rPr>
          <w:rFonts w:eastAsiaTheme="majorEastAsia"/>
        </w:rPr>
      </w:pPr>
      <w:r>
        <w:t>Šajā tabulā ietvertas nefinanšu saistības, piemēram, uzkrājumi, nodokļu saistības un nākamo periodu ienākumi.</w:t>
      </w:r>
    </w:p>
    <w:p w14:paraId="7FE1D1E0" w14:textId="6480C40E" w:rsidR="00952395" w:rsidRDefault="0083775C">
      <w:pPr>
        <w:pStyle w:val="P68B1DB1-InstructionsText286"/>
        <w:numPr>
          <w:ilvl w:val="2"/>
          <w:numId w:val="209"/>
        </w:numPr>
        <w:spacing w:before="0"/>
        <w:ind w:left="1276"/>
      </w:pPr>
      <w:r>
        <w:t>Šīs saistības sagrupē pēc nefinanšu saistību veida un maksātnespējas prioritātes.</w:t>
      </w:r>
    </w:p>
    <w:p w14:paraId="7FE1D1E2" w14:textId="77777777" w:rsidR="00952395" w:rsidRDefault="0083775C">
      <w:pPr>
        <w:pStyle w:val="P68B1DB1-Numberedtitlelevel388"/>
      </w:pPr>
      <w:r>
        <w:t>Norādījumi attiecībā uz konkrētām pozīcijām</w:t>
      </w:r>
    </w:p>
    <w:tbl>
      <w:tblPr>
        <w:tblW w:w="9015" w:type="dxa"/>
        <w:tblInd w:w="135" w:type="dxa"/>
        <w:tblLayout w:type="fixed"/>
        <w:tblLook w:val="04A0" w:firstRow="1" w:lastRow="0" w:firstColumn="1" w:lastColumn="0" w:noHBand="0" w:noVBand="1"/>
      </w:tblPr>
      <w:tblGrid>
        <w:gridCol w:w="1183"/>
        <w:gridCol w:w="7832"/>
      </w:tblGrid>
      <w:tr w:rsidR="00952395"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952395" w:rsidRDefault="0083775C">
            <w:pPr>
              <w:pStyle w:val="P68B1DB1-Normal31"/>
            </w:pPr>
            <w:r>
              <w:t xml:space="preserve">Slejas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952395" w:rsidRDefault="0083775C">
            <w:pPr>
              <w:pStyle w:val="P68B1DB1-Normal31"/>
            </w:pPr>
            <w:r>
              <w:t xml:space="preserve">Norādījumi </w:t>
            </w:r>
          </w:p>
        </w:tc>
      </w:tr>
      <w:tr w:rsidR="00952395"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952395" w:rsidRDefault="0083775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952395" w:rsidRDefault="0083775C">
            <w:pPr>
              <w:pStyle w:val="P68B1DB1-TableParagraph73"/>
              <w:spacing w:before="108"/>
              <w:ind w:left="85"/>
              <w:jc w:val="both"/>
              <w:rPr>
                <w:bCs/>
              </w:rPr>
            </w:pPr>
            <w:r>
              <w:t xml:space="preserve"> NR. </w:t>
            </w:r>
          </w:p>
          <w:p w14:paraId="7FE1D1E8" w14:textId="5AB7F74C" w:rsidR="00952395" w:rsidRDefault="0083775C">
            <w:pPr>
              <w:pStyle w:val="P68B1DB1-TableParagraph40"/>
              <w:spacing w:before="108"/>
              <w:ind w:left="85"/>
              <w:jc w:val="both"/>
            </w:pPr>
            <w:r>
              <w:t>Unikāls numurs/primārā atslēga rindas vienību identificēšanai.</w:t>
            </w:r>
          </w:p>
        </w:tc>
      </w:tr>
      <w:tr w:rsidR="00952395"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952395" w:rsidRDefault="0083775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952395" w:rsidRDefault="0083775C">
            <w:pPr>
              <w:pStyle w:val="P68B1DB1-TableParagraph73"/>
              <w:spacing w:before="108"/>
              <w:ind w:left="85"/>
              <w:jc w:val="both"/>
              <w:rPr>
                <w:bCs/>
              </w:rPr>
            </w:pPr>
            <w:r>
              <w:t xml:space="preserve"> Rinda </w:t>
            </w:r>
          </w:p>
          <w:p w14:paraId="7FE1D1EC" w14:textId="31DF728D" w:rsidR="00952395" w:rsidRDefault="0083775C">
            <w:pPr>
              <w:pStyle w:val="P68B1DB1-TableParagraph40"/>
              <w:spacing w:before="108"/>
              <w:ind w:left="85"/>
              <w:jc w:val="both"/>
            </w:pPr>
            <w:r>
              <w:t>Attiecībā uz katru saistību termiņa līmenī, izmantojot iepriekš noteiktu vērtību sarakstu, ir jānodrošina saskaņošana ar saistību struktūras saistību kategorijām Z02.00.</w:t>
            </w:r>
          </w:p>
        </w:tc>
      </w:tr>
      <w:tr w:rsidR="00952395"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952395" w:rsidRDefault="0083775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952395" w:rsidRDefault="0083775C">
            <w:pPr>
              <w:pStyle w:val="P68B1DB1-TableParagraph40"/>
              <w:spacing w:before="108"/>
              <w:ind w:left="85"/>
              <w:jc w:val="both"/>
              <w:rPr>
                <w:b/>
                <w:bCs/>
              </w:rPr>
            </w:pPr>
            <w:r>
              <w:t xml:space="preserve"> </w:t>
            </w:r>
            <w:r>
              <w:rPr>
                <w:b/>
              </w:rPr>
              <w:t>Sleja</w:t>
            </w:r>
          </w:p>
          <w:p w14:paraId="7FE1D1F0" w14:textId="2D865C88" w:rsidR="00952395" w:rsidRDefault="0083775C">
            <w:pPr>
              <w:pStyle w:val="P68B1DB1-TableParagraph40"/>
              <w:spacing w:before="108"/>
              <w:ind w:left="85"/>
              <w:jc w:val="both"/>
            </w:pPr>
            <w:r>
              <w:t>Attiecībā uz katru saistību no iepriekš noteikta vērtību saraksta ir jānodrošina saskaņošana ar darījuma partnera kategoriju Z 02.00, uz kuru attiecas saistības.</w:t>
            </w:r>
          </w:p>
        </w:tc>
      </w:tr>
      <w:tr w:rsidR="00952395"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952395" w:rsidRDefault="0083775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952395" w:rsidRDefault="0083775C">
            <w:pPr>
              <w:pStyle w:val="P68B1DB1-TableParagraph40"/>
              <w:spacing w:before="108"/>
              <w:ind w:left="85"/>
              <w:jc w:val="both"/>
              <w:rPr>
                <w:b/>
                <w:bCs/>
              </w:rPr>
            </w:pPr>
            <w:r>
              <w:t xml:space="preserve"> </w:t>
            </w:r>
            <w:r>
              <w:rPr>
                <w:b/>
              </w:rPr>
              <w:t>Maksātnespējas atļaušana</w:t>
            </w:r>
          </w:p>
          <w:p w14:paraId="7FE1D1F4" w14:textId="16989963" w:rsidR="00952395" w:rsidRDefault="0083775C">
            <w:pPr>
              <w:pStyle w:val="P68B1DB1-TableParagraph40"/>
              <w:spacing w:before="108"/>
              <w:ind w:left="85"/>
              <w:jc w:val="both"/>
            </w:pPr>
            <w:r>
              <w:t>Maksātnespējas pakāpe ir viena no pakāpēm, kas iekļautas minētās jurisdikcijas noregulējuma iestādes publicētajā pakāpju noteikšanā maksātnespējas procedūrā.</w:t>
            </w:r>
          </w:p>
        </w:tc>
      </w:tr>
      <w:tr w:rsidR="00952395"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952395" w:rsidRDefault="0083775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952395" w:rsidRDefault="0083775C">
            <w:pPr>
              <w:pStyle w:val="P68B1DB1-TableParagraph73"/>
              <w:spacing w:before="108"/>
              <w:ind w:left="85"/>
              <w:jc w:val="both"/>
              <w:rPr>
                <w:bCs/>
              </w:rPr>
            </w:pPr>
            <w:r>
              <w:t xml:space="preserve">Līguma identifikators </w:t>
            </w:r>
          </w:p>
          <w:p w14:paraId="7FE1D1F8" w14:textId="77777777" w:rsidR="00952395" w:rsidRDefault="0083775C">
            <w:pPr>
              <w:pStyle w:val="P68B1DB1-TableParagraph40"/>
              <w:spacing w:before="108"/>
              <w:ind w:left="85"/>
              <w:jc w:val="both"/>
            </w:pPr>
            <w:r>
              <w:t>Līguma iekšējais identifikators kā ekvivalents vērtspapīru ISIN.</w:t>
            </w:r>
          </w:p>
        </w:tc>
      </w:tr>
      <w:tr w:rsidR="00952395"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952395" w:rsidRDefault="0083775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952395" w:rsidRDefault="0083775C">
            <w:pPr>
              <w:pStyle w:val="P68B1DB1-TableParagraph73"/>
              <w:spacing w:before="108"/>
              <w:ind w:left="85"/>
              <w:jc w:val="both"/>
              <w:rPr>
                <w:bCs/>
              </w:rPr>
            </w:pPr>
            <w:r>
              <w:t xml:space="preserve"> Darījuma partnera identifikators </w:t>
            </w:r>
          </w:p>
          <w:p w14:paraId="7FE1D1FC" w14:textId="3D6CB4CA" w:rsidR="00952395" w:rsidRDefault="0083775C">
            <w:pPr>
              <w:pStyle w:val="P68B1DB1-TableParagraph40"/>
              <w:spacing w:before="108"/>
              <w:ind w:left="85"/>
              <w:jc w:val="both"/>
            </w:pPr>
            <w:r>
              <w:t>Norāda kreditora LEI kodu. Ja nav LEI, banku pārskata gadījumā RIAD izmanto ECB monetāro finanšu iestāžu identifikatoru (MFI ID). Ja abu šo identifikatoru nav, norāda iekšējo identifikatoru.</w:t>
            </w:r>
          </w:p>
        </w:tc>
      </w:tr>
      <w:tr w:rsidR="00952395"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952395" w:rsidRDefault="0083775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952395" w:rsidRDefault="0083775C">
            <w:pPr>
              <w:pStyle w:val="P68B1DB1-TableParagraph73"/>
              <w:spacing w:before="108"/>
              <w:ind w:left="85"/>
              <w:jc w:val="both"/>
              <w:rPr>
                <w:bCs/>
              </w:rPr>
            </w:pPr>
            <w:r>
              <w:t xml:space="preserve">Identifikatora veids </w:t>
            </w:r>
          </w:p>
          <w:p w14:paraId="7FE1D200" w14:textId="77777777" w:rsidR="00952395" w:rsidRDefault="0083775C">
            <w:pPr>
              <w:pStyle w:val="P68B1DB1-TableParagraph40"/>
              <w:spacing w:before="108"/>
              <w:ind w:left="85"/>
              <w:jc w:val="both"/>
            </w:pPr>
            <w:r>
              <w:t>Jāizvēlas no šādām iespējām: “LEI kods”, “MFI kods” vai “Identifikatora veids, kas nav LEI vai MFI kods”.</w:t>
            </w:r>
          </w:p>
        </w:tc>
      </w:tr>
      <w:tr w:rsidR="00952395"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952395" w:rsidRDefault="0083775C">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952395" w:rsidRDefault="0083775C">
            <w:pPr>
              <w:pStyle w:val="P68B1DB1-TableParagraph40"/>
              <w:spacing w:before="108"/>
              <w:ind w:left="85"/>
              <w:jc w:val="both"/>
              <w:rPr>
                <w:b/>
                <w:bCs/>
              </w:rPr>
            </w:pPr>
            <w:r>
              <w:t xml:space="preserve"> </w:t>
            </w:r>
            <w:r>
              <w:rPr>
                <w:b/>
              </w:rPr>
              <w:t>Piemērojamie tiesību akti</w:t>
            </w:r>
          </w:p>
          <w:p w14:paraId="7FE1D204" w14:textId="24CB3395" w:rsidR="00952395" w:rsidRDefault="0083775C">
            <w:pPr>
              <w:pStyle w:val="P68B1DB1-TableParagraph40"/>
              <w:spacing w:before="108"/>
              <w:ind w:left="85"/>
              <w:jc w:val="both"/>
            </w:pPr>
            <w:r>
              <w:t xml:space="preserve">Tās valsts nosaukums, kuras tiesību akti reglamentē atbildību. Ja līgumu reglamentē vairāk nekā vienas valsts tiesību akti, ziņo par valsti, kuras tiesību aktiem ir vislielākā nozīme norakstīšanas un konvertācijas pilnvaru atzīšanā.  </w:t>
            </w:r>
          </w:p>
        </w:tc>
      </w:tr>
      <w:tr w:rsidR="00952395"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952395" w:rsidRDefault="0083775C">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952395" w:rsidRDefault="0083775C">
            <w:pPr>
              <w:pStyle w:val="P68B1DB1-TableParagraph40"/>
              <w:spacing w:before="108"/>
              <w:ind w:left="85"/>
              <w:jc w:val="both"/>
              <w:rPr>
                <w:b/>
                <w:bCs/>
              </w:rPr>
            </w:pPr>
            <w:r>
              <w:t xml:space="preserve"> </w:t>
            </w:r>
            <w:r>
              <w:rPr>
                <w:b/>
              </w:rPr>
              <w:t>Nefinanšu saistību veids</w:t>
            </w:r>
          </w:p>
          <w:p w14:paraId="7FE1D208" w14:textId="234E81AF" w:rsidR="00952395" w:rsidRDefault="0083775C">
            <w:pPr>
              <w:pStyle w:val="P68B1DB1-TableParagraph40"/>
              <w:spacing w:before="108"/>
              <w:ind w:left="85"/>
              <w:jc w:val="both"/>
            </w:pPr>
            <w:r>
              <w:t>Jāizvēlas no šādām iespējām:</w:t>
            </w:r>
          </w:p>
          <w:p w14:paraId="7FE1D209" w14:textId="1B19E45B" w:rsidR="00952395" w:rsidRDefault="0083775C">
            <w:pPr>
              <w:pStyle w:val="P68B1DB1-TableParagraph40"/>
              <w:numPr>
                <w:ilvl w:val="0"/>
                <w:numId w:val="269"/>
              </w:numPr>
              <w:spacing w:before="108"/>
              <w:jc w:val="both"/>
            </w:pPr>
            <w:r>
              <w:t>Rezerves vispārējiem banku riskiem</w:t>
            </w:r>
          </w:p>
          <w:p w14:paraId="7FE1D20A" w14:textId="5F4C425A" w:rsidR="00952395" w:rsidRDefault="0083775C">
            <w:pPr>
              <w:pStyle w:val="P68B1DB1-TableParagraph40"/>
              <w:numPr>
                <w:ilvl w:val="0"/>
                <w:numId w:val="269"/>
              </w:numPr>
              <w:spacing w:before="108"/>
              <w:jc w:val="both"/>
            </w:pPr>
            <w:r>
              <w:t>Pensiju un citas pēcnodarbinātības definētu pabalstu saistības</w:t>
            </w:r>
          </w:p>
          <w:p w14:paraId="7FE1D20B" w14:textId="3AEADF9D" w:rsidR="00952395" w:rsidRDefault="0083775C">
            <w:pPr>
              <w:pStyle w:val="P68B1DB1-TableParagraph40"/>
              <w:numPr>
                <w:ilvl w:val="0"/>
                <w:numId w:val="269"/>
              </w:numPr>
              <w:spacing w:before="108"/>
              <w:jc w:val="both"/>
            </w:pPr>
            <w:r>
              <w:t>Darbinieku pabalsti. Kas nav pensiju un citus pēcnodarbinātības definētu pabalstu saistības</w:t>
            </w:r>
          </w:p>
          <w:p w14:paraId="7FE1D20C" w14:textId="66AEA5AF" w:rsidR="00952395" w:rsidRDefault="0083775C">
            <w:pPr>
              <w:pStyle w:val="P68B1DB1-TableParagraph40"/>
              <w:numPr>
                <w:ilvl w:val="0"/>
                <w:numId w:val="269"/>
              </w:numPr>
              <w:spacing w:before="108"/>
              <w:jc w:val="both"/>
            </w:pPr>
            <w:r>
              <w:t>Pārstrukturēšana</w:t>
            </w:r>
          </w:p>
          <w:p w14:paraId="7FE1D20D" w14:textId="72D6FCB9" w:rsidR="00952395" w:rsidRDefault="0083775C">
            <w:pPr>
              <w:pStyle w:val="P68B1DB1-TableParagraph40"/>
              <w:numPr>
                <w:ilvl w:val="0"/>
                <w:numId w:val="269"/>
              </w:numPr>
              <w:spacing w:before="108"/>
              <w:jc w:val="both"/>
            </w:pPr>
            <w:r>
              <w:t>Nepabeigta tiesvedība un nodokļu strīdi</w:t>
            </w:r>
          </w:p>
          <w:p w14:paraId="7FE1D20E" w14:textId="6A9A65DF" w:rsidR="00952395" w:rsidRDefault="0083775C">
            <w:pPr>
              <w:pStyle w:val="P68B1DB1-TableParagraph40"/>
              <w:numPr>
                <w:ilvl w:val="0"/>
                <w:numId w:val="269"/>
              </w:numPr>
              <w:spacing w:before="108"/>
              <w:jc w:val="both"/>
            </w:pPr>
            <w:r>
              <w:t>Ārpusbilances riska darījumi, kas pakļauti kredītriskam</w:t>
            </w:r>
          </w:p>
          <w:p w14:paraId="7FE1D20F" w14:textId="69731D97" w:rsidR="00952395" w:rsidRDefault="0083775C">
            <w:pPr>
              <w:pStyle w:val="P68B1DB1-TableParagraph40"/>
              <w:numPr>
                <w:ilvl w:val="0"/>
                <w:numId w:val="269"/>
              </w:numPr>
              <w:spacing w:before="108"/>
              <w:jc w:val="both"/>
            </w:pPr>
            <w:r>
              <w:t>Kas nav darbinieku pabalsti, pārstrukturēšana, aizsākti juridiski jautājumi un nodokļu tiesvedība, ārpusbilances posteņi, kas pakļauti kredītriskam</w:t>
            </w:r>
          </w:p>
          <w:p w14:paraId="7FE1D210" w14:textId="00431AB4" w:rsidR="00952395" w:rsidRDefault="0083775C">
            <w:pPr>
              <w:pStyle w:val="P68B1DB1-TableParagraph40"/>
              <w:numPr>
                <w:ilvl w:val="0"/>
                <w:numId w:val="269"/>
              </w:numPr>
              <w:spacing w:before="108"/>
              <w:jc w:val="both"/>
            </w:pPr>
            <w:r>
              <w:t>Nodokļu saistības</w:t>
            </w:r>
          </w:p>
          <w:p w14:paraId="7FE1D211" w14:textId="29640DA2" w:rsidR="00952395" w:rsidRDefault="0083775C">
            <w:pPr>
              <w:pStyle w:val="P68B1DB1-TableParagraph40"/>
              <w:numPr>
                <w:ilvl w:val="0"/>
                <w:numId w:val="269"/>
              </w:numPr>
              <w:spacing w:before="108"/>
              <w:jc w:val="both"/>
            </w:pPr>
            <w:r>
              <w:t>Atliktie ienākumi</w:t>
            </w:r>
          </w:p>
          <w:p w14:paraId="7FE1D212" w14:textId="7E6BDA10" w:rsidR="00952395" w:rsidRDefault="0083775C">
            <w:pPr>
              <w:pStyle w:val="P68B1DB1-TableParagraph40"/>
              <w:numPr>
                <w:ilvl w:val="0"/>
                <w:numId w:val="269"/>
              </w:numPr>
              <w:spacing w:before="108"/>
              <w:jc w:val="both"/>
            </w:pPr>
            <w:r>
              <w:t>Saistības, kas nav finanšu saistības, uzkrājumi, nodokļu saistības, atliktie ienākumi</w:t>
            </w:r>
          </w:p>
        </w:tc>
      </w:tr>
      <w:tr w:rsidR="00952395"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952395" w:rsidRDefault="0083775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952395" w:rsidRDefault="0083775C">
            <w:pPr>
              <w:pStyle w:val="P68B1DB1-TableParagraph40"/>
              <w:spacing w:before="108"/>
              <w:ind w:left="85"/>
              <w:jc w:val="both"/>
              <w:rPr>
                <w:b/>
                <w:bCs/>
              </w:rPr>
            </w:pPr>
            <w:r>
              <w:t xml:space="preserve"> </w:t>
            </w:r>
            <w:r>
              <w:rPr>
                <w:b/>
              </w:rPr>
              <w:t>Nesamaksātā summa</w:t>
            </w:r>
          </w:p>
          <w:p w14:paraId="7FE1D216" w14:textId="41D11E8B" w:rsidR="00952395" w:rsidRDefault="0083775C">
            <w:pPr>
              <w:pStyle w:val="P68B1DB1-TableParagraph40"/>
              <w:spacing w:before="108"/>
              <w:ind w:left="85"/>
              <w:jc w:val="both"/>
            </w:pPr>
            <w:r>
              <w:t>Saistību neatmaksātā summa.</w:t>
            </w:r>
          </w:p>
        </w:tc>
      </w:tr>
      <w:tr w:rsidR="00952395"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952395" w:rsidRDefault="0083775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952395" w:rsidRDefault="0083775C">
            <w:pPr>
              <w:pStyle w:val="P68B1DB1-TableParagraph73"/>
              <w:spacing w:before="108"/>
              <w:ind w:left="85"/>
              <w:jc w:val="both"/>
              <w:rPr>
                <w:bCs/>
              </w:rPr>
            </w:pPr>
            <w:r>
              <w:t xml:space="preserve">Valūta  </w:t>
            </w:r>
          </w:p>
          <w:p w14:paraId="7FE1D21A" w14:textId="0E8D9FF4" w:rsidR="00952395" w:rsidRDefault="0083775C">
            <w:pPr>
              <w:pStyle w:val="P68B1DB1-TableParagraph40"/>
              <w:spacing w:before="108"/>
              <w:ind w:left="85"/>
              <w:jc w:val="both"/>
            </w:pPr>
            <w:r>
              <w:t>Saistību valūta ir emitēta saskaņā ar tās ISO 4217 trīsburtu kodu.</w:t>
            </w:r>
          </w:p>
        </w:tc>
      </w:tr>
      <w:tr w:rsidR="00952395"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952395" w:rsidRDefault="0083775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952395" w:rsidRDefault="0083775C">
            <w:pPr>
              <w:pStyle w:val="P68B1DB1-TableParagraph73"/>
              <w:spacing w:before="108"/>
              <w:ind w:left="85"/>
              <w:jc w:val="both"/>
              <w:rPr>
                <w:bCs/>
              </w:rPr>
            </w:pPr>
            <w:r>
              <w:t xml:space="preserve"> Atzīšanas datums </w:t>
            </w:r>
          </w:p>
          <w:p w14:paraId="7FE1D21E" w14:textId="6A3E04DE" w:rsidR="00952395" w:rsidRDefault="0083775C">
            <w:pPr>
              <w:pStyle w:val="P68B1DB1-TableParagraph40"/>
              <w:spacing w:before="108"/>
              <w:ind w:left="85"/>
              <w:jc w:val="both"/>
            </w:pPr>
            <w:r>
              <w:t>Datums, kurā saistības tika atzītas finanšu pārskatos saskaņā ar piemērojamajiem grāmatvedības standartiem.</w:t>
            </w:r>
          </w:p>
        </w:tc>
      </w:tr>
      <w:tr w:rsidR="00952395"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952395" w:rsidRDefault="0083775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952395" w:rsidRDefault="0083775C">
            <w:pPr>
              <w:pStyle w:val="P68B1DB1-TableParagraph73"/>
              <w:spacing w:before="108"/>
              <w:ind w:left="85"/>
              <w:jc w:val="both"/>
              <w:rPr>
                <w:bCs/>
              </w:rPr>
            </w:pPr>
            <w:r>
              <w:t xml:space="preserve">Derīguma termiņš </w:t>
            </w:r>
          </w:p>
          <w:p w14:paraId="7FE1D222" w14:textId="41BB691A" w:rsidR="00952395" w:rsidRDefault="0083775C">
            <w:pPr>
              <w:pStyle w:val="P68B1DB1-TableParagraph40"/>
              <w:spacing w:before="108"/>
              <w:ind w:left="85"/>
              <w:jc w:val="both"/>
            </w:pPr>
            <w:r>
              <w:t>Saistību juridiskā un galīgā termiņa datums. Beztermiņa saistībām izmanto “2099–01–31”.</w:t>
            </w:r>
          </w:p>
        </w:tc>
      </w:tr>
      <w:tr w:rsidR="00952395"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952395" w:rsidRDefault="0083775C">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952395" w:rsidRDefault="0083775C">
            <w:pPr>
              <w:pStyle w:val="P68B1DB1-TableParagraph40"/>
              <w:spacing w:before="108"/>
              <w:ind w:left="85"/>
              <w:jc w:val="both"/>
              <w:rPr>
                <w:b/>
                <w:bCs/>
              </w:rPr>
            </w:pPr>
            <w:r>
              <w:t xml:space="preserve"> </w:t>
            </w:r>
            <w:r>
              <w:rPr>
                <w:b/>
              </w:rPr>
              <w:t>Kvalificēšana par pašu kapitālu</w:t>
            </w:r>
          </w:p>
          <w:p w14:paraId="7FE1D226" w14:textId="3E6ABC96" w:rsidR="00952395" w:rsidRDefault="0083775C">
            <w:pPr>
              <w:pStyle w:val="P68B1DB1-TableParagraph40"/>
              <w:spacing w:before="108"/>
              <w:ind w:left="85"/>
              <w:jc w:val="both"/>
            </w:pPr>
            <w:r>
              <w:t xml:space="preserve">Norādiet, vai un kādā līmenī instruments ir iekļauts pašu kapitālā, kā arī informāciju par pakāpeniskas pārtraukšanas režīmu un iepriekš spēkā esošo tiesību izmantošanas kārtību. No iepriekš noteikta saraksta vērtība var būt “Nē”, “daļēji AT1, T1 un T2”, “T2 tiek pakāpeniski izbeigts”, “T2, attiecībā uz kurām ir tiesības saglabāt iepriekš spēkā esošos nosacījumus”, “Fully Compliant T2”, “Pandfandfathered AT1”, “Fully Compliant AT1” vai “CET1”. </w:t>
            </w:r>
          </w:p>
          <w:p w14:paraId="7FE1D227" w14:textId="4662C12C" w:rsidR="00952395" w:rsidRDefault="0083775C">
            <w:pPr>
              <w:pStyle w:val="P68B1DB1-TableParagraph40"/>
              <w:spacing w:before="108"/>
              <w:ind w:left="85"/>
              <w:jc w:val="both"/>
            </w:pPr>
            <w:r>
              <w:t xml:space="preserve"> Iespēju līgumu sarakstā termins “pakāpeniska izņemšana no apgrozības” attiecas uz jebkura konkrēta otrā līmeņa kapitāla instrumenta piecu gadu periodu pirms termiņa beigām, kura laikā tiek veikta tikai proporcionāla atzīšana, pamatojoties uz atlikušo laiku līdz termiņa beigām. “Tiesības saglabāt iepriekš spēkā esošos nosacījumus” attiecas uz visiem pārejas pasākumiem, kas piemērojami T2 instrumentam, neietverot “pakāpenisko izņemšanu no apgrozības”. Šīs “priekšgājējas” laikā atzīšana var būt pilnīga vai da</w:t>
            </w:r>
            <w:r>
              <w:t>ļēja.</w:t>
            </w:r>
          </w:p>
        </w:tc>
      </w:tr>
      <w:tr w:rsidR="00952395" w14:paraId="7FE1D22C" w14:textId="77777777">
        <w:tc>
          <w:tcPr>
            <w:tcW w:w="1183" w:type="dxa"/>
            <w:tcBorders>
              <w:top w:val="nil"/>
              <w:left w:val="nil"/>
              <w:bottom w:val="single" w:sz="8" w:space="0" w:color="1A171C"/>
              <w:right w:val="single" w:sz="8" w:space="0" w:color="1A171C"/>
            </w:tcBorders>
            <w:vAlign w:val="center"/>
          </w:tcPr>
          <w:p w14:paraId="7FE1D229" w14:textId="77777777" w:rsidR="00952395" w:rsidRDefault="0083775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952395" w:rsidRDefault="0083775C">
            <w:pPr>
              <w:pStyle w:val="P68B1DB1-TableParagraph40"/>
              <w:spacing w:before="108"/>
              <w:ind w:left="85"/>
              <w:jc w:val="both"/>
              <w:rPr>
                <w:b/>
                <w:bCs/>
              </w:rPr>
            </w:pPr>
            <w:r>
              <w:t xml:space="preserve"> </w:t>
            </w:r>
            <w:r>
              <w:rPr>
                <w:b/>
              </w:rPr>
              <w:t>Summa, kas atbilst pašu kapitālam</w:t>
            </w:r>
          </w:p>
          <w:p w14:paraId="7FE1D22B" w14:textId="01A9A811" w:rsidR="00952395" w:rsidRDefault="0083775C">
            <w:pPr>
              <w:pStyle w:val="P68B1DB1-TableParagraph40"/>
              <w:spacing w:before="108"/>
              <w:ind w:left="85"/>
              <w:jc w:val="both"/>
            </w:pPr>
            <w:r>
              <w:t>Tāda instrumenta summa, kas kvalificējams kā pašu kapitāls.</w:t>
            </w:r>
          </w:p>
        </w:tc>
      </w:tr>
    </w:tbl>
    <w:p w14:paraId="7FE1D22D" w14:textId="01F1CEAB" w:rsidR="00952395" w:rsidRDefault="00952395">
      <w:pPr>
        <w:pStyle w:val="body"/>
        <w:rPr>
          <w:rFonts w:ascii="Times New Roman" w:hAnsi="Times New Roman" w:cs="Times New Roman"/>
          <w:sz w:val="20"/>
          <w:szCs w:val="20"/>
        </w:rPr>
      </w:pPr>
    </w:p>
    <w:p w14:paraId="349218F7" w14:textId="77777777" w:rsidR="00952395" w:rsidRDefault="0083775C">
      <w:pPr>
        <w:pStyle w:val="P68B1DB1-Normal19"/>
        <w:spacing w:after="200" w:line="276" w:lineRule="auto"/>
      </w:pPr>
      <w:r>
        <w:br w:type="page"/>
      </w:r>
    </w:p>
    <w:p w14:paraId="42DED9B4" w14:textId="77777777" w:rsidR="00952395" w:rsidRDefault="00952395">
      <w:pPr>
        <w:pStyle w:val="Instructionsberschrift2"/>
        <w:ind w:left="357"/>
        <w:rPr>
          <w:rFonts w:ascii="Times New Roman" w:eastAsia="Calibri" w:hAnsi="Times New Roman" w:cs="Times New Roman"/>
          <w:szCs w:val="20"/>
        </w:rPr>
      </w:pPr>
    </w:p>
    <w:p w14:paraId="4BD624F8" w14:textId="77777777" w:rsidR="00952395" w:rsidRDefault="00952395">
      <w:pPr>
        <w:spacing w:after="200" w:line="276" w:lineRule="auto"/>
        <w:rPr>
          <w:rFonts w:ascii="Times New Roman" w:hAnsi="Times New Roman" w:cs="Times New Roman"/>
          <w:sz w:val="20"/>
          <w:szCs w:val="20"/>
        </w:rPr>
      </w:pPr>
    </w:p>
    <w:p w14:paraId="715529B0" w14:textId="64A141F4" w:rsidR="00952395" w:rsidRDefault="0083775C">
      <w:pPr>
        <w:pStyle w:val="P68B1DB1-Instructionsberschrift284"/>
        <w:numPr>
          <w:ilvl w:val="1"/>
          <w:numId w:val="49"/>
        </w:numPr>
        <w:spacing w:before="0"/>
        <w:ind w:left="357" w:hanging="357"/>
      </w:pPr>
      <w:bookmarkStart w:id="255" w:name="_Toc192248856"/>
      <w:bookmarkStart w:id="256" w:name="_Toc208244983"/>
      <w:r>
        <w:t>I pielikums — attiecībā uz Z 09.01–c0050 izmantojamo FTI saraksts</w:t>
      </w:r>
      <w:bookmarkEnd w:id="255"/>
      <w:bookmarkEnd w:id="256"/>
    </w:p>
    <w:p w14:paraId="31681B73" w14:textId="51FEAE08" w:rsidR="00952395" w:rsidRDefault="00952395">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952395"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952395" w:rsidRDefault="0083775C">
            <w:pPr>
              <w:pStyle w:val="P68B1DB1-Normal90"/>
            </w:pPr>
            <w:r>
              <w:t>Ieraksts FTI nolaižamajā sarakstā</w:t>
            </w:r>
          </w:p>
        </w:tc>
      </w:tr>
      <w:tr w:rsidR="00952395" w14:paraId="09736821" w14:textId="77777777">
        <w:trPr>
          <w:trHeight w:val="300"/>
        </w:trPr>
        <w:tc>
          <w:tcPr>
            <w:tcW w:w="9072" w:type="dxa"/>
            <w:tcBorders>
              <w:top w:val="nil"/>
              <w:left w:val="nil"/>
              <w:bottom w:val="nil"/>
              <w:right w:val="nil"/>
            </w:tcBorders>
            <w:noWrap/>
            <w:vAlign w:val="bottom"/>
            <w:hideMark/>
          </w:tcPr>
          <w:p w14:paraId="65FBD6FC" w14:textId="77777777" w:rsidR="00952395" w:rsidRDefault="0083775C">
            <w:pPr>
              <w:pStyle w:val="P68B1DB1-Normal91"/>
            </w:pPr>
            <w:bookmarkStart w:id="257" w:name="RANGE!A3:A168"/>
            <w:r>
              <w:t>Atēnu klīringa birojs (ACO)</w:t>
            </w:r>
            <w:bookmarkEnd w:id="257"/>
          </w:p>
        </w:tc>
      </w:tr>
      <w:tr w:rsidR="00952395" w14:paraId="447EB604" w14:textId="77777777">
        <w:trPr>
          <w:trHeight w:val="300"/>
        </w:trPr>
        <w:tc>
          <w:tcPr>
            <w:tcW w:w="9072" w:type="dxa"/>
            <w:tcBorders>
              <w:top w:val="nil"/>
              <w:left w:val="nil"/>
              <w:bottom w:val="nil"/>
              <w:right w:val="nil"/>
            </w:tcBorders>
            <w:noWrap/>
            <w:vAlign w:val="bottom"/>
            <w:hideMark/>
          </w:tcPr>
          <w:p w14:paraId="2B6E60A7" w14:textId="77777777" w:rsidR="00952395" w:rsidRDefault="0083775C">
            <w:pPr>
              <w:pStyle w:val="P68B1DB1-Normal91"/>
            </w:pPr>
            <w:r>
              <w:t>ATHEX (Atēnu Fondu birža)</w:t>
            </w:r>
          </w:p>
        </w:tc>
      </w:tr>
      <w:tr w:rsidR="00952395" w14:paraId="0DF5C441" w14:textId="77777777">
        <w:trPr>
          <w:trHeight w:val="300"/>
        </w:trPr>
        <w:tc>
          <w:tcPr>
            <w:tcW w:w="9072" w:type="dxa"/>
            <w:tcBorders>
              <w:top w:val="nil"/>
              <w:left w:val="nil"/>
              <w:bottom w:val="nil"/>
              <w:right w:val="nil"/>
            </w:tcBorders>
            <w:noWrap/>
            <w:vAlign w:val="bottom"/>
            <w:hideMark/>
          </w:tcPr>
          <w:p w14:paraId="4C199F01" w14:textId="77777777" w:rsidR="00952395" w:rsidRDefault="0083775C">
            <w:pPr>
              <w:pStyle w:val="P68B1DB1-Normal91"/>
            </w:pPr>
            <w:r>
              <w:t>ATHEX CVD</w:t>
            </w:r>
          </w:p>
        </w:tc>
      </w:tr>
      <w:tr w:rsidR="00952395" w14:paraId="6C8DFF2B" w14:textId="77777777">
        <w:trPr>
          <w:trHeight w:val="300"/>
        </w:trPr>
        <w:tc>
          <w:tcPr>
            <w:tcW w:w="9072" w:type="dxa"/>
            <w:tcBorders>
              <w:top w:val="nil"/>
              <w:left w:val="nil"/>
              <w:bottom w:val="nil"/>
              <w:right w:val="nil"/>
            </w:tcBorders>
            <w:noWrap/>
            <w:vAlign w:val="bottom"/>
            <w:hideMark/>
          </w:tcPr>
          <w:p w14:paraId="2876B1C1" w14:textId="77777777" w:rsidR="00952395" w:rsidRDefault="0083775C">
            <w:pPr>
              <w:pStyle w:val="P68B1DB1-Normal91"/>
            </w:pPr>
            <w:r>
              <w:t>ATHEXClear SA</w:t>
            </w:r>
          </w:p>
        </w:tc>
      </w:tr>
      <w:tr w:rsidR="00952395" w14:paraId="24CE5F78" w14:textId="77777777">
        <w:trPr>
          <w:trHeight w:val="300"/>
        </w:trPr>
        <w:tc>
          <w:tcPr>
            <w:tcW w:w="9072" w:type="dxa"/>
            <w:tcBorders>
              <w:top w:val="nil"/>
              <w:left w:val="nil"/>
              <w:bottom w:val="nil"/>
              <w:right w:val="nil"/>
            </w:tcBorders>
            <w:noWrap/>
            <w:vAlign w:val="bottom"/>
            <w:hideMark/>
          </w:tcPr>
          <w:p w14:paraId="1E830E75" w14:textId="77777777" w:rsidR="00952395" w:rsidRDefault="0083775C">
            <w:pPr>
              <w:pStyle w:val="P68B1DB1-Normal91"/>
            </w:pPr>
            <w:r>
              <w:t>Starpniecības centrs ACH</w:t>
            </w:r>
          </w:p>
        </w:tc>
      </w:tr>
      <w:tr w:rsidR="00952395" w14:paraId="2920AE45" w14:textId="77777777">
        <w:trPr>
          <w:trHeight w:val="300"/>
        </w:trPr>
        <w:tc>
          <w:tcPr>
            <w:tcW w:w="9072" w:type="dxa"/>
            <w:tcBorders>
              <w:top w:val="nil"/>
              <w:left w:val="nil"/>
              <w:bottom w:val="nil"/>
              <w:right w:val="nil"/>
            </w:tcBorders>
            <w:noWrap/>
            <w:vAlign w:val="bottom"/>
            <w:hideMark/>
          </w:tcPr>
          <w:p w14:paraId="1C314494" w14:textId="77777777" w:rsidR="00952395" w:rsidRDefault="0083775C">
            <w:pPr>
              <w:pStyle w:val="P68B1DB1-Normal91"/>
            </w:pPr>
            <w:r>
              <w:t>Automatizētā tīrvērtes norēķinu sistēma (ACSS)</w:t>
            </w:r>
          </w:p>
        </w:tc>
      </w:tr>
      <w:tr w:rsidR="00952395" w14:paraId="1DB8A80A" w14:textId="77777777">
        <w:trPr>
          <w:trHeight w:val="300"/>
        </w:trPr>
        <w:tc>
          <w:tcPr>
            <w:tcW w:w="9072" w:type="dxa"/>
            <w:tcBorders>
              <w:top w:val="nil"/>
              <w:left w:val="nil"/>
              <w:bottom w:val="nil"/>
              <w:right w:val="nil"/>
            </w:tcBorders>
            <w:noWrap/>
            <w:vAlign w:val="bottom"/>
            <w:hideMark/>
          </w:tcPr>
          <w:p w14:paraId="65CA5200" w14:textId="77777777" w:rsidR="00952395" w:rsidRDefault="0083775C">
            <w:pPr>
              <w:pStyle w:val="P68B1DB1-Normal91"/>
            </w:pPr>
            <w:r>
              <w:t>BACS (banku automatizētas tīrvērtes pakalpojumi)</w:t>
            </w:r>
          </w:p>
        </w:tc>
      </w:tr>
      <w:tr w:rsidR="00952395" w14:paraId="0C931590" w14:textId="77777777">
        <w:trPr>
          <w:trHeight w:val="300"/>
        </w:trPr>
        <w:tc>
          <w:tcPr>
            <w:tcW w:w="9072" w:type="dxa"/>
            <w:tcBorders>
              <w:top w:val="nil"/>
              <w:left w:val="nil"/>
              <w:bottom w:val="nil"/>
              <w:right w:val="nil"/>
            </w:tcBorders>
            <w:noWrap/>
            <w:vAlign w:val="bottom"/>
            <w:hideMark/>
          </w:tcPr>
          <w:p w14:paraId="50133989" w14:textId="77777777" w:rsidR="00952395" w:rsidRDefault="0083775C">
            <w:pPr>
              <w:pStyle w:val="P68B1DB1-Normal91"/>
            </w:pPr>
            <w:r>
              <w:t>Bankgirot (Bankgirocentralen BGC AB)</w:t>
            </w:r>
          </w:p>
        </w:tc>
      </w:tr>
      <w:tr w:rsidR="00952395" w14:paraId="2F8CAEE4" w14:textId="77777777">
        <w:trPr>
          <w:trHeight w:val="300"/>
        </w:trPr>
        <w:tc>
          <w:tcPr>
            <w:tcW w:w="9072" w:type="dxa"/>
            <w:tcBorders>
              <w:top w:val="nil"/>
              <w:left w:val="nil"/>
              <w:bottom w:val="nil"/>
              <w:right w:val="nil"/>
            </w:tcBorders>
            <w:noWrap/>
            <w:vAlign w:val="bottom"/>
            <w:hideMark/>
          </w:tcPr>
          <w:p w14:paraId="01AEF229" w14:textId="77777777" w:rsidR="00952395" w:rsidRDefault="0083775C">
            <w:pPr>
              <w:pStyle w:val="P68B1DB1-Normal91"/>
            </w:pPr>
            <w:r>
              <w:t>BI-COMP</w:t>
            </w:r>
          </w:p>
        </w:tc>
      </w:tr>
      <w:tr w:rsidR="00952395" w14:paraId="7736D7E4" w14:textId="77777777">
        <w:trPr>
          <w:trHeight w:val="300"/>
        </w:trPr>
        <w:tc>
          <w:tcPr>
            <w:tcW w:w="9072" w:type="dxa"/>
            <w:tcBorders>
              <w:top w:val="nil"/>
              <w:left w:val="nil"/>
              <w:bottom w:val="nil"/>
              <w:right w:val="nil"/>
            </w:tcBorders>
            <w:noWrap/>
            <w:vAlign w:val="bottom"/>
            <w:hideMark/>
          </w:tcPr>
          <w:p w14:paraId="431E29D0" w14:textId="77777777" w:rsidR="00952395" w:rsidRDefault="0083775C">
            <w:pPr>
              <w:pStyle w:val="P68B1DB1-Normal91"/>
            </w:pPr>
            <w:r>
              <w:t>Bisera (Banku integrētā elektronisko maksājumu sistēma)</w:t>
            </w:r>
          </w:p>
        </w:tc>
      </w:tr>
      <w:tr w:rsidR="00952395" w14:paraId="7AE977D3" w14:textId="77777777">
        <w:trPr>
          <w:trHeight w:val="300"/>
        </w:trPr>
        <w:tc>
          <w:tcPr>
            <w:tcW w:w="9072" w:type="dxa"/>
            <w:tcBorders>
              <w:top w:val="nil"/>
              <w:left w:val="nil"/>
              <w:bottom w:val="nil"/>
              <w:right w:val="nil"/>
            </w:tcBorders>
            <w:noWrap/>
            <w:vAlign w:val="bottom"/>
            <w:hideMark/>
          </w:tcPr>
          <w:p w14:paraId="0E054309" w14:textId="77777777" w:rsidR="00952395" w:rsidRDefault="0083775C">
            <w:pPr>
              <w:pStyle w:val="P68B1DB1-Normal91"/>
            </w:pPr>
            <w:r>
              <w:t>Bloomberg Trade Repository Limited</w:t>
            </w:r>
          </w:p>
        </w:tc>
      </w:tr>
      <w:tr w:rsidR="00952395" w14:paraId="3DEFBBB0" w14:textId="77777777">
        <w:trPr>
          <w:trHeight w:val="300"/>
        </w:trPr>
        <w:tc>
          <w:tcPr>
            <w:tcW w:w="9072" w:type="dxa"/>
            <w:tcBorders>
              <w:top w:val="nil"/>
              <w:left w:val="nil"/>
              <w:bottom w:val="nil"/>
              <w:right w:val="nil"/>
            </w:tcBorders>
            <w:noWrap/>
            <w:vAlign w:val="bottom"/>
            <w:hideMark/>
          </w:tcPr>
          <w:p w14:paraId="69A6C566" w14:textId="77777777" w:rsidR="00952395" w:rsidRDefault="0083775C">
            <w:pPr>
              <w:pStyle w:val="P68B1DB1-Normal91"/>
            </w:pPr>
            <w:r>
              <w:t>BME</w:t>
            </w:r>
          </w:p>
        </w:tc>
      </w:tr>
      <w:tr w:rsidR="00952395" w14:paraId="6C4EE14D" w14:textId="77777777">
        <w:trPr>
          <w:trHeight w:val="300"/>
        </w:trPr>
        <w:tc>
          <w:tcPr>
            <w:tcW w:w="9072" w:type="dxa"/>
            <w:tcBorders>
              <w:top w:val="nil"/>
              <w:left w:val="nil"/>
              <w:bottom w:val="nil"/>
              <w:right w:val="nil"/>
            </w:tcBorders>
            <w:noWrap/>
            <w:vAlign w:val="bottom"/>
            <w:hideMark/>
          </w:tcPr>
          <w:p w14:paraId="31001C6A" w14:textId="77777777" w:rsidR="00952395" w:rsidRDefault="0083775C">
            <w:pPr>
              <w:pStyle w:val="P68B1DB1-Normal91"/>
            </w:pPr>
            <w:r>
              <w:t>BME tīrvērte</w:t>
            </w:r>
          </w:p>
        </w:tc>
      </w:tr>
      <w:tr w:rsidR="00952395" w14:paraId="3ADECE08" w14:textId="77777777">
        <w:trPr>
          <w:trHeight w:val="300"/>
        </w:trPr>
        <w:tc>
          <w:tcPr>
            <w:tcW w:w="9072" w:type="dxa"/>
            <w:tcBorders>
              <w:top w:val="nil"/>
              <w:left w:val="nil"/>
              <w:bottom w:val="nil"/>
              <w:right w:val="nil"/>
            </w:tcBorders>
            <w:noWrap/>
            <w:vAlign w:val="bottom"/>
            <w:hideMark/>
          </w:tcPr>
          <w:p w14:paraId="29263C2A" w14:textId="77777777" w:rsidR="00952395" w:rsidRDefault="0083775C">
            <w:pPr>
              <w:pStyle w:val="P68B1DB1-Normal91"/>
            </w:pPr>
            <w:r>
              <w:t>Bogs (Grieķijas Bankas Vērtspapīru norēķinu sistēma)</w:t>
            </w:r>
          </w:p>
        </w:tc>
      </w:tr>
      <w:tr w:rsidR="00952395" w14:paraId="6CCCB9AC" w14:textId="77777777">
        <w:trPr>
          <w:trHeight w:val="300"/>
        </w:trPr>
        <w:tc>
          <w:tcPr>
            <w:tcW w:w="9072" w:type="dxa"/>
            <w:tcBorders>
              <w:top w:val="nil"/>
              <w:left w:val="nil"/>
              <w:bottom w:val="nil"/>
              <w:right w:val="nil"/>
            </w:tcBorders>
            <w:noWrap/>
            <w:vAlign w:val="bottom"/>
            <w:hideMark/>
          </w:tcPr>
          <w:p w14:paraId="1092DA48" w14:textId="77777777" w:rsidR="00952395" w:rsidRDefault="0083775C">
            <w:pPr>
              <w:pStyle w:val="P68B1DB1-Normal91"/>
            </w:pPr>
            <w:r>
              <w:t>BOJ-NET</w:t>
            </w:r>
          </w:p>
        </w:tc>
      </w:tr>
      <w:tr w:rsidR="00952395" w14:paraId="4CEE7A6B" w14:textId="77777777">
        <w:trPr>
          <w:trHeight w:val="300"/>
        </w:trPr>
        <w:tc>
          <w:tcPr>
            <w:tcW w:w="9072" w:type="dxa"/>
            <w:tcBorders>
              <w:top w:val="nil"/>
              <w:left w:val="nil"/>
              <w:bottom w:val="nil"/>
              <w:right w:val="nil"/>
            </w:tcBorders>
            <w:noWrap/>
            <w:vAlign w:val="bottom"/>
            <w:hideMark/>
          </w:tcPr>
          <w:p w14:paraId="04FBDA33" w14:textId="77777777" w:rsidR="00952395" w:rsidRDefault="0083775C">
            <w:pPr>
              <w:pStyle w:val="P68B1DB1-Normal91"/>
            </w:pPr>
            <w:r>
              <w:t>“BondSpot” S.A.</w:t>
            </w:r>
          </w:p>
        </w:tc>
      </w:tr>
      <w:tr w:rsidR="00952395" w14:paraId="3B8A9B67" w14:textId="77777777">
        <w:trPr>
          <w:trHeight w:val="300"/>
        </w:trPr>
        <w:tc>
          <w:tcPr>
            <w:tcW w:w="9072" w:type="dxa"/>
            <w:tcBorders>
              <w:top w:val="nil"/>
              <w:left w:val="nil"/>
              <w:bottom w:val="nil"/>
              <w:right w:val="nil"/>
            </w:tcBorders>
            <w:noWrap/>
            <w:vAlign w:val="bottom"/>
            <w:hideMark/>
          </w:tcPr>
          <w:p w14:paraId="73DB34EF" w14:textId="77777777" w:rsidR="00952395" w:rsidRDefault="0083775C">
            <w:pPr>
              <w:pStyle w:val="P68B1DB1-Normal91"/>
            </w:pPr>
            <w:r>
              <w:t>BORICA</w:t>
            </w:r>
          </w:p>
        </w:tc>
      </w:tr>
      <w:tr w:rsidR="00952395" w14:paraId="5E8D43A2" w14:textId="77777777">
        <w:trPr>
          <w:trHeight w:val="300"/>
        </w:trPr>
        <w:tc>
          <w:tcPr>
            <w:tcW w:w="9072" w:type="dxa"/>
            <w:tcBorders>
              <w:top w:val="nil"/>
              <w:left w:val="nil"/>
              <w:bottom w:val="nil"/>
              <w:right w:val="nil"/>
            </w:tcBorders>
            <w:noWrap/>
            <w:vAlign w:val="bottom"/>
            <w:hideMark/>
          </w:tcPr>
          <w:p w14:paraId="4F788B85" w14:textId="77777777" w:rsidR="00952395" w:rsidRDefault="0083775C">
            <w:pPr>
              <w:pStyle w:val="P68B1DB1-Normal91"/>
            </w:pPr>
            <w:r>
              <w:t>Borsa Italiana SpA</w:t>
            </w:r>
          </w:p>
        </w:tc>
      </w:tr>
      <w:tr w:rsidR="00952395" w14:paraId="0034826C" w14:textId="77777777">
        <w:trPr>
          <w:trHeight w:val="300"/>
        </w:trPr>
        <w:tc>
          <w:tcPr>
            <w:tcW w:w="9072" w:type="dxa"/>
            <w:tcBorders>
              <w:top w:val="nil"/>
              <w:left w:val="nil"/>
              <w:bottom w:val="nil"/>
              <w:right w:val="nil"/>
            </w:tcBorders>
            <w:noWrap/>
            <w:vAlign w:val="bottom"/>
            <w:hideMark/>
          </w:tcPr>
          <w:p w14:paraId="6C688147" w14:textId="77777777" w:rsidR="00952395" w:rsidRDefault="0083775C">
            <w:pPr>
              <w:pStyle w:val="P68B1DB1-Normal91"/>
            </w:pPr>
            <w:r>
              <w:t>Bratislavas Fondu birža</w:t>
            </w:r>
          </w:p>
        </w:tc>
      </w:tr>
      <w:tr w:rsidR="00952395" w14:paraId="2ACAB3C1" w14:textId="77777777">
        <w:trPr>
          <w:trHeight w:val="300"/>
        </w:trPr>
        <w:tc>
          <w:tcPr>
            <w:tcW w:w="9072" w:type="dxa"/>
            <w:tcBorders>
              <w:top w:val="nil"/>
              <w:left w:val="nil"/>
              <w:bottom w:val="nil"/>
              <w:right w:val="nil"/>
            </w:tcBorders>
            <w:noWrap/>
            <w:vAlign w:val="bottom"/>
            <w:hideMark/>
          </w:tcPr>
          <w:p w14:paraId="797C25FF" w14:textId="77777777" w:rsidR="00952395" w:rsidRDefault="0083775C">
            <w:pPr>
              <w:pStyle w:val="P68B1DB1-Normal91"/>
            </w:pPr>
            <w:r>
              <w:t>Budapeštas birža</w:t>
            </w:r>
          </w:p>
        </w:tc>
      </w:tr>
      <w:tr w:rsidR="00952395" w14:paraId="7928BB77" w14:textId="77777777">
        <w:trPr>
          <w:trHeight w:val="300"/>
        </w:trPr>
        <w:tc>
          <w:tcPr>
            <w:tcW w:w="9072" w:type="dxa"/>
            <w:tcBorders>
              <w:top w:val="nil"/>
              <w:left w:val="nil"/>
              <w:bottom w:val="nil"/>
              <w:right w:val="nil"/>
            </w:tcBorders>
            <w:noWrap/>
            <w:vAlign w:val="bottom"/>
            <w:hideMark/>
          </w:tcPr>
          <w:p w14:paraId="3D5ECE9A" w14:textId="77777777" w:rsidR="00952395" w:rsidRDefault="0083775C">
            <w:pPr>
              <w:pStyle w:val="P68B1DB1-Normal91"/>
            </w:pPr>
            <w:r>
              <w:t>Bulgārijas Fondu birža</w:t>
            </w:r>
          </w:p>
        </w:tc>
      </w:tr>
      <w:tr w:rsidR="00952395" w14:paraId="3ED0C0E7" w14:textId="77777777">
        <w:trPr>
          <w:trHeight w:val="300"/>
        </w:trPr>
        <w:tc>
          <w:tcPr>
            <w:tcW w:w="9072" w:type="dxa"/>
            <w:tcBorders>
              <w:top w:val="nil"/>
              <w:left w:val="nil"/>
              <w:bottom w:val="nil"/>
              <w:right w:val="nil"/>
            </w:tcBorders>
            <w:noWrap/>
            <w:vAlign w:val="bottom"/>
            <w:hideMark/>
          </w:tcPr>
          <w:p w14:paraId="2AACB60C" w14:textId="77777777" w:rsidR="00952395" w:rsidRDefault="0083775C">
            <w:pPr>
              <w:pStyle w:val="P68B1DB1-Normal91"/>
            </w:pPr>
            <w:r>
              <w:t>Bursa de Valori Bucaresti</w:t>
            </w:r>
          </w:p>
        </w:tc>
      </w:tr>
      <w:tr w:rsidR="00952395" w14:paraId="358B0CBB" w14:textId="77777777">
        <w:trPr>
          <w:trHeight w:val="300"/>
        </w:trPr>
        <w:tc>
          <w:tcPr>
            <w:tcW w:w="9072" w:type="dxa"/>
            <w:tcBorders>
              <w:top w:val="nil"/>
              <w:left w:val="nil"/>
              <w:bottom w:val="nil"/>
              <w:right w:val="nil"/>
            </w:tcBorders>
            <w:noWrap/>
            <w:vAlign w:val="bottom"/>
            <w:hideMark/>
          </w:tcPr>
          <w:p w14:paraId="69852FE3" w14:textId="77777777" w:rsidR="00952395" w:rsidRDefault="0083775C">
            <w:pPr>
              <w:pStyle w:val="P68B1DB1-Normal91"/>
            </w:pPr>
            <w:r>
              <w:t>Burza cenných papírů Praha, a.s. (Prāgas birža)</w:t>
            </w:r>
          </w:p>
        </w:tc>
      </w:tr>
      <w:tr w:rsidR="00952395" w14:paraId="2BEFFD1A" w14:textId="77777777">
        <w:trPr>
          <w:trHeight w:val="300"/>
        </w:trPr>
        <w:tc>
          <w:tcPr>
            <w:tcW w:w="9072" w:type="dxa"/>
            <w:tcBorders>
              <w:top w:val="nil"/>
              <w:left w:val="nil"/>
              <w:bottom w:val="nil"/>
              <w:right w:val="nil"/>
            </w:tcBorders>
            <w:noWrap/>
            <w:vAlign w:val="bottom"/>
            <w:hideMark/>
          </w:tcPr>
          <w:p w14:paraId="32741FAD" w14:textId="77777777" w:rsidR="00952395" w:rsidRDefault="0083775C">
            <w:pPr>
              <w:pStyle w:val="P68B1DB1-Normal91"/>
            </w:pPr>
            <w:r>
              <w:t>Kanādas vērtspapīru depozitārijs (CDS)</w:t>
            </w:r>
          </w:p>
        </w:tc>
      </w:tr>
      <w:tr w:rsidR="00952395" w14:paraId="588D9A6E" w14:textId="77777777">
        <w:trPr>
          <w:trHeight w:val="300"/>
        </w:trPr>
        <w:tc>
          <w:tcPr>
            <w:tcW w:w="9072" w:type="dxa"/>
            <w:tcBorders>
              <w:top w:val="nil"/>
              <w:left w:val="nil"/>
              <w:bottom w:val="nil"/>
              <w:right w:val="nil"/>
            </w:tcBorders>
            <w:noWrap/>
            <w:vAlign w:val="bottom"/>
            <w:hideMark/>
          </w:tcPr>
          <w:p w14:paraId="30CD8C56" w14:textId="77777777" w:rsidR="00952395" w:rsidRDefault="0083775C">
            <w:pPr>
              <w:pStyle w:val="P68B1DB1-Normal91"/>
            </w:pPr>
            <w:r>
              <w:t>Canadian Atvasināto instrumentu tīrvērtes korporācija</w:t>
            </w:r>
          </w:p>
        </w:tc>
      </w:tr>
      <w:tr w:rsidR="00952395" w14:paraId="47A4B165" w14:textId="77777777">
        <w:trPr>
          <w:trHeight w:val="300"/>
        </w:trPr>
        <w:tc>
          <w:tcPr>
            <w:tcW w:w="9072" w:type="dxa"/>
            <w:tcBorders>
              <w:top w:val="nil"/>
              <w:left w:val="nil"/>
              <w:bottom w:val="nil"/>
              <w:right w:val="nil"/>
            </w:tcBorders>
            <w:noWrap/>
            <w:vAlign w:val="bottom"/>
          </w:tcPr>
          <w:p w14:paraId="4B6A49F9" w14:textId="77777777" w:rsidR="00952395" w:rsidRDefault="0083775C">
            <w:pPr>
              <w:pStyle w:val="P68B1DB1-Normal91"/>
            </w:pPr>
            <w:r>
              <w:t>Cboe Clear Europe</w:t>
            </w:r>
          </w:p>
        </w:tc>
      </w:tr>
      <w:tr w:rsidR="00952395" w14:paraId="00F4E07D" w14:textId="77777777">
        <w:trPr>
          <w:trHeight w:val="300"/>
        </w:trPr>
        <w:tc>
          <w:tcPr>
            <w:tcW w:w="9072" w:type="dxa"/>
            <w:tcBorders>
              <w:top w:val="nil"/>
              <w:left w:val="nil"/>
              <w:bottom w:val="nil"/>
              <w:right w:val="nil"/>
            </w:tcBorders>
            <w:noWrap/>
            <w:vAlign w:val="bottom"/>
            <w:hideMark/>
          </w:tcPr>
          <w:p w14:paraId="143644AA" w14:textId="77777777" w:rsidR="00952395" w:rsidRDefault="0083775C">
            <w:pPr>
              <w:pStyle w:val="P68B1DB1-Normal91"/>
            </w:pPr>
            <w:r>
              <w:t>ĶKP Austrija</w:t>
            </w:r>
          </w:p>
        </w:tc>
      </w:tr>
      <w:tr w:rsidR="00952395" w14:paraId="49668E14" w14:textId="77777777">
        <w:trPr>
          <w:trHeight w:val="300"/>
        </w:trPr>
        <w:tc>
          <w:tcPr>
            <w:tcW w:w="9072" w:type="dxa"/>
            <w:tcBorders>
              <w:top w:val="nil"/>
              <w:left w:val="nil"/>
              <w:bottom w:val="nil"/>
              <w:right w:val="nil"/>
            </w:tcBorders>
            <w:noWrap/>
            <w:vAlign w:val="bottom"/>
            <w:hideMark/>
          </w:tcPr>
          <w:p w14:paraId="4D54CDC3" w14:textId="77777777" w:rsidR="00952395" w:rsidRDefault="0083775C">
            <w:pPr>
              <w:pStyle w:val="P68B1DB1-Normal91"/>
            </w:pPr>
            <w:r>
              <w:t>CEC/UCV</w:t>
            </w:r>
          </w:p>
        </w:tc>
      </w:tr>
      <w:tr w:rsidR="00952395" w14:paraId="13CEB735" w14:textId="77777777">
        <w:trPr>
          <w:trHeight w:val="300"/>
        </w:trPr>
        <w:tc>
          <w:tcPr>
            <w:tcW w:w="9072" w:type="dxa"/>
            <w:tcBorders>
              <w:top w:val="nil"/>
              <w:left w:val="nil"/>
              <w:bottom w:val="nil"/>
              <w:right w:val="nil"/>
            </w:tcBorders>
            <w:noWrap/>
            <w:vAlign w:val="bottom"/>
            <w:hideMark/>
          </w:tcPr>
          <w:p w14:paraId="7E656B34" w14:textId="77777777" w:rsidR="00952395" w:rsidRDefault="0083775C">
            <w:pPr>
              <w:pStyle w:val="P68B1DB1-Normal91"/>
            </w:pPr>
            <w:r>
              <w:t>CEESEG AG (Wiener Borse)</w:t>
            </w:r>
          </w:p>
        </w:tc>
      </w:tr>
      <w:tr w:rsidR="00952395" w14:paraId="38BBF453" w14:textId="77777777">
        <w:trPr>
          <w:trHeight w:val="300"/>
        </w:trPr>
        <w:tc>
          <w:tcPr>
            <w:tcW w:w="9072" w:type="dxa"/>
            <w:tcBorders>
              <w:top w:val="nil"/>
              <w:left w:val="nil"/>
              <w:bottom w:val="nil"/>
              <w:right w:val="nil"/>
            </w:tcBorders>
            <w:noWrap/>
            <w:vAlign w:val="bottom"/>
            <w:hideMark/>
          </w:tcPr>
          <w:p w14:paraId="7C5735E8" w14:textId="77777777" w:rsidR="00952395" w:rsidRDefault="0083775C">
            <w:pPr>
              <w:pStyle w:val="P68B1DB1-Normal91"/>
            </w:pPr>
            <w:r>
              <w:t>Centrālais depozitārijs un tīrvērtes sabiedrība</w:t>
            </w:r>
          </w:p>
        </w:tc>
      </w:tr>
      <w:tr w:rsidR="00952395" w14:paraId="100E6E04" w14:textId="77777777">
        <w:trPr>
          <w:trHeight w:val="300"/>
        </w:trPr>
        <w:tc>
          <w:tcPr>
            <w:tcW w:w="9072" w:type="dxa"/>
            <w:tcBorders>
              <w:top w:val="nil"/>
              <w:left w:val="nil"/>
              <w:bottom w:val="nil"/>
              <w:right w:val="nil"/>
            </w:tcBorders>
            <w:noWrap/>
            <w:vAlign w:val="bottom"/>
            <w:hideMark/>
          </w:tcPr>
          <w:p w14:paraId="1D98F57D" w14:textId="77777777" w:rsidR="00952395" w:rsidRDefault="0083775C">
            <w:pPr>
              <w:pStyle w:val="P68B1DB1-Normal91"/>
            </w:pPr>
            <w:r>
              <w:t>Centrālais depozitārijs AD</w:t>
            </w:r>
          </w:p>
        </w:tc>
      </w:tr>
      <w:tr w:rsidR="00952395" w14:paraId="3E41A5D7" w14:textId="77777777">
        <w:trPr>
          <w:trHeight w:val="300"/>
        </w:trPr>
        <w:tc>
          <w:tcPr>
            <w:tcW w:w="9072" w:type="dxa"/>
            <w:tcBorders>
              <w:top w:val="nil"/>
              <w:left w:val="nil"/>
              <w:bottom w:val="nil"/>
              <w:right w:val="nil"/>
            </w:tcBorders>
            <w:noWrap/>
            <w:vAlign w:val="bottom"/>
            <w:hideMark/>
          </w:tcPr>
          <w:p w14:paraId="149F4C5F" w14:textId="77777777" w:rsidR="00952395" w:rsidRDefault="0083775C">
            <w:pPr>
              <w:pStyle w:val="P68B1DB1-Normal91"/>
            </w:pPr>
            <w:r>
              <w:t>Centrālais depozitārijs un centrālais reģistrs</w:t>
            </w:r>
          </w:p>
        </w:tc>
      </w:tr>
      <w:tr w:rsidR="00952395" w14:paraId="1B4CF3CD" w14:textId="77777777">
        <w:trPr>
          <w:trHeight w:val="300"/>
        </w:trPr>
        <w:tc>
          <w:tcPr>
            <w:tcW w:w="9072" w:type="dxa"/>
            <w:tcBorders>
              <w:top w:val="nil"/>
              <w:left w:val="nil"/>
              <w:bottom w:val="nil"/>
              <w:right w:val="nil"/>
            </w:tcBorders>
            <w:noWrap/>
            <w:vAlign w:val="bottom"/>
            <w:hideMark/>
          </w:tcPr>
          <w:p w14:paraId="7783EDF6" w14:textId="77777777" w:rsidR="00952395" w:rsidRDefault="0083775C">
            <w:pPr>
              <w:pStyle w:val="P68B1DB1-Normal91"/>
            </w:pPr>
            <w:r>
              <w:t>Centralna klirinško depotna družba (KDD)</w:t>
            </w:r>
          </w:p>
        </w:tc>
      </w:tr>
      <w:tr w:rsidR="00952395" w14:paraId="7812614A" w14:textId="77777777">
        <w:trPr>
          <w:trHeight w:val="300"/>
        </w:trPr>
        <w:tc>
          <w:tcPr>
            <w:tcW w:w="9072" w:type="dxa"/>
            <w:tcBorders>
              <w:top w:val="nil"/>
              <w:left w:val="nil"/>
              <w:bottom w:val="nil"/>
              <w:right w:val="nil"/>
            </w:tcBorders>
            <w:noWrap/>
            <w:vAlign w:val="bottom"/>
            <w:hideMark/>
          </w:tcPr>
          <w:p w14:paraId="7231B5A5" w14:textId="77777777" w:rsidR="00952395" w:rsidRDefault="0083775C">
            <w:pPr>
              <w:pStyle w:val="P68B1DB1-Normal91"/>
            </w:pPr>
            <w:r>
              <w:t>Centrální depozitár cenných papíru SR a.s. (CDCP)/Prāgas Centrālais depozitārijs</w:t>
            </w:r>
          </w:p>
        </w:tc>
      </w:tr>
      <w:tr w:rsidR="00952395" w14:paraId="3DFD9976" w14:textId="77777777">
        <w:trPr>
          <w:trHeight w:val="300"/>
        </w:trPr>
        <w:tc>
          <w:tcPr>
            <w:tcW w:w="9072" w:type="dxa"/>
            <w:tcBorders>
              <w:top w:val="nil"/>
              <w:left w:val="nil"/>
              <w:bottom w:val="nil"/>
              <w:right w:val="nil"/>
            </w:tcBorders>
            <w:noWrap/>
            <w:vAlign w:val="bottom"/>
            <w:hideMark/>
          </w:tcPr>
          <w:p w14:paraId="742B58E1" w14:textId="77777777" w:rsidR="00952395" w:rsidRDefault="0083775C">
            <w:pPr>
              <w:pStyle w:val="P68B1DB1-Normal91"/>
            </w:pPr>
            <w:r>
              <w:t>Centrálny Depositár cenných Papierov (CDCP) SR</w:t>
            </w:r>
          </w:p>
        </w:tc>
      </w:tr>
      <w:tr w:rsidR="00952395" w14:paraId="0C3666C6" w14:textId="77777777">
        <w:trPr>
          <w:trHeight w:val="300"/>
        </w:trPr>
        <w:tc>
          <w:tcPr>
            <w:tcW w:w="9072" w:type="dxa"/>
            <w:tcBorders>
              <w:top w:val="nil"/>
              <w:left w:val="nil"/>
              <w:bottom w:val="nil"/>
              <w:right w:val="nil"/>
            </w:tcBorders>
            <w:noWrap/>
            <w:vAlign w:val="bottom"/>
            <w:hideMark/>
          </w:tcPr>
          <w:p w14:paraId="44F52918" w14:textId="77777777" w:rsidR="00952395" w:rsidRDefault="0083775C">
            <w:pPr>
              <w:pStyle w:val="P68B1DB1-Normal91"/>
            </w:pPr>
            <w:r>
              <w:t>CENTROlink</w:t>
            </w:r>
          </w:p>
        </w:tc>
      </w:tr>
      <w:tr w:rsidR="00952395" w14:paraId="1BAAD6F5" w14:textId="77777777">
        <w:trPr>
          <w:trHeight w:val="300"/>
        </w:trPr>
        <w:tc>
          <w:tcPr>
            <w:tcW w:w="9072" w:type="dxa"/>
            <w:tcBorders>
              <w:top w:val="nil"/>
              <w:left w:val="nil"/>
              <w:bottom w:val="nil"/>
              <w:right w:val="nil"/>
            </w:tcBorders>
            <w:noWrap/>
            <w:vAlign w:val="bottom"/>
            <w:hideMark/>
          </w:tcPr>
          <w:p w14:paraId="1E11605F" w14:textId="77777777" w:rsidR="00952395" w:rsidRDefault="0083775C">
            <w:pPr>
              <w:pStyle w:val="P68B1DB1-Normal91"/>
            </w:pPr>
            <w:r>
              <w:t>Certis (Čehijas Publiskā reālā laika starpbanku bruto norēķinu sistēma)</w:t>
            </w:r>
          </w:p>
        </w:tc>
      </w:tr>
      <w:tr w:rsidR="00952395" w14:paraId="58D71B59" w14:textId="77777777">
        <w:trPr>
          <w:trHeight w:val="300"/>
        </w:trPr>
        <w:tc>
          <w:tcPr>
            <w:tcW w:w="9072" w:type="dxa"/>
            <w:tcBorders>
              <w:top w:val="nil"/>
              <w:left w:val="nil"/>
              <w:bottom w:val="nil"/>
              <w:right w:val="nil"/>
            </w:tcBorders>
            <w:noWrap/>
            <w:vAlign w:val="bottom"/>
            <w:hideMark/>
          </w:tcPr>
          <w:p w14:paraId="0405428F" w14:textId="77777777" w:rsidR="00952395" w:rsidRDefault="0083775C">
            <w:pPr>
              <w:pStyle w:val="P68B1DB1-Normal91"/>
            </w:pPr>
            <w:r>
              <w:t>Clearing House Automated Payment System (Clearing House Automated Payment System — Clearing House Automated Payment System) (Clearing House Automated Payment System — Clear</w:t>
            </w:r>
          </w:p>
        </w:tc>
      </w:tr>
      <w:tr w:rsidR="00952395" w14:paraId="0F052492" w14:textId="77777777">
        <w:trPr>
          <w:trHeight w:val="300"/>
        </w:trPr>
        <w:tc>
          <w:tcPr>
            <w:tcW w:w="9072" w:type="dxa"/>
            <w:tcBorders>
              <w:top w:val="nil"/>
              <w:left w:val="nil"/>
              <w:bottom w:val="nil"/>
              <w:right w:val="nil"/>
            </w:tcBorders>
            <w:noWrap/>
            <w:vAlign w:val="bottom"/>
            <w:hideMark/>
          </w:tcPr>
          <w:p w14:paraId="4F411666" w14:textId="77777777" w:rsidR="00952395" w:rsidRDefault="0083775C">
            <w:pPr>
              <w:pStyle w:val="P68B1DB1-Normal91"/>
            </w:pPr>
            <w:r>
              <w:lastRenderedPageBreak/>
              <w:t>Čeki un Credit Clearing System Ltd</w:t>
            </w:r>
          </w:p>
        </w:tc>
      </w:tr>
      <w:tr w:rsidR="00952395" w14:paraId="0979B652" w14:textId="77777777">
        <w:trPr>
          <w:trHeight w:val="300"/>
        </w:trPr>
        <w:tc>
          <w:tcPr>
            <w:tcW w:w="9072" w:type="dxa"/>
            <w:tcBorders>
              <w:top w:val="nil"/>
              <w:left w:val="nil"/>
              <w:bottom w:val="nil"/>
              <w:right w:val="nil"/>
            </w:tcBorders>
            <w:noWrap/>
            <w:vAlign w:val="bottom"/>
            <w:hideMark/>
          </w:tcPr>
          <w:p w14:paraId="53589C87" w14:textId="77777777" w:rsidR="00952395" w:rsidRDefault="0083775C">
            <w:pPr>
              <w:pStyle w:val="P68B1DB1-Normal91"/>
            </w:pPr>
            <w:r>
              <w:t>MIKROSHĒMAS</w:t>
            </w:r>
          </w:p>
        </w:tc>
      </w:tr>
      <w:tr w:rsidR="00952395" w14:paraId="3FA985BC" w14:textId="77777777">
        <w:trPr>
          <w:trHeight w:val="300"/>
        </w:trPr>
        <w:tc>
          <w:tcPr>
            <w:tcW w:w="9072" w:type="dxa"/>
            <w:tcBorders>
              <w:top w:val="nil"/>
              <w:left w:val="nil"/>
              <w:bottom w:val="nil"/>
              <w:right w:val="nil"/>
            </w:tcBorders>
            <w:noWrap/>
            <w:vAlign w:val="bottom"/>
            <w:hideMark/>
          </w:tcPr>
          <w:p w14:paraId="1D542203" w14:textId="77777777" w:rsidR="00952395" w:rsidRDefault="0083775C">
            <w:pPr>
              <w:pStyle w:val="P68B1DB1-Normal91"/>
            </w:pPr>
            <w:r>
              <w:t>Austrijas klīringa dienests (CSA)</w:t>
            </w:r>
          </w:p>
        </w:tc>
      </w:tr>
      <w:tr w:rsidR="00952395" w14:paraId="6FFF162D" w14:textId="77777777">
        <w:trPr>
          <w:trHeight w:val="300"/>
        </w:trPr>
        <w:tc>
          <w:tcPr>
            <w:tcW w:w="9072" w:type="dxa"/>
            <w:tcBorders>
              <w:top w:val="nil"/>
              <w:left w:val="nil"/>
              <w:bottom w:val="nil"/>
              <w:right w:val="nil"/>
            </w:tcBorders>
            <w:noWrap/>
            <w:vAlign w:val="bottom"/>
            <w:hideMark/>
          </w:tcPr>
          <w:p w14:paraId="657C636C" w14:textId="77777777" w:rsidR="00952395" w:rsidRDefault="0083775C">
            <w:pPr>
              <w:pStyle w:val="P68B1DB1-Normal91"/>
            </w:pPr>
            <w:r>
              <w:t>Mijieskaita pakalpojumu starptautiskais dienests (CSI)</w:t>
            </w:r>
          </w:p>
        </w:tc>
      </w:tr>
      <w:tr w:rsidR="00952395" w14:paraId="086AA89E" w14:textId="77777777">
        <w:trPr>
          <w:trHeight w:val="300"/>
        </w:trPr>
        <w:tc>
          <w:tcPr>
            <w:tcW w:w="9072" w:type="dxa"/>
            <w:tcBorders>
              <w:top w:val="nil"/>
              <w:left w:val="nil"/>
              <w:bottom w:val="nil"/>
              <w:right w:val="nil"/>
            </w:tcBorders>
            <w:noWrap/>
            <w:vAlign w:val="bottom"/>
            <w:hideMark/>
          </w:tcPr>
          <w:p w14:paraId="2802A46D" w14:textId="77777777" w:rsidR="00952395" w:rsidRDefault="0083775C">
            <w:pPr>
              <w:pStyle w:val="P68B1DB1-Normal91"/>
            </w:pPr>
            <w:r>
              <w:t>Clearstream Banking AG</w:t>
            </w:r>
          </w:p>
        </w:tc>
      </w:tr>
      <w:tr w:rsidR="00952395" w14:paraId="0E099AF5" w14:textId="77777777">
        <w:trPr>
          <w:trHeight w:val="300"/>
        </w:trPr>
        <w:tc>
          <w:tcPr>
            <w:tcW w:w="9072" w:type="dxa"/>
            <w:tcBorders>
              <w:top w:val="nil"/>
              <w:left w:val="nil"/>
              <w:bottom w:val="nil"/>
              <w:right w:val="nil"/>
            </w:tcBorders>
            <w:noWrap/>
            <w:vAlign w:val="bottom"/>
            <w:hideMark/>
          </w:tcPr>
          <w:p w14:paraId="7ED35FA8" w14:textId="77777777" w:rsidR="00952395" w:rsidRDefault="0083775C">
            <w:pPr>
              <w:pStyle w:val="P68B1DB1-Normal91"/>
            </w:pPr>
            <w:r>
              <w:t>Clearstream Banking Luxembourg</w:t>
            </w:r>
          </w:p>
        </w:tc>
      </w:tr>
      <w:tr w:rsidR="00952395" w14:paraId="55359EE8" w14:textId="77777777">
        <w:trPr>
          <w:trHeight w:val="300"/>
        </w:trPr>
        <w:tc>
          <w:tcPr>
            <w:tcW w:w="9072" w:type="dxa"/>
            <w:tcBorders>
              <w:top w:val="nil"/>
              <w:left w:val="nil"/>
              <w:bottom w:val="nil"/>
              <w:right w:val="nil"/>
            </w:tcBorders>
            <w:noWrap/>
            <w:vAlign w:val="bottom"/>
            <w:hideMark/>
          </w:tcPr>
          <w:p w14:paraId="218A6446" w14:textId="77777777" w:rsidR="00952395" w:rsidRDefault="0083775C">
            <w:pPr>
              <w:pStyle w:val="P68B1DB1-Normal91"/>
            </w:pPr>
            <w:r>
              <w:t>CLS</w:t>
            </w:r>
          </w:p>
        </w:tc>
      </w:tr>
      <w:tr w:rsidR="00952395" w14:paraId="6A82B717" w14:textId="77777777">
        <w:trPr>
          <w:trHeight w:val="300"/>
        </w:trPr>
        <w:tc>
          <w:tcPr>
            <w:tcW w:w="9072" w:type="dxa"/>
            <w:tcBorders>
              <w:top w:val="nil"/>
              <w:left w:val="nil"/>
              <w:bottom w:val="nil"/>
              <w:right w:val="nil"/>
            </w:tcBorders>
            <w:noWrap/>
            <w:vAlign w:val="bottom"/>
            <w:hideMark/>
          </w:tcPr>
          <w:p w14:paraId="051DFD15" w14:textId="77777777" w:rsidR="00952395" w:rsidRDefault="0083775C">
            <w:pPr>
              <w:pStyle w:val="P68B1DB1-Normal91"/>
            </w:pPr>
            <w:r>
              <w:t>CME Trade Repository Ltd (CME TR)</w:t>
            </w:r>
          </w:p>
        </w:tc>
      </w:tr>
      <w:tr w:rsidR="00952395" w14:paraId="06831526" w14:textId="77777777">
        <w:trPr>
          <w:trHeight w:val="300"/>
        </w:trPr>
        <w:tc>
          <w:tcPr>
            <w:tcW w:w="9072" w:type="dxa"/>
            <w:tcBorders>
              <w:top w:val="nil"/>
              <w:left w:val="nil"/>
              <w:bottom w:val="nil"/>
              <w:right w:val="nil"/>
            </w:tcBorders>
            <w:noWrap/>
            <w:vAlign w:val="bottom"/>
            <w:hideMark/>
          </w:tcPr>
          <w:p w14:paraId="33B6CA7E" w14:textId="77777777" w:rsidR="00952395" w:rsidRDefault="0083775C">
            <w:pPr>
              <w:pStyle w:val="P68B1DB1-Normal91"/>
            </w:pPr>
            <w:r>
              <w:t>Kipras starpniecības centrs</w:t>
            </w:r>
          </w:p>
        </w:tc>
      </w:tr>
      <w:tr w:rsidR="00952395" w14:paraId="3BB1F880" w14:textId="77777777">
        <w:trPr>
          <w:trHeight w:val="300"/>
        </w:trPr>
        <w:tc>
          <w:tcPr>
            <w:tcW w:w="9072" w:type="dxa"/>
            <w:tcBorders>
              <w:top w:val="nil"/>
              <w:left w:val="nil"/>
              <w:bottom w:val="nil"/>
              <w:right w:val="nil"/>
            </w:tcBorders>
            <w:noWrap/>
            <w:vAlign w:val="bottom"/>
            <w:hideMark/>
          </w:tcPr>
          <w:p w14:paraId="6DCF1051" w14:textId="77777777" w:rsidR="00952395" w:rsidRDefault="0083775C">
            <w:pPr>
              <w:pStyle w:val="P68B1DB1-Normal91"/>
            </w:pPr>
            <w:r>
              <w:t>Kipras birža</w:t>
            </w:r>
          </w:p>
        </w:tc>
      </w:tr>
      <w:tr w:rsidR="00952395" w14:paraId="7F6A962C" w14:textId="77777777">
        <w:trPr>
          <w:trHeight w:val="300"/>
        </w:trPr>
        <w:tc>
          <w:tcPr>
            <w:tcW w:w="9072" w:type="dxa"/>
            <w:tcBorders>
              <w:top w:val="nil"/>
              <w:left w:val="nil"/>
              <w:bottom w:val="nil"/>
              <w:right w:val="nil"/>
            </w:tcBorders>
            <w:noWrap/>
            <w:vAlign w:val="bottom"/>
            <w:hideMark/>
          </w:tcPr>
          <w:p w14:paraId="359710C1" w14:textId="77777777" w:rsidR="00952395" w:rsidRDefault="0083775C">
            <w:pPr>
              <w:pStyle w:val="P68B1DB1-Normal91"/>
            </w:pPr>
            <w:r>
              <w:t>Datu dzēšana</w:t>
            </w:r>
          </w:p>
        </w:tc>
      </w:tr>
      <w:tr w:rsidR="00952395" w14:paraId="0118AB34" w14:textId="77777777">
        <w:trPr>
          <w:trHeight w:val="300"/>
        </w:trPr>
        <w:tc>
          <w:tcPr>
            <w:tcW w:w="9072" w:type="dxa"/>
            <w:tcBorders>
              <w:top w:val="nil"/>
              <w:left w:val="nil"/>
              <w:bottom w:val="nil"/>
              <w:right w:val="nil"/>
            </w:tcBorders>
            <w:noWrap/>
            <w:vAlign w:val="bottom"/>
            <w:hideMark/>
          </w:tcPr>
          <w:p w14:paraId="371022ED" w14:textId="77777777" w:rsidR="00952395" w:rsidRDefault="0083775C">
            <w:pPr>
              <w:pStyle w:val="P68B1DB1-Normal91"/>
            </w:pPr>
            <w:r>
              <w:t>Depozitarul Central S.A.</w:t>
            </w:r>
          </w:p>
        </w:tc>
      </w:tr>
      <w:tr w:rsidR="00952395" w14:paraId="2356D6E7" w14:textId="77777777">
        <w:trPr>
          <w:trHeight w:val="300"/>
        </w:trPr>
        <w:tc>
          <w:tcPr>
            <w:tcW w:w="9072" w:type="dxa"/>
            <w:tcBorders>
              <w:top w:val="nil"/>
              <w:left w:val="nil"/>
              <w:bottom w:val="nil"/>
              <w:right w:val="nil"/>
            </w:tcBorders>
            <w:noWrap/>
            <w:vAlign w:val="bottom"/>
            <w:hideMark/>
          </w:tcPr>
          <w:p w14:paraId="2A6C99D9" w14:textId="77777777" w:rsidR="00952395" w:rsidRDefault="0083775C">
            <w:pPr>
              <w:pStyle w:val="P68B1DB1-Normal91"/>
            </w:pPr>
            <w:r>
              <w:t>Deutsche Börse AG</w:t>
            </w:r>
          </w:p>
        </w:tc>
      </w:tr>
      <w:tr w:rsidR="00952395" w14:paraId="086E410F" w14:textId="77777777">
        <w:trPr>
          <w:trHeight w:val="300"/>
        </w:trPr>
        <w:tc>
          <w:tcPr>
            <w:tcW w:w="9072" w:type="dxa"/>
            <w:tcBorders>
              <w:top w:val="nil"/>
              <w:left w:val="nil"/>
              <w:bottom w:val="nil"/>
              <w:right w:val="nil"/>
            </w:tcBorders>
            <w:noWrap/>
            <w:vAlign w:val="bottom"/>
            <w:hideMark/>
          </w:tcPr>
          <w:p w14:paraId="557F1C51" w14:textId="77777777" w:rsidR="00952395" w:rsidRDefault="0083775C">
            <w:pPr>
              <w:pStyle w:val="P68B1DB1-Normal91"/>
            </w:pPr>
            <w:r>
              <w:t>Dias (starpbanku sistēmas S.A.)</w:t>
            </w:r>
          </w:p>
        </w:tc>
      </w:tr>
      <w:tr w:rsidR="00952395" w14:paraId="2ADBEB7D" w14:textId="77777777">
        <w:trPr>
          <w:trHeight w:val="300"/>
        </w:trPr>
        <w:tc>
          <w:tcPr>
            <w:tcW w:w="9072" w:type="dxa"/>
            <w:tcBorders>
              <w:top w:val="nil"/>
              <w:left w:val="nil"/>
              <w:bottom w:val="nil"/>
              <w:right w:val="nil"/>
            </w:tcBorders>
            <w:noWrap/>
            <w:vAlign w:val="bottom"/>
            <w:hideMark/>
          </w:tcPr>
          <w:p w14:paraId="08C28E5B" w14:textId="77777777" w:rsidR="00952395" w:rsidRDefault="0083775C">
            <w:pPr>
              <w:pStyle w:val="P68B1DB1-Normal91"/>
            </w:pPr>
            <w:r>
              <w:t>DTC (noguldījumu trasta sabiedrība)</w:t>
            </w:r>
          </w:p>
        </w:tc>
      </w:tr>
      <w:tr w:rsidR="00952395" w14:paraId="797F9EF8" w14:textId="77777777">
        <w:trPr>
          <w:trHeight w:val="300"/>
        </w:trPr>
        <w:tc>
          <w:tcPr>
            <w:tcW w:w="9072" w:type="dxa"/>
            <w:tcBorders>
              <w:top w:val="nil"/>
              <w:left w:val="nil"/>
              <w:bottom w:val="nil"/>
              <w:right w:val="nil"/>
            </w:tcBorders>
            <w:noWrap/>
            <w:vAlign w:val="bottom"/>
            <w:hideMark/>
          </w:tcPr>
          <w:p w14:paraId="51E5D740" w14:textId="77777777" w:rsidR="00952395" w:rsidRDefault="0083775C">
            <w:pPr>
              <w:pStyle w:val="P68B1DB1-Normal91"/>
            </w:pPr>
            <w:r>
              <w:t>DTCC Atvasināto instrumentu repozitorijs</w:t>
            </w:r>
          </w:p>
        </w:tc>
      </w:tr>
      <w:tr w:rsidR="00952395" w14:paraId="6ADFC287" w14:textId="77777777">
        <w:trPr>
          <w:trHeight w:val="300"/>
        </w:trPr>
        <w:tc>
          <w:tcPr>
            <w:tcW w:w="9072" w:type="dxa"/>
            <w:tcBorders>
              <w:top w:val="nil"/>
              <w:left w:val="nil"/>
              <w:bottom w:val="nil"/>
              <w:right w:val="nil"/>
            </w:tcBorders>
            <w:noWrap/>
            <w:vAlign w:val="bottom"/>
            <w:hideMark/>
          </w:tcPr>
          <w:p w14:paraId="30027F70" w14:textId="77777777" w:rsidR="00952395" w:rsidRDefault="0083775C">
            <w:pPr>
              <w:pStyle w:val="P68B1DB1-Normal91"/>
            </w:pPr>
            <w:r>
              <w:t>Elektroniskā klīringa sistēma (EKS)</w:t>
            </w:r>
          </w:p>
        </w:tc>
      </w:tr>
      <w:tr w:rsidR="00952395" w14:paraId="3C13C365" w14:textId="77777777">
        <w:trPr>
          <w:trHeight w:val="300"/>
        </w:trPr>
        <w:tc>
          <w:tcPr>
            <w:tcW w:w="9072" w:type="dxa"/>
            <w:tcBorders>
              <w:top w:val="nil"/>
              <w:left w:val="nil"/>
              <w:bottom w:val="nil"/>
              <w:right w:val="nil"/>
            </w:tcBorders>
            <w:noWrap/>
            <w:vAlign w:val="bottom"/>
            <w:hideMark/>
          </w:tcPr>
          <w:p w14:paraId="2536A2E4" w14:textId="77777777" w:rsidR="00952395" w:rsidRDefault="0083775C">
            <w:pPr>
              <w:pStyle w:val="P68B1DB1-Normal91"/>
            </w:pPr>
            <w:r>
              <w:t>ELIXIR</w:t>
            </w:r>
          </w:p>
        </w:tc>
      </w:tr>
      <w:tr w:rsidR="00952395" w14:paraId="59490FEF" w14:textId="77777777">
        <w:trPr>
          <w:trHeight w:val="300"/>
        </w:trPr>
        <w:tc>
          <w:tcPr>
            <w:tcW w:w="9072" w:type="dxa"/>
            <w:tcBorders>
              <w:top w:val="nil"/>
              <w:left w:val="nil"/>
              <w:bottom w:val="nil"/>
              <w:right w:val="nil"/>
            </w:tcBorders>
            <w:noWrap/>
            <w:vAlign w:val="bottom"/>
            <w:hideMark/>
          </w:tcPr>
          <w:p w14:paraId="5D3BC6DE" w14:textId="77777777" w:rsidR="00952395" w:rsidRDefault="0083775C">
            <w:pPr>
              <w:pStyle w:val="P68B1DB1-Normal91"/>
            </w:pPr>
            <w:r>
              <w:t>Ekvensi</w:t>
            </w:r>
          </w:p>
        </w:tc>
      </w:tr>
      <w:tr w:rsidR="00952395" w14:paraId="7151AAFC" w14:textId="77777777">
        <w:trPr>
          <w:trHeight w:val="300"/>
        </w:trPr>
        <w:tc>
          <w:tcPr>
            <w:tcW w:w="9072" w:type="dxa"/>
            <w:tcBorders>
              <w:top w:val="nil"/>
              <w:left w:val="nil"/>
              <w:bottom w:val="nil"/>
              <w:right w:val="nil"/>
            </w:tcBorders>
            <w:noWrap/>
            <w:vAlign w:val="bottom"/>
            <w:hideMark/>
          </w:tcPr>
          <w:p w14:paraId="62F52322" w14:textId="77777777" w:rsidR="00952395" w:rsidRDefault="0083775C">
            <w:pPr>
              <w:pStyle w:val="P68B1DB1-Normal91"/>
            </w:pPr>
            <w:r>
              <w:t>Eurex Clearing AG</w:t>
            </w:r>
          </w:p>
        </w:tc>
      </w:tr>
      <w:tr w:rsidR="00952395" w14:paraId="20047EE0" w14:textId="77777777">
        <w:trPr>
          <w:trHeight w:val="300"/>
        </w:trPr>
        <w:tc>
          <w:tcPr>
            <w:tcW w:w="9072" w:type="dxa"/>
            <w:tcBorders>
              <w:top w:val="nil"/>
              <w:left w:val="nil"/>
              <w:bottom w:val="nil"/>
              <w:right w:val="nil"/>
            </w:tcBorders>
            <w:noWrap/>
            <w:vAlign w:val="bottom"/>
            <w:hideMark/>
          </w:tcPr>
          <w:p w14:paraId="65198B5E" w14:textId="77777777" w:rsidR="00952395" w:rsidRDefault="0083775C">
            <w:pPr>
              <w:pStyle w:val="P68B1DB1-Normal91"/>
            </w:pPr>
            <w:r>
              <w:t>EURO1</w:t>
            </w:r>
          </w:p>
        </w:tc>
      </w:tr>
      <w:tr w:rsidR="00952395" w14:paraId="51532B57" w14:textId="77777777">
        <w:trPr>
          <w:trHeight w:val="300"/>
        </w:trPr>
        <w:tc>
          <w:tcPr>
            <w:tcW w:w="9072" w:type="dxa"/>
            <w:tcBorders>
              <w:top w:val="nil"/>
              <w:left w:val="nil"/>
              <w:bottom w:val="nil"/>
              <w:right w:val="nil"/>
            </w:tcBorders>
            <w:noWrap/>
            <w:vAlign w:val="bottom"/>
            <w:hideMark/>
          </w:tcPr>
          <w:p w14:paraId="6784162A" w14:textId="77777777" w:rsidR="00952395" w:rsidRDefault="0083775C">
            <w:pPr>
              <w:pStyle w:val="P68B1DB1-Normal91"/>
            </w:pPr>
            <w:r>
              <w:t>Euroclear Bank</w:t>
            </w:r>
          </w:p>
        </w:tc>
      </w:tr>
      <w:tr w:rsidR="00952395" w14:paraId="1FED107A" w14:textId="77777777">
        <w:trPr>
          <w:trHeight w:val="300"/>
        </w:trPr>
        <w:tc>
          <w:tcPr>
            <w:tcW w:w="9072" w:type="dxa"/>
            <w:tcBorders>
              <w:top w:val="nil"/>
              <w:left w:val="nil"/>
              <w:bottom w:val="nil"/>
              <w:right w:val="nil"/>
            </w:tcBorders>
            <w:noWrap/>
            <w:vAlign w:val="bottom"/>
            <w:hideMark/>
          </w:tcPr>
          <w:p w14:paraId="7EB27986" w14:textId="77777777" w:rsidR="00952395" w:rsidRDefault="0083775C">
            <w:pPr>
              <w:pStyle w:val="P68B1DB1-Normal91"/>
            </w:pPr>
            <w:r>
              <w:t>Euroclear Belgium (ESES)</w:t>
            </w:r>
          </w:p>
        </w:tc>
      </w:tr>
      <w:tr w:rsidR="00952395" w14:paraId="19126F92" w14:textId="77777777">
        <w:trPr>
          <w:trHeight w:val="300"/>
        </w:trPr>
        <w:tc>
          <w:tcPr>
            <w:tcW w:w="9072" w:type="dxa"/>
            <w:tcBorders>
              <w:top w:val="nil"/>
              <w:left w:val="nil"/>
              <w:bottom w:val="nil"/>
              <w:right w:val="nil"/>
            </w:tcBorders>
            <w:noWrap/>
            <w:vAlign w:val="bottom"/>
            <w:hideMark/>
          </w:tcPr>
          <w:p w14:paraId="649DE977" w14:textId="77777777" w:rsidR="00952395" w:rsidRDefault="0083775C">
            <w:pPr>
              <w:pStyle w:val="P68B1DB1-Normal91"/>
            </w:pPr>
            <w:r>
              <w:t>Euroclear Finland</w:t>
            </w:r>
          </w:p>
        </w:tc>
      </w:tr>
      <w:tr w:rsidR="00952395" w14:paraId="37A9A6E1" w14:textId="77777777">
        <w:trPr>
          <w:trHeight w:val="300"/>
        </w:trPr>
        <w:tc>
          <w:tcPr>
            <w:tcW w:w="9072" w:type="dxa"/>
            <w:tcBorders>
              <w:top w:val="nil"/>
              <w:left w:val="nil"/>
              <w:bottom w:val="nil"/>
              <w:right w:val="nil"/>
            </w:tcBorders>
            <w:noWrap/>
            <w:vAlign w:val="bottom"/>
            <w:hideMark/>
          </w:tcPr>
          <w:p w14:paraId="734EF8BF" w14:textId="77777777" w:rsidR="00952395" w:rsidRDefault="0083775C">
            <w:pPr>
              <w:pStyle w:val="P68B1DB1-Normal91"/>
            </w:pPr>
            <w:r>
              <w:t>Euroclear France (ESES)</w:t>
            </w:r>
          </w:p>
        </w:tc>
      </w:tr>
      <w:tr w:rsidR="00952395" w14:paraId="33F2EFD1" w14:textId="77777777">
        <w:trPr>
          <w:trHeight w:val="300"/>
        </w:trPr>
        <w:tc>
          <w:tcPr>
            <w:tcW w:w="9072" w:type="dxa"/>
            <w:tcBorders>
              <w:top w:val="nil"/>
              <w:left w:val="nil"/>
              <w:bottom w:val="nil"/>
              <w:right w:val="nil"/>
            </w:tcBorders>
            <w:noWrap/>
            <w:vAlign w:val="bottom"/>
            <w:hideMark/>
          </w:tcPr>
          <w:p w14:paraId="0273EA5F" w14:textId="77777777" w:rsidR="00952395" w:rsidRDefault="0083775C">
            <w:pPr>
              <w:pStyle w:val="P68B1DB1-Normal91"/>
            </w:pPr>
            <w:r>
              <w:t>Euroclear Nīderlande (ESES)</w:t>
            </w:r>
          </w:p>
        </w:tc>
      </w:tr>
      <w:tr w:rsidR="00952395" w14:paraId="7B056DB0" w14:textId="77777777">
        <w:trPr>
          <w:trHeight w:val="300"/>
        </w:trPr>
        <w:tc>
          <w:tcPr>
            <w:tcW w:w="9072" w:type="dxa"/>
            <w:tcBorders>
              <w:top w:val="nil"/>
              <w:left w:val="nil"/>
              <w:bottom w:val="nil"/>
              <w:right w:val="nil"/>
            </w:tcBorders>
            <w:noWrap/>
            <w:vAlign w:val="bottom"/>
            <w:hideMark/>
          </w:tcPr>
          <w:p w14:paraId="09E6EC57" w14:textId="77777777" w:rsidR="00952395" w:rsidRDefault="0083775C">
            <w:pPr>
              <w:pStyle w:val="P68B1DB1-Normal91"/>
            </w:pPr>
            <w:r>
              <w:t>Euroclear Sweden AB (VPC sistēmaet)</w:t>
            </w:r>
          </w:p>
        </w:tc>
      </w:tr>
      <w:tr w:rsidR="00952395" w14:paraId="3D614022" w14:textId="77777777">
        <w:trPr>
          <w:trHeight w:val="300"/>
        </w:trPr>
        <w:tc>
          <w:tcPr>
            <w:tcW w:w="9072" w:type="dxa"/>
            <w:tcBorders>
              <w:top w:val="nil"/>
              <w:left w:val="nil"/>
              <w:bottom w:val="nil"/>
              <w:right w:val="nil"/>
            </w:tcBorders>
            <w:noWrap/>
            <w:vAlign w:val="bottom"/>
            <w:hideMark/>
          </w:tcPr>
          <w:p w14:paraId="1A4DFFF6" w14:textId="77777777" w:rsidR="00952395" w:rsidRDefault="0083775C">
            <w:pPr>
              <w:pStyle w:val="P68B1DB1-Normal91"/>
            </w:pPr>
            <w:r>
              <w:t>Euroclear UK &amp; Ireland Limited (EUI) (CREST)</w:t>
            </w:r>
          </w:p>
        </w:tc>
      </w:tr>
      <w:tr w:rsidR="00952395" w14:paraId="55B08F89" w14:textId="77777777">
        <w:trPr>
          <w:trHeight w:val="300"/>
        </w:trPr>
        <w:tc>
          <w:tcPr>
            <w:tcW w:w="9072" w:type="dxa"/>
            <w:tcBorders>
              <w:top w:val="nil"/>
              <w:left w:val="nil"/>
              <w:bottom w:val="nil"/>
              <w:right w:val="nil"/>
            </w:tcBorders>
            <w:noWrap/>
            <w:vAlign w:val="bottom"/>
            <w:hideMark/>
          </w:tcPr>
          <w:p w14:paraId="56E621EE" w14:textId="77777777" w:rsidR="00952395" w:rsidRDefault="0083775C">
            <w:pPr>
              <w:pStyle w:val="P68B1DB1-Normal91"/>
            </w:pPr>
            <w:r>
              <w:t>Euronext Amsterdamas naudas tirgus</w:t>
            </w:r>
          </w:p>
        </w:tc>
      </w:tr>
      <w:tr w:rsidR="00952395" w14:paraId="08BE70B5" w14:textId="77777777">
        <w:trPr>
          <w:trHeight w:val="300"/>
        </w:trPr>
        <w:tc>
          <w:tcPr>
            <w:tcW w:w="9072" w:type="dxa"/>
            <w:tcBorders>
              <w:top w:val="nil"/>
              <w:left w:val="nil"/>
              <w:bottom w:val="nil"/>
              <w:right w:val="nil"/>
            </w:tcBorders>
            <w:noWrap/>
            <w:vAlign w:val="bottom"/>
            <w:hideMark/>
          </w:tcPr>
          <w:p w14:paraId="717F6012" w14:textId="77777777" w:rsidR="00952395" w:rsidRDefault="0083775C">
            <w:pPr>
              <w:pStyle w:val="P68B1DB1-Normal91"/>
            </w:pPr>
            <w:r>
              <w:t>Euronext Brussel SA</w:t>
            </w:r>
          </w:p>
          <w:p w14:paraId="3E95828F" w14:textId="77777777" w:rsidR="00952395" w:rsidRDefault="0083775C">
            <w:pPr>
              <w:rPr>
                <w:rFonts w:eastAsia="Times New Roman" w:cs="Calibri"/>
                <w:color w:val="000000"/>
                <w:sz w:val="18"/>
                <w:szCs w:val="18"/>
              </w:rPr>
            </w:pPr>
            <w:r>
              <w:rPr>
                <w:rFonts w:eastAsia="Times New Roman" w:cs="Calibri"/>
                <w:color w:val="000000"/>
                <w:sz w:val="18"/>
                <w:szCs w:val="18"/>
              </w:rPr>
              <w:t>Euronext tīrvērte</w:t>
            </w:r>
            <w:r>
              <w:rPr>
                <w:rStyle w:val="FootnoteReference"/>
                <w:rFonts w:eastAsia="Times New Roman" w:cs="Calibri"/>
                <w:color w:val="000000"/>
                <w:sz w:val="18"/>
              </w:rPr>
              <w:footnoteReference w:id="37"/>
            </w:r>
          </w:p>
        </w:tc>
      </w:tr>
      <w:tr w:rsidR="00952395" w14:paraId="6A3A4767" w14:textId="77777777">
        <w:trPr>
          <w:trHeight w:val="300"/>
        </w:trPr>
        <w:tc>
          <w:tcPr>
            <w:tcW w:w="9072" w:type="dxa"/>
            <w:tcBorders>
              <w:top w:val="nil"/>
              <w:left w:val="nil"/>
              <w:bottom w:val="nil"/>
              <w:right w:val="nil"/>
            </w:tcBorders>
            <w:noWrap/>
            <w:vAlign w:val="bottom"/>
            <w:hideMark/>
          </w:tcPr>
          <w:p w14:paraId="0CF6918B" w14:textId="77777777" w:rsidR="00952395" w:rsidRDefault="0083775C">
            <w:pPr>
              <w:pStyle w:val="P68B1DB1-Normal91"/>
            </w:pPr>
            <w:r>
              <w:t>Euronext Lisbon SA</w:t>
            </w:r>
          </w:p>
        </w:tc>
      </w:tr>
      <w:tr w:rsidR="00952395" w14:paraId="1114BA7C" w14:textId="77777777">
        <w:trPr>
          <w:trHeight w:val="300"/>
        </w:trPr>
        <w:tc>
          <w:tcPr>
            <w:tcW w:w="9072" w:type="dxa"/>
            <w:tcBorders>
              <w:top w:val="nil"/>
              <w:left w:val="nil"/>
              <w:bottom w:val="nil"/>
              <w:right w:val="nil"/>
            </w:tcBorders>
            <w:noWrap/>
            <w:vAlign w:val="bottom"/>
            <w:hideMark/>
          </w:tcPr>
          <w:p w14:paraId="58D22650" w14:textId="77777777" w:rsidR="00952395" w:rsidRDefault="0083775C">
            <w:pPr>
              <w:pStyle w:val="P68B1DB1-Normal91"/>
            </w:pPr>
            <w:r>
              <w:t>Eiropas ĶKP NV</w:t>
            </w:r>
          </w:p>
        </w:tc>
      </w:tr>
      <w:tr w:rsidR="00952395" w14:paraId="1758B1C2" w14:textId="77777777">
        <w:trPr>
          <w:trHeight w:val="300"/>
        </w:trPr>
        <w:tc>
          <w:tcPr>
            <w:tcW w:w="9072" w:type="dxa"/>
            <w:tcBorders>
              <w:top w:val="nil"/>
              <w:left w:val="nil"/>
              <w:bottom w:val="nil"/>
              <w:right w:val="nil"/>
            </w:tcBorders>
            <w:noWrap/>
            <w:vAlign w:val="bottom"/>
            <w:hideMark/>
          </w:tcPr>
          <w:p w14:paraId="6342DE58" w14:textId="77777777" w:rsidR="00952395" w:rsidRDefault="0083775C">
            <w:pPr>
              <w:pStyle w:val="P68B1DB1-Normal91"/>
            </w:pPr>
            <w:r>
              <w:t>Eiropas preču tīrvērte (ECC)</w:t>
            </w:r>
          </w:p>
        </w:tc>
      </w:tr>
      <w:tr w:rsidR="00952395" w14:paraId="0DDA2A90" w14:textId="77777777">
        <w:trPr>
          <w:trHeight w:val="300"/>
        </w:trPr>
        <w:tc>
          <w:tcPr>
            <w:tcW w:w="9072" w:type="dxa"/>
            <w:tcBorders>
              <w:top w:val="nil"/>
              <w:left w:val="nil"/>
              <w:bottom w:val="nil"/>
              <w:right w:val="nil"/>
            </w:tcBorders>
            <w:noWrap/>
            <w:vAlign w:val="bottom"/>
            <w:hideMark/>
          </w:tcPr>
          <w:p w14:paraId="40A82682" w14:textId="77777777" w:rsidR="00952395" w:rsidRDefault="0083775C">
            <w:pPr>
              <w:pStyle w:val="P68B1DB1-Normal91"/>
            </w:pPr>
            <w:r>
              <w:t>Ekspresija Elixir</w:t>
            </w:r>
          </w:p>
        </w:tc>
      </w:tr>
      <w:tr w:rsidR="00952395" w14:paraId="542DFF49" w14:textId="77777777">
        <w:trPr>
          <w:trHeight w:val="300"/>
        </w:trPr>
        <w:tc>
          <w:tcPr>
            <w:tcW w:w="9072" w:type="dxa"/>
            <w:tcBorders>
              <w:top w:val="nil"/>
              <w:left w:val="nil"/>
              <w:bottom w:val="nil"/>
              <w:right w:val="nil"/>
            </w:tcBorders>
            <w:noWrap/>
            <w:vAlign w:val="bottom"/>
            <w:hideMark/>
          </w:tcPr>
          <w:p w14:paraId="059F87EB" w14:textId="77777777" w:rsidR="00952395" w:rsidRDefault="0083775C">
            <w:pPr>
              <w:pStyle w:val="P68B1DB1-Normal91"/>
            </w:pPr>
            <w:r>
              <w:t>Ātrāks maksājumu pakalpojums (FPS)</w:t>
            </w:r>
          </w:p>
        </w:tc>
      </w:tr>
      <w:tr w:rsidR="00952395" w14:paraId="4CFAE77A" w14:textId="77777777">
        <w:trPr>
          <w:trHeight w:val="300"/>
        </w:trPr>
        <w:tc>
          <w:tcPr>
            <w:tcW w:w="9072" w:type="dxa"/>
            <w:tcBorders>
              <w:top w:val="nil"/>
              <w:left w:val="nil"/>
              <w:bottom w:val="nil"/>
              <w:right w:val="nil"/>
            </w:tcBorders>
            <w:noWrap/>
            <w:vAlign w:val="bottom"/>
            <w:hideMark/>
          </w:tcPr>
          <w:p w14:paraId="03A78736" w14:textId="77777777" w:rsidR="00952395" w:rsidRDefault="0083775C">
            <w:pPr>
              <w:pStyle w:val="P68B1DB1-Normal91"/>
            </w:pPr>
            <w:r>
              <w:t>FedACH pakalpojumi</w:t>
            </w:r>
          </w:p>
        </w:tc>
      </w:tr>
      <w:tr w:rsidR="00952395" w14:paraId="1A8E545B" w14:textId="77777777">
        <w:trPr>
          <w:trHeight w:val="300"/>
        </w:trPr>
        <w:tc>
          <w:tcPr>
            <w:tcW w:w="9072" w:type="dxa"/>
            <w:tcBorders>
              <w:top w:val="nil"/>
              <w:left w:val="nil"/>
              <w:bottom w:val="nil"/>
              <w:right w:val="nil"/>
            </w:tcBorders>
            <w:noWrap/>
            <w:vAlign w:val="bottom"/>
            <w:hideMark/>
          </w:tcPr>
          <w:p w14:paraId="508F0A63" w14:textId="77777777" w:rsidR="00952395" w:rsidRDefault="0083775C">
            <w:pPr>
              <w:pStyle w:val="P68B1DB1-Normal91"/>
            </w:pPr>
            <w:r>
              <w:t>Fedwire Funds Service (Fedwire Funds Service)</w:t>
            </w:r>
          </w:p>
        </w:tc>
      </w:tr>
      <w:tr w:rsidR="00952395" w14:paraId="7603EDE5" w14:textId="77777777">
        <w:trPr>
          <w:trHeight w:val="300"/>
        </w:trPr>
        <w:tc>
          <w:tcPr>
            <w:tcW w:w="9072" w:type="dxa"/>
            <w:tcBorders>
              <w:top w:val="nil"/>
              <w:left w:val="nil"/>
              <w:bottom w:val="nil"/>
              <w:right w:val="nil"/>
            </w:tcBorders>
            <w:noWrap/>
            <w:vAlign w:val="bottom"/>
            <w:hideMark/>
          </w:tcPr>
          <w:p w14:paraId="6146D91C" w14:textId="77777777" w:rsidR="00952395" w:rsidRDefault="0083775C">
            <w:pPr>
              <w:pStyle w:val="P68B1DB1-Normal91"/>
            </w:pPr>
            <w:r>
              <w:t>Fedwire Securities Services (Fedwire Securities Services)</w:t>
            </w:r>
          </w:p>
        </w:tc>
      </w:tr>
      <w:tr w:rsidR="00952395" w14:paraId="638B9492" w14:textId="77777777">
        <w:trPr>
          <w:trHeight w:val="300"/>
        </w:trPr>
        <w:tc>
          <w:tcPr>
            <w:tcW w:w="9072" w:type="dxa"/>
            <w:tcBorders>
              <w:top w:val="nil"/>
              <w:left w:val="nil"/>
              <w:bottom w:val="nil"/>
              <w:right w:val="nil"/>
            </w:tcBorders>
            <w:noWrap/>
            <w:vAlign w:val="bottom"/>
            <w:hideMark/>
          </w:tcPr>
          <w:p w14:paraId="0FCA6B85" w14:textId="77777777" w:rsidR="00952395" w:rsidRDefault="0083775C">
            <w:pPr>
              <w:pStyle w:val="P68B1DB1-Normal91"/>
            </w:pPr>
            <w:r>
              <w:t>Fiksēto ienākumu tīrvērtes korpusi (FICC)</w:t>
            </w:r>
          </w:p>
        </w:tc>
      </w:tr>
      <w:tr w:rsidR="00952395" w14:paraId="4384BE65" w14:textId="77777777">
        <w:trPr>
          <w:trHeight w:val="300"/>
        </w:trPr>
        <w:tc>
          <w:tcPr>
            <w:tcW w:w="9072" w:type="dxa"/>
            <w:tcBorders>
              <w:top w:val="nil"/>
              <w:left w:val="nil"/>
              <w:bottom w:val="nil"/>
              <w:right w:val="nil"/>
            </w:tcBorders>
            <w:noWrap/>
            <w:vAlign w:val="bottom"/>
            <w:hideMark/>
          </w:tcPr>
          <w:p w14:paraId="7CCF9B46" w14:textId="77777777" w:rsidR="00952395" w:rsidRDefault="0083775C">
            <w:pPr>
              <w:pStyle w:val="P68B1DB1-Normal91"/>
            </w:pPr>
            <w:r>
              <w:t>Gielda Papierow Wartosciowych w Warszawie (Varšavas birža)</w:t>
            </w:r>
          </w:p>
        </w:tc>
      </w:tr>
      <w:tr w:rsidR="00952395" w14:paraId="62CB1AB6" w14:textId="77777777">
        <w:trPr>
          <w:trHeight w:val="300"/>
        </w:trPr>
        <w:tc>
          <w:tcPr>
            <w:tcW w:w="9072" w:type="dxa"/>
            <w:tcBorders>
              <w:top w:val="nil"/>
              <w:left w:val="nil"/>
              <w:bottom w:val="nil"/>
              <w:right w:val="nil"/>
            </w:tcBorders>
            <w:noWrap/>
            <w:vAlign w:val="bottom"/>
            <w:hideMark/>
          </w:tcPr>
          <w:p w14:paraId="56890D2B" w14:textId="77777777" w:rsidR="00952395" w:rsidRDefault="0083775C">
            <w:pPr>
              <w:pStyle w:val="P68B1DB1-Normal91"/>
            </w:pPr>
            <w:r>
              <w:t>Valdības vērtspapīru depozitārijs (GSD)</w:t>
            </w:r>
          </w:p>
        </w:tc>
      </w:tr>
      <w:tr w:rsidR="00952395" w14:paraId="5B41050C" w14:textId="77777777">
        <w:trPr>
          <w:trHeight w:val="300"/>
        </w:trPr>
        <w:tc>
          <w:tcPr>
            <w:tcW w:w="9072" w:type="dxa"/>
            <w:tcBorders>
              <w:top w:val="nil"/>
              <w:left w:val="nil"/>
              <w:bottom w:val="nil"/>
              <w:right w:val="nil"/>
            </w:tcBorders>
            <w:noWrap/>
            <w:vAlign w:val="bottom"/>
            <w:hideMark/>
          </w:tcPr>
          <w:p w14:paraId="24CCAE22" w14:textId="77777777" w:rsidR="00952395" w:rsidRDefault="0083775C">
            <w:pPr>
              <w:pStyle w:val="P68B1DB1-Normal91"/>
            </w:pPr>
            <w:r>
              <w:t>HSVP (RTGS)</w:t>
            </w:r>
          </w:p>
        </w:tc>
      </w:tr>
      <w:tr w:rsidR="00952395" w14:paraId="013849A1" w14:textId="77777777">
        <w:trPr>
          <w:trHeight w:val="300"/>
        </w:trPr>
        <w:tc>
          <w:tcPr>
            <w:tcW w:w="9072" w:type="dxa"/>
            <w:tcBorders>
              <w:top w:val="nil"/>
              <w:left w:val="nil"/>
              <w:bottom w:val="nil"/>
              <w:right w:val="nil"/>
            </w:tcBorders>
            <w:noWrap/>
            <w:vAlign w:val="bottom"/>
            <w:hideMark/>
          </w:tcPr>
          <w:p w14:paraId="686B8E20" w14:textId="77777777" w:rsidR="00952395" w:rsidRDefault="0083775C">
            <w:pPr>
              <w:pStyle w:val="P68B1DB1-Normal91"/>
            </w:pPr>
            <w:r>
              <w:t>Iberclear</w:t>
            </w:r>
          </w:p>
        </w:tc>
      </w:tr>
      <w:tr w:rsidR="00952395" w14:paraId="69A745A4" w14:textId="77777777">
        <w:trPr>
          <w:trHeight w:val="300"/>
        </w:trPr>
        <w:tc>
          <w:tcPr>
            <w:tcW w:w="9072" w:type="dxa"/>
            <w:tcBorders>
              <w:top w:val="nil"/>
              <w:left w:val="nil"/>
              <w:bottom w:val="nil"/>
              <w:right w:val="nil"/>
            </w:tcBorders>
            <w:noWrap/>
            <w:vAlign w:val="bottom"/>
            <w:hideMark/>
          </w:tcPr>
          <w:p w14:paraId="676D5D75" w14:textId="77777777" w:rsidR="00952395" w:rsidRDefault="0083775C">
            <w:pPr>
              <w:pStyle w:val="P68B1DB1-Normal91"/>
            </w:pPr>
            <w:r>
              <w:lastRenderedPageBreak/>
              <w:t>Ledus dzidrums</w:t>
            </w:r>
          </w:p>
        </w:tc>
      </w:tr>
      <w:tr w:rsidR="00952395" w14:paraId="780088CD" w14:textId="77777777">
        <w:trPr>
          <w:trHeight w:val="300"/>
        </w:trPr>
        <w:tc>
          <w:tcPr>
            <w:tcW w:w="9072" w:type="dxa"/>
            <w:tcBorders>
              <w:top w:val="nil"/>
              <w:left w:val="nil"/>
              <w:bottom w:val="nil"/>
              <w:right w:val="nil"/>
            </w:tcBorders>
            <w:noWrap/>
            <w:vAlign w:val="bottom"/>
            <w:hideMark/>
          </w:tcPr>
          <w:p w14:paraId="51279EB6" w14:textId="77777777" w:rsidR="00952395" w:rsidRDefault="0083775C">
            <w:pPr>
              <w:pStyle w:val="P68B1DB1-Normal91"/>
            </w:pPr>
            <w:r>
              <w:t>Ice Clear Europe Limited</w:t>
            </w:r>
          </w:p>
        </w:tc>
      </w:tr>
      <w:tr w:rsidR="00952395" w14:paraId="0A625316" w14:textId="77777777">
        <w:trPr>
          <w:trHeight w:val="300"/>
        </w:trPr>
        <w:tc>
          <w:tcPr>
            <w:tcW w:w="9072" w:type="dxa"/>
            <w:tcBorders>
              <w:top w:val="nil"/>
              <w:left w:val="nil"/>
              <w:bottom w:val="nil"/>
              <w:right w:val="nil"/>
            </w:tcBorders>
            <w:noWrap/>
            <w:vAlign w:val="bottom"/>
            <w:hideMark/>
          </w:tcPr>
          <w:p w14:paraId="478D14C3" w14:textId="77777777" w:rsidR="00952395" w:rsidRDefault="0083775C">
            <w:pPr>
              <w:pStyle w:val="P68B1DB1-Normal91"/>
            </w:pPr>
            <w:r>
              <w:t>Ledus klīrenss Nīderlandē</w:t>
            </w:r>
          </w:p>
        </w:tc>
      </w:tr>
      <w:tr w:rsidR="00952395" w14:paraId="7BA736BC" w14:textId="77777777">
        <w:trPr>
          <w:trHeight w:val="300"/>
        </w:trPr>
        <w:tc>
          <w:tcPr>
            <w:tcW w:w="9072" w:type="dxa"/>
            <w:tcBorders>
              <w:top w:val="nil"/>
              <w:left w:val="nil"/>
              <w:bottom w:val="nil"/>
              <w:right w:val="nil"/>
            </w:tcBorders>
            <w:noWrap/>
            <w:vAlign w:val="bottom"/>
            <w:hideMark/>
          </w:tcPr>
          <w:p w14:paraId="791A2916" w14:textId="77777777" w:rsidR="00952395" w:rsidRDefault="0083775C">
            <w:pPr>
              <w:pStyle w:val="P68B1DB1-Normal91"/>
            </w:pPr>
            <w:r>
              <w:t>Ice Trade Vault Europe Limited (ICE TVEL)</w:t>
            </w:r>
          </w:p>
        </w:tc>
      </w:tr>
      <w:tr w:rsidR="00952395" w14:paraId="6A1792FC" w14:textId="77777777">
        <w:trPr>
          <w:trHeight w:val="300"/>
        </w:trPr>
        <w:tc>
          <w:tcPr>
            <w:tcW w:w="9072" w:type="dxa"/>
            <w:tcBorders>
              <w:top w:val="nil"/>
              <w:left w:val="nil"/>
              <w:bottom w:val="nil"/>
              <w:right w:val="nil"/>
            </w:tcBorders>
            <w:noWrap/>
            <w:vAlign w:val="bottom"/>
            <w:hideMark/>
          </w:tcPr>
          <w:p w14:paraId="58EBD357" w14:textId="77777777" w:rsidR="00952395" w:rsidRDefault="0083775C">
            <w:pPr>
              <w:pStyle w:val="P68B1DB1-Normal91"/>
            </w:pPr>
            <w:r>
              <w:t>ID2S/RSS</w:t>
            </w:r>
          </w:p>
        </w:tc>
      </w:tr>
      <w:tr w:rsidR="00952395" w14:paraId="23EF91EB" w14:textId="77777777">
        <w:trPr>
          <w:trHeight w:val="300"/>
        </w:trPr>
        <w:tc>
          <w:tcPr>
            <w:tcW w:w="9072" w:type="dxa"/>
            <w:tcBorders>
              <w:top w:val="nil"/>
              <w:left w:val="nil"/>
              <w:bottom w:val="nil"/>
              <w:right w:val="nil"/>
            </w:tcBorders>
            <w:noWrap/>
            <w:vAlign w:val="bottom"/>
            <w:hideMark/>
          </w:tcPr>
          <w:p w14:paraId="256EBA58" w14:textId="77777777" w:rsidR="00952395" w:rsidRDefault="0083775C">
            <w:pPr>
              <w:pStyle w:val="P68B1DB1-Normal91"/>
            </w:pPr>
            <w:r>
              <w:t>Starpbanku tīrvērtes sistēma (ICS)</w:t>
            </w:r>
          </w:p>
        </w:tc>
      </w:tr>
      <w:tr w:rsidR="00952395" w14:paraId="61201BD5" w14:textId="77777777">
        <w:trPr>
          <w:trHeight w:val="300"/>
        </w:trPr>
        <w:tc>
          <w:tcPr>
            <w:tcW w:w="9072" w:type="dxa"/>
            <w:tcBorders>
              <w:top w:val="nil"/>
              <w:left w:val="nil"/>
              <w:bottom w:val="nil"/>
              <w:right w:val="nil"/>
            </w:tcBorders>
            <w:noWrap/>
            <w:vAlign w:val="bottom"/>
            <w:hideMark/>
          </w:tcPr>
          <w:p w14:paraId="38BDB6F1" w14:textId="77777777" w:rsidR="00952395" w:rsidRDefault="0083775C">
            <w:pPr>
              <w:pStyle w:val="P68B1DB1-Normal91"/>
            </w:pPr>
            <w:r>
              <w:t>INTERBOLSA</w:t>
            </w:r>
          </w:p>
        </w:tc>
      </w:tr>
      <w:tr w:rsidR="00952395" w14:paraId="3D13BEFD" w14:textId="77777777">
        <w:trPr>
          <w:trHeight w:val="300"/>
        </w:trPr>
        <w:tc>
          <w:tcPr>
            <w:tcW w:w="9072" w:type="dxa"/>
            <w:tcBorders>
              <w:top w:val="nil"/>
              <w:left w:val="nil"/>
              <w:bottom w:val="nil"/>
              <w:right w:val="nil"/>
            </w:tcBorders>
            <w:noWrap/>
            <w:vAlign w:val="bottom"/>
            <w:hideMark/>
          </w:tcPr>
          <w:p w14:paraId="27D8A3E1" w14:textId="77777777" w:rsidR="00952395" w:rsidRDefault="0083775C">
            <w:pPr>
              <w:pStyle w:val="P68B1DB1-Normal91"/>
            </w:pPr>
            <w:r>
              <w:t>IntradagClearing</w:t>
            </w:r>
          </w:p>
        </w:tc>
      </w:tr>
      <w:tr w:rsidR="00952395" w14:paraId="4CA95B12" w14:textId="77777777">
        <w:trPr>
          <w:trHeight w:val="300"/>
        </w:trPr>
        <w:tc>
          <w:tcPr>
            <w:tcW w:w="9072" w:type="dxa"/>
            <w:tcBorders>
              <w:top w:val="nil"/>
              <w:left w:val="nil"/>
              <w:bottom w:val="nil"/>
              <w:right w:val="nil"/>
            </w:tcBorders>
            <w:noWrap/>
            <w:vAlign w:val="bottom"/>
            <w:hideMark/>
          </w:tcPr>
          <w:p w14:paraId="3992B7FE" w14:textId="77777777" w:rsidR="00952395" w:rsidRDefault="0083775C">
            <w:pPr>
              <w:pStyle w:val="P68B1DB1-Normal91"/>
            </w:pPr>
            <w:r>
              <w:t>IRGiT Izba Rozliczeniowa Giełd Towarowych S.A (Preču starpniecības centrs)</w:t>
            </w:r>
          </w:p>
        </w:tc>
      </w:tr>
      <w:tr w:rsidR="00952395" w14:paraId="5F42EC4B" w14:textId="77777777">
        <w:trPr>
          <w:trHeight w:val="300"/>
        </w:trPr>
        <w:tc>
          <w:tcPr>
            <w:tcW w:w="9072" w:type="dxa"/>
            <w:tcBorders>
              <w:top w:val="nil"/>
              <w:left w:val="nil"/>
              <w:bottom w:val="nil"/>
              <w:right w:val="nil"/>
            </w:tcBorders>
            <w:noWrap/>
            <w:vAlign w:val="bottom"/>
            <w:hideMark/>
          </w:tcPr>
          <w:p w14:paraId="1817AC8A" w14:textId="77777777" w:rsidR="00952395" w:rsidRDefault="0083775C">
            <w:pPr>
              <w:pStyle w:val="P68B1DB1-Normal91"/>
            </w:pPr>
            <w:r>
              <w:t>Irish Paper Clearing Company (IPCC)</w:t>
            </w:r>
          </w:p>
        </w:tc>
      </w:tr>
      <w:tr w:rsidR="00952395" w14:paraId="503DCAED" w14:textId="77777777">
        <w:trPr>
          <w:trHeight w:val="300"/>
        </w:trPr>
        <w:tc>
          <w:tcPr>
            <w:tcW w:w="9072" w:type="dxa"/>
            <w:tcBorders>
              <w:top w:val="nil"/>
              <w:left w:val="nil"/>
              <w:bottom w:val="nil"/>
              <w:right w:val="nil"/>
            </w:tcBorders>
            <w:noWrap/>
            <w:vAlign w:val="bottom"/>
            <w:hideMark/>
          </w:tcPr>
          <w:p w14:paraId="256FE1FF" w14:textId="77777777" w:rsidR="00952395" w:rsidRDefault="0083775C">
            <w:pPr>
              <w:pStyle w:val="P68B1DB1-Normal91"/>
            </w:pPr>
            <w:r>
              <w:t>Īrijas Vērtspapīru birža</w:t>
            </w:r>
          </w:p>
        </w:tc>
      </w:tr>
      <w:tr w:rsidR="00952395" w14:paraId="01B9E362" w14:textId="77777777">
        <w:trPr>
          <w:trHeight w:val="300"/>
        </w:trPr>
        <w:tc>
          <w:tcPr>
            <w:tcW w:w="9072" w:type="dxa"/>
            <w:tcBorders>
              <w:top w:val="nil"/>
              <w:left w:val="nil"/>
              <w:bottom w:val="nil"/>
              <w:right w:val="nil"/>
            </w:tcBorders>
            <w:noWrap/>
            <w:vAlign w:val="bottom"/>
            <w:hideMark/>
          </w:tcPr>
          <w:p w14:paraId="6D9ED763" w14:textId="77777777" w:rsidR="00952395" w:rsidRDefault="0083775C">
            <w:pPr>
              <w:pStyle w:val="P68B1DB1-Normal91"/>
            </w:pPr>
            <w:r>
              <w:t>Japānas Vērtspapīru tīrvērtes korporācija</w:t>
            </w:r>
          </w:p>
        </w:tc>
      </w:tr>
      <w:tr w:rsidR="00952395" w14:paraId="7B5B6AA0" w14:textId="77777777">
        <w:trPr>
          <w:trHeight w:val="300"/>
        </w:trPr>
        <w:tc>
          <w:tcPr>
            <w:tcW w:w="9072" w:type="dxa"/>
            <w:tcBorders>
              <w:top w:val="nil"/>
              <w:left w:val="nil"/>
              <w:bottom w:val="nil"/>
              <w:right w:val="nil"/>
            </w:tcBorders>
            <w:noWrap/>
            <w:vAlign w:val="bottom"/>
            <w:hideMark/>
          </w:tcPr>
          <w:p w14:paraId="5354E82A" w14:textId="77777777" w:rsidR="00952395" w:rsidRDefault="0083775C">
            <w:pPr>
              <w:pStyle w:val="P68B1DB1-Normal91"/>
            </w:pPr>
            <w:r>
              <w:t>JASDEC</w:t>
            </w:r>
          </w:p>
        </w:tc>
      </w:tr>
      <w:tr w:rsidR="00952395" w14:paraId="5F2E7C68" w14:textId="77777777">
        <w:trPr>
          <w:trHeight w:val="300"/>
        </w:trPr>
        <w:tc>
          <w:tcPr>
            <w:tcW w:w="9072" w:type="dxa"/>
            <w:tcBorders>
              <w:top w:val="nil"/>
              <w:left w:val="nil"/>
              <w:bottom w:val="nil"/>
              <w:right w:val="nil"/>
            </w:tcBorders>
            <w:noWrap/>
            <w:vAlign w:val="bottom"/>
            <w:hideMark/>
          </w:tcPr>
          <w:p w14:paraId="7D166505" w14:textId="77777777" w:rsidR="00952395" w:rsidRDefault="0083775C">
            <w:pPr>
              <w:pStyle w:val="P68B1DB1-Normal91"/>
            </w:pPr>
            <w:r>
              <w:t>JASDEC DVP</w:t>
            </w:r>
          </w:p>
        </w:tc>
      </w:tr>
      <w:tr w:rsidR="00952395" w14:paraId="4048BA0D" w14:textId="77777777">
        <w:trPr>
          <w:trHeight w:val="300"/>
        </w:trPr>
        <w:tc>
          <w:tcPr>
            <w:tcW w:w="9072" w:type="dxa"/>
            <w:tcBorders>
              <w:top w:val="nil"/>
              <w:left w:val="nil"/>
              <w:bottom w:val="nil"/>
              <w:right w:val="nil"/>
            </w:tcBorders>
            <w:noWrap/>
            <w:vAlign w:val="bottom"/>
            <w:hideMark/>
          </w:tcPr>
          <w:p w14:paraId="15678AE9" w14:textId="77777777" w:rsidR="00952395" w:rsidRDefault="0083775C">
            <w:pPr>
              <w:pStyle w:val="P68B1DB1-Normal91"/>
            </w:pPr>
            <w:r>
              <w:t>APVIENOTĀS KONSULTATĪVĀS KOMITEJAS</w:t>
            </w:r>
          </w:p>
        </w:tc>
      </w:tr>
      <w:tr w:rsidR="00952395" w14:paraId="12A3C713" w14:textId="77777777">
        <w:trPr>
          <w:trHeight w:val="300"/>
        </w:trPr>
        <w:tc>
          <w:tcPr>
            <w:tcW w:w="9072" w:type="dxa"/>
            <w:tcBorders>
              <w:top w:val="nil"/>
              <w:left w:val="nil"/>
              <w:bottom w:val="nil"/>
              <w:right w:val="nil"/>
            </w:tcBorders>
            <w:noWrap/>
            <w:vAlign w:val="bottom"/>
            <w:hideMark/>
          </w:tcPr>
          <w:p w14:paraId="41166169" w14:textId="77777777" w:rsidR="00952395" w:rsidRDefault="0083775C">
            <w:pPr>
              <w:pStyle w:val="P68B1DB1-Normal91"/>
            </w:pPr>
            <w:r>
              <w:t>KDPW S.A.</w:t>
            </w:r>
          </w:p>
        </w:tc>
      </w:tr>
      <w:tr w:rsidR="00952395" w14:paraId="43817C1E" w14:textId="77777777">
        <w:trPr>
          <w:trHeight w:val="300"/>
        </w:trPr>
        <w:tc>
          <w:tcPr>
            <w:tcW w:w="9072" w:type="dxa"/>
            <w:tcBorders>
              <w:top w:val="nil"/>
              <w:left w:val="nil"/>
              <w:bottom w:val="nil"/>
              <w:right w:val="nil"/>
            </w:tcBorders>
            <w:noWrap/>
            <w:vAlign w:val="bottom"/>
            <w:hideMark/>
          </w:tcPr>
          <w:p w14:paraId="3018D3C8" w14:textId="77777777" w:rsidR="00952395" w:rsidRDefault="0083775C">
            <w:pPr>
              <w:pStyle w:val="P68B1DB1-Normal91"/>
            </w:pPr>
            <w:r>
              <w:t>KDPW_CCP S.A.</w:t>
            </w:r>
          </w:p>
        </w:tc>
      </w:tr>
      <w:tr w:rsidR="00952395" w14:paraId="21912EC4" w14:textId="77777777">
        <w:trPr>
          <w:trHeight w:val="300"/>
        </w:trPr>
        <w:tc>
          <w:tcPr>
            <w:tcW w:w="9072" w:type="dxa"/>
            <w:tcBorders>
              <w:top w:val="nil"/>
              <w:left w:val="nil"/>
              <w:bottom w:val="nil"/>
              <w:right w:val="nil"/>
            </w:tcBorders>
            <w:noWrap/>
            <w:vAlign w:val="bottom"/>
            <w:hideMark/>
          </w:tcPr>
          <w:p w14:paraId="59836A48" w14:textId="77777777" w:rsidR="00952395" w:rsidRDefault="0083775C">
            <w:pPr>
              <w:pStyle w:val="P68B1DB1-Normal91"/>
            </w:pPr>
            <w:r>
              <w:t>KDPW-TR</w:t>
            </w:r>
          </w:p>
        </w:tc>
      </w:tr>
      <w:tr w:rsidR="00952395" w14:paraId="14480A4D" w14:textId="77777777">
        <w:trPr>
          <w:trHeight w:val="300"/>
        </w:trPr>
        <w:tc>
          <w:tcPr>
            <w:tcW w:w="9072" w:type="dxa"/>
            <w:tcBorders>
              <w:top w:val="nil"/>
              <w:left w:val="nil"/>
              <w:bottom w:val="nil"/>
              <w:right w:val="nil"/>
            </w:tcBorders>
            <w:noWrap/>
            <w:vAlign w:val="bottom"/>
            <w:hideMark/>
          </w:tcPr>
          <w:p w14:paraId="59BBCA2D" w14:textId="77777777" w:rsidR="00952395" w:rsidRDefault="0083775C">
            <w:pPr>
              <w:pStyle w:val="P68B1DB1-Normal91"/>
            </w:pPr>
            <w:r>
              <w:t>KELER CCP</w:t>
            </w:r>
          </w:p>
        </w:tc>
      </w:tr>
      <w:tr w:rsidR="00952395" w14:paraId="1D005B0E" w14:textId="77777777">
        <w:trPr>
          <w:trHeight w:val="300"/>
        </w:trPr>
        <w:tc>
          <w:tcPr>
            <w:tcW w:w="9072" w:type="dxa"/>
            <w:tcBorders>
              <w:top w:val="nil"/>
              <w:left w:val="nil"/>
              <w:bottom w:val="nil"/>
              <w:right w:val="nil"/>
            </w:tcBorders>
            <w:noWrap/>
            <w:vAlign w:val="bottom"/>
            <w:hideMark/>
          </w:tcPr>
          <w:p w14:paraId="2ABFD94E" w14:textId="77777777" w:rsidR="00952395" w:rsidRDefault="0083775C">
            <w:pPr>
              <w:pStyle w:val="P68B1DB1-Normal91"/>
            </w:pPr>
            <w:r>
              <w:t>KELER CVD</w:t>
            </w:r>
          </w:p>
        </w:tc>
      </w:tr>
      <w:tr w:rsidR="00952395" w14:paraId="13D5C039" w14:textId="77777777">
        <w:trPr>
          <w:trHeight w:val="300"/>
        </w:trPr>
        <w:tc>
          <w:tcPr>
            <w:tcW w:w="9072" w:type="dxa"/>
            <w:tcBorders>
              <w:top w:val="nil"/>
              <w:left w:val="nil"/>
              <w:bottom w:val="nil"/>
              <w:right w:val="nil"/>
            </w:tcBorders>
            <w:noWrap/>
            <w:vAlign w:val="bottom"/>
            <w:hideMark/>
          </w:tcPr>
          <w:p w14:paraId="31B1FA22" w14:textId="77777777" w:rsidR="00952395" w:rsidRDefault="0083775C">
            <w:pPr>
              <w:pStyle w:val="P68B1DB1-Normal91"/>
            </w:pPr>
            <w:r>
              <w:t>KRONOSA</w:t>
            </w:r>
          </w:p>
        </w:tc>
      </w:tr>
      <w:tr w:rsidR="00952395" w14:paraId="3B7ED824" w14:textId="77777777">
        <w:trPr>
          <w:trHeight w:val="300"/>
        </w:trPr>
        <w:tc>
          <w:tcPr>
            <w:tcW w:w="9072" w:type="dxa"/>
            <w:tcBorders>
              <w:top w:val="nil"/>
              <w:left w:val="nil"/>
              <w:bottom w:val="nil"/>
              <w:right w:val="nil"/>
            </w:tcBorders>
            <w:noWrap/>
            <w:vAlign w:val="bottom"/>
            <w:hideMark/>
          </w:tcPr>
          <w:p w14:paraId="0A3C0455" w14:textId="77777777" w:rsidR="00952395" w:rsidRDefault="0083775C">
            <w:pPr>
              <w:pStyle w:val="P68B1DB1-Normal91"/>
            </w:pPr>
            <w:r>
              <w:t>KUBASS</w:t>
            </w:r>
          </w:p>
        </w:tc>
      </w:tr>
      <w:tr w:rsidR="00952395" w14:paraId="2B1C9B26" w14:textId="77777777">
        <w:trPr>
          <w:trHeight w:val="300"/>
        </w:trPr>
        <w:tc>
          <w:tcPr>
            <w:tcW w:w="9072" w:type="dxa"/>
            <w:tcBorders>
              <w:top w:val="nil"/>
              <w:left w:val="nil"/>
              <w:bottom w:val="nil"/>
              <w:right w:val="nil"/>
            </w:tcBorders>
            <w:noWrap/>
            <w:vAlign w:val="bottom"/>
            <w:hideMark/>
          </w:tcPr>
          <w:p w14:paraId="0C36BDD0" w14:textId="77777777" w:rsidR="00952395" w:rsidRDefault="0083775C">
            <w:pPr>
              <w:pStyle w:val="P68B1DB1-Normal91"/>
            </w:pPr>
            <w:r>
              <w:t>Lielas vērtības pārneses sistēma (LVTS)</w:t>
            </w:r>
          </w:p>
        </w:tc>
      </w:tr>
      <w:tr w:rsidR="00952395" w14:paraId="494438D8" w14:textId="77777777">
        <w:trPr>
          <w:trHeight w:val="300"/>
        </w:trPr>
        <w:tc>
          <w:tcPr>
            <w:tcW w:w="9072" w:type="dxa"/>
            <w:tcBorders>
              <w:top w:val="nil"/>
              <w:left w:val="nil"/>
              <w:bottom w:val="nil"/>
              <w:right w:val="nil"/>
            </w:tcBorders>
            <w:noWrap/>
            <w:vAlign w:val="bottom"/>
            <w:hideMark/>
          </w:tcPr>
          <w:p w14:paraId="0378B855" w14:textId="77777777" w:rsidR="00952395" w:rsidRDefault="0083775C">
            <w:pPr>
              <w:pStyle w:val="P68B1DB1-Normal91"/>
            </w:pPr>
            <w:r>
              <w:t>LCH Ltd</w:t>
            </w:r>
          </w:p>
        </w:tc>
      </w:tr>
      <w:tr w:rsidR="00952395" w14:paraId="5DD1EBF4" w14:textId="77777777">
        <w:trPr>
          <w:trHeight w:val="300"/>
        </w:trPr>
        <w:tc>
          <w:tcPr>
            <w:tcW w:w="9072" w:type="dxa"/>
            <w:tcBorders>
              <w:top w:val="nil"/>
              <w:left w:val="nil"/>
              <w:bottom w:val="nil"/>
              <w:right w:val="nil"/>
            </w:tcBorders>
            <w:noWrap/>
            <w:vAlign w:val="bottom"/>
            <w:hideMark/>
          </w:tcPr>
          <w:p w14:paraId="59459780" w14:textId="77777777" w:rsidR="00952395" w:rsidRDefault="0083775C">
            <w:pPr>
              <w:pStyle w:val="P68B1DB1-Normal91"/>
            </w:pPr>
            <w:r>
              <w:t>LCH SA</w:t>
            </w:r>
          </w:p>
        </w:tc>
      </w:tr>
      <w:tr w:rsidR="00952395" w14:paraId="4F01D89C" w14:textId="77777777">
        <w:trPr>
          <w:trHeight w:val="300"/>
        </w:trPr>
        <w:tc>
          <w:tcPr>
            <w:tcW w:w="9072" w:type="dxa"/>
            <w:tcBorders>
              <w:top w:val="nil"/>
              <w:left w:val="nil"/>
              <w:bottom w:val="nil"/>
              <w:right w:val="nil"/>
            </w:tcBorders>
            <w:noWrap/>
            <w:vAlign w:val="bottom"/>
            <w:hideMark/>
          </w:tcPr>
          <w:p w14:paraId="5955E367" w14:textId="77777777" w:rsidR="00952395" w:rsidRDefault="0083775C">
            <w:pPr>
              <w:pStyle w:val="P68B1DB1-Normal91"/>
            </w:pPr>
            <w:r>
              <w:t>Ļubļanas Fondu birža</w:t>
            </w:r>
          </w:p>
        </w:tc>
      </w:tr>
      <w:tr w:rsidR="00952395" w14:paraId="63C7A928" w14:textId="77777777">
        <w:trPr>
          <w:trHeight w:val="300"/>
        </w:trPr>
        <w:tc>
          <w:tcPr>
            <w:tcW w:w="9072" w:type="dxa"/>
            <w:tcBorders>
              <w:top w:val="nil"/>
              <w:left w:val="nil"/>
              <w:bottom w:val="nil"/>
              <w:right w:val="nil"/>
            </w:tcBorders>
            <w:noWrap/>
            <w:vAlign w:val="bottom"/>
            <w:hideMark/>
          </w:tcPr>
          <w:p w14:paraId="14DFAB9F" w14:textId="77777777" w:rsidR="00952395" w:rsidRDefault="0083775C">
            <w:pPr>
              <w:pStyle w:val="P68B1DB1-Normal91"/>
            </w:pPr>
            <w:r>
              <w:t>LME Clear Limited</w:t>
            </w:r>
          </w:p>
        </w:tc>
      </w:tr>
      <w:tr w:rsidR="00952395" w14:paraId="188E3D82" w14:textId="77777777">
        <w:trPr>
          <w:trHeight w:val="300"/>
        </w:trPr>
        <w:tc>
          <w:tcPr>
            <w:tcW w:w="9072" w:type="dxa"/>
            <w:tcBorders>
              <w:top w:val="nil"/>
              <w:left w:val="nil"/>
              <w:bottom w:val="nil"/>
              <w:right w:val="nil"/>
            </w:tcBorders>
            <w:noWrap/>
            <w:vAlign w:val="bottom"/>
            <w:hideMark/>
          </w:tcPr>
          <w:p w14:paraId="7DB15EC9" w14:textId="77777777" w:rsidR="00952395" w:rsidRDefault="0083775C">
            <w:pPr>
              <w:pStyle w:val="P68B1DB1-Normal91"/>
            </w:pPr>
            <w:r>
              <w:t>London Stock Exchange Ltd (LSE)</w:t>
            </w:r>
          </w:p>
        </w:tc>
      </w:tr>
      <w:tr w:rsidR="00952395" w14:paraId="0AD660E5" w14:textId="77777777">
        <w:trPr>
          <w:trHeight w:val="300"/>
        </w:trPr>
        <w:tc>
          <w:tcPr>
            <w:tcW w:w="9072" w:type="dxa"/>
            <w:tcBorders>
              <w:top w:val="nil"/>
              <w:left w:val="nil"/>
              <w:bottom w:val="nil"/>
              <w:right w:val="nil"/>
            </w:tcBorders>
            <w:noWrap/>
            <w:vAlign w:val="bottom"/>
            <w:hideMark/>
          </w:tcPr>
          <w:p w14:paraId="23DA5AB4" w14:textId="77777777" w:rsidR="00952395" w:rsidRDefault="0083775C">
            <w:pPr>
              <w:pStyle w:val="P68B1DB1-Normal91"/>
            </w:pPr>
            <w:r>
              <w:t>LUX KOMITEJS</w:t>
            </w:r>
          </w:p>
        </w:tc>
      </w:tr>
      <w:tr w:rsidR="00952395" w14:paraId="5B3E1A3A" w14:textId="77777777">
        <w:trPr>
          <w:trHeight w:val="300"/>
        </w:trPr>
        <w:tc>
          <w:tcPr>
            <w:tcW w:w="9072" w:type="dxa"/>
            <w:tcBorders>
              <w:top w:val="nil"/>
              <w:left w:val="nil"/>
              <w:bottom w:val="nil"/>
              <w:right w:val="nil"/>
            </w:tcBorders>
            <w:noWrap/>
            <w:vAlign w:val="bottom"/>
            <w:hideMark/>
          </w:tcPr>
          <w:p w14:paraId="5D4FD8D4" w14:textId="77777777" w:rsidR="00952395" w:rsidRDefault="0083775C">
            <w:pPr>
              <w:pStyle w:val="P68B1DB1-Normal91"/>
            </w:pPr>
            <w:r>
              <w:t>Maltas starpniecības centrs</w:t>
            </w:r>
          </w:p>
        </w:tc>
      </w:tr>
      <w:tr w:rsidR="00952395" w14:paraId="0739CAE8" w14:textId="77777777">
        <w:trPr>
          <w:trHeight w:val="300"/>
        </w:trPr>
        <w:tc>
          <w:tcPr>
            <w:tcW w:w="9072" w:type="dxa"/>
            <w:tcBorders>
              <w:top w:val="nil"/>
              <w:left w:val="nil"/>
              <w:bottom w:val="nil"/>
              <w:right w:val="nil"/>
            </w:tcBorders>
            <w:noWrap/>
            <w:vAlign w:val="bottom"/>
            <w:hideMark/>
          </w:tcPr>
          <w:p w14:paraId="7880FB68" w14:textId="77777777" w:rsidR="00952395" w:rsidRDefault="0083775C">
            <w:pPr>
              <w:pStyle w:val="P68B1DB1-Normal91"/>
            </w:pPr>
            <w:r>
              <w:t>Maltas Fondu birža</w:t>
            </w:r>
          </w:p>
        </w:tc>
      </w:tr>
      <w:tr w:rsidR="00952395" w14:paraId="1462AFD7" w14:textId="77777777">
        <w:trPr>
          <w:trHeight w:val="300"/>
        </w:trPr>
        <w:tc>
          <w:tcPr>
            <w:tcW w:w="9072" w:type="dxa"/>
            <w:tcBorders>
              <w:top w:val="nil"/>
              <w:left w:val="nil"/>
              <w:bottom w:val="nil"/>
              <w:right w:val="nil"/>
            </w:tcBorders>
            <w:noWrap/>
            <w:vAlign w:val="bottom"/>
            <w:hideMark/>
          </w:tcPr>
          <w:p w14:paraId="4F29DF27" w14:textId="77777777" w:rsidR="00952395" w:rsidRDefault="0083775C">
            <w:pPr>
              <w:pStyle w:val="P68B1DB1-Normal91"/>
            </w:pPr>
            <w:r>
              <w:t>Malta Stock Exchange CSD</w:t>
            </w:r>
          </w:p>
        </w:tc>
      </w:tr>
      <w:tr w:rsidR="00952395" w14:paraId="147A9AFE" w14:textId="77777777">
        <w:trPr>
          <w:trHeight w:val="300"/>
        </w:trPr>
        <w:tc>
          <w:tcPr>
            <w:tcW w:w="9072" w:type="dxa"/>
            <w:tcBorders>
              <w:top w:val="nil"/>
              <w:left w:val="nil"/>
              <w:bottom w:val="nil"/>
              <w:right w:val="nil"/>
            </w:tcBorders>
            <w:noWrap/>
            <w:vAlign w:val="bottom"/>
            <w:hideMark/>
          </w:tcPr>
          <w:p w14:paraId="29008853" w14:textId="77777777" w:rsidR="00952395" w:rsidRDefault="0083775C">
            <w:pPr>
              <w:pStyle w:val="P68B1DB1-Normal91"/>
            </w:pPr>
            <w:r>
              <w:t>MEFF Sociedad Rectora de Productos Derivados S. A.</w:t>
            </w:r>
          </w:p>
        </w:tc>
      </w:tr>
      <w:tr w:rsidR="00952395" w14:paraId="03A3D6E0" w14:textId="77777777">
        <w:trPr>
          <w:trHeight w:val="300"/>
        </w:trPr>
        <w:tc>
          <w:tcPr>
            <w:tcW w:w="9072" w:type="dxa"/>
            <w:tcBorders>
              <w:top w:val="nil"/>
              <w:left w:val="nil"/>
              <w:bottom w:val="nil"/>
              <w:right w:val="nil"/>
            </w:tcBorders>
            <w:noWrap/>
            <w:vAlign w:val="bottom"/>
            <w:hideMark/>
          </w:tcPr>
          <w:p w14:paraId="3E98B6A6" w14:textId="77777777" w:rsidR="00952395" w:rsidRDefault="0083775C">
            <w:pPr>
              <w:pStyle w:val="P68B1DB1-Normal91"/>
            </w:pPr>
            <w:r>
              <w:t>Mercados de Deuda Pública en Anotaciones</w:t>
            </w:r>
          </w:p>
        </w:tc>
      </w:tr>
      <w:tr w:rsidR="00952395" w14:paraId="51FA8AC8" w14:textId="77777777">
        <w:trPr>
          <w:trHeight w:val="300"/>
        </w:trPr>
        <w:tc>
          <w:tcPr>
            <w:tcW w:w="9072" w:type="dxa"/>
            <w:tcBorders>
              <w:top w:val="nil"/>
              <w:left w:val="nil"/>
              <w:bottom w:val="nil"/>
              <w:right w:val="nil"/>
            </w:tcBorders>
            <w:noWrap/>
            <w:vAlign w:val="bottom"/>
            <w:hideMark/>
          </w:tcPr>
          <w:p w14:paraId="3F76F750" w14:textId="77777777" w:rsidR="00952395" w:rsidRDefault="0083775C">
            <w:pPr>
              <w:pStyle w:val="P68B1DB1-Normal91"/>
            </w:pPr>
            <w:r>
              <w:t>Monte Titoli</w:t>
            </w:r>
          </w:p>
        </w:tc>
      </w:tr>
      <w:tr w:rsidR="00952395" w14:paraId="23805AA2" w14:textId="77777777">
        <w:trPr>
          <w:trHeight w:val="300"/>
        </w:trPr>
        <w:tc>
          <w:tcPr>
            <w:tcW w:w="9072" w:type="dxa"/>
            <w:tcBorders>
              <w:top w:val="nil"/>
              <w:left w:val="nil"/>
              <w:bottom w:val="nil"/>
              <w:right w:val="nil"/>
            </w:tcBorders>
            <w:noWrap/>
            <w:vAlign w:val="bottom"/>
            <w:hideMark/>
          </w:tcPr>
          <w:p w14:paraId="13AB08E1" w14:textId="77777777" w:rsidR="00952395" w:rsidRDefault="0083775C">
            <w:pPr>
              <w:pStyle w:val="P68B1DB1-Normal91"/>
            </w:pPr>
            <w:r>
              <w:t>MTS</w:t>
            </w:r>
          </w:p>
        </w:tc>
      </w:tr>
      <w:tr w:rsidR="00952395" w14:paraId="4149713C" w14:textId="77777777">
        <w:trPr>
          <w:trHeight w:val="300"/>
        </w:trPr>
        <w:tc>
          <w:tcPr>
            <w:tcW w:w="9072" w:type="dxa"/>
            <w:tcBorders>
              <w:top w:val="nil"/>
              <w:left w:val="nil"/>
              <w:bottom w:val="nil"/>
              <w:right w:val="nil"/>
            </w:tcBorders>
            <w:noWrap/>
            <w:vAlign w:val="bottom"/>
            <w:hideMark/>
          </w:tcPr>
          <w:p w14:paraId="0E21C9DA" w14:textId="77777777" w:rsidR="00952395" w:rsidRDefault="0083775C">
            <w:pPr>
              <w:pStyle w:val="P68B1DB1-Normal91"/>
            </w:pPr>
            <w:r>
              <w:t>Národný Centralny Depositar Cennych Papierov (nCDCP) kā</w:t>
            </w:r>
          </w:p>
        </w:tc>
      </w:tr>
      <w:tr w:rsidR="00952395" w14:paraId="7826A921" w14:textId="77777777">
        <w:trPr>
          <w:trHeight w:val="300"/>
        </w:trPr>
        <w:tc>
          <w:tcPr>
            <w:tcW w:w="9072" w:type="dxa"/>
            <w:tcBorders>
              <w:top w:val="nil"/>
              <w:left w:val="nil"/>
              <w:bottom w:val="nil"/>
              <w:right w:val="nil"/>
            </w:tcBorders>
            <w:noWrap/>
            <w:vAlign w:val="bottom"/>
            <w:hideMark/>
          </w:tcPr>
          <w:p w14:paraId="3989D7C0" w14:textId="77777777" w:rsidR="00952395" w:rsidRDefault="0083775C">
            <w:pPr>
              <w:pStyle w:val="P68B1DB1-Normal91"/>
            </w:pPr>
            <w:r>
              <w:t>Nasdaq CSD SE</w:t>
            </w:r>
          </w:p>
        </w:tc>
      </w:tr>
      <w:tr w:rsidR="00952395" w14:paraId="0F9127FC" w14:textId="77777777">
        <w:trPr>
          <w:trHeight w:val="300"/>
        </w:trPr>
        <w:tc>
          <w:tcPr>
            <w:tcW w:w="9072" w:type="dxa"/>
            <w:tcBorders>
              <w:top w:val="nil"/>
              <w:left w:val="nil"/>
              <w:bottom w:val="nil"/>
              <w:right w:val="nil"/>
            </w:tcBorders>
            <w:noWrap/>
            <w:vAlign w:val="bottom"/>
            <w:hideMark/>
          </w:tcPr>
          <w:p w14:paraId="7E3342A8" w14:textId="77777777" w:rsidR="00952395" w:rsidRDefault="0083775C">
            <w:pPr>
              <w:pStyle w:val="P68B1DB1-Normal91"/>
            </w:pPr>
            <w:r>
              <w:t>Nasdaka Helsinku</w:t>
            </w:r>
          </w:p>
        </w:tc>
      </w:tr>
      <w:tr w:rsidR="00952395" w14:paraId="794AA9C2" w14:textId="77777777">
        <w:trPr>
          <w:trHeight w:val="300"/>
        </w:trPr>
        <w:tc>
          <w:tcPr>
            <w:tcW w:w="9072" w:type="dxa"/>
            <w:tcBorders>
              <w:top w:val="nil"/>
              <w:left w:val="nil"/>
              <w:bottom w:val="nil"/>
              <w:right w:val="nil"/>
            </w:tcBorders>
            <w:noWrap/>
            <w:vAlign w:val="bottom"/>
            <w:hideMark/>
          </w:tcPr>
          <w:p w14:paraId="4EB7B940" w14:textId="77777777" w:rsidR="00952395" w:rsidRDefault="0083775C">
            <w:pPr>
              <w:pStyle w:val="P68B1DB1-Normal91"/>
            </w:pPr>
            <w:r>
              <w:t>Nasdaq OMX tīrvērte</w:t>
            </w:r>
          </w:p>
        </w:tc>
      </w:tr>
      <w:tr w:rsidR="00952395" w14:paraId="27B334A7" w14:textId="77777777">
        <w:trPr>
          <w:trHeight w:val="300"/>
        </w:trPr>
        <w:tc>
          <w:tcPr>
            <w:tcW w:w="9072" w:type="dxa"/>
            <w:tcBorders>
              <w:top w:val="nil"/>
              <w:left w:val="nil"/>
              <w:bottom w:val="nil"/>
              <w:right w:val="nil"/>
            </w:tcBorders>
            <w:noWrap/>
            <w:vAlign w:val="bottom"/>
            <w:hideMark/>
          </w:tcPr>
          <w:p w14:paraId="405F6BB1" w14:textId="77777777" w:rsidR="00952395" w:rsidRDefault="0083775C">
            <w:pPr>
              <w:pStyle w:val="P68B1DB1-Normal91"/>
            </w:pPr>
            <w:r>
              <w:t>Nasdaq OMX Stokholma</w:t>
            </w:r>
          </w:p>
        </w:tc>
      </w:tr>
      <w:tr w:rsidR="00952395" w14:paraId="5888CB72" w14:textId="77777777">
        <w:trPr>
          <w:trHeight w:val="300"/>
        </w:trPr>
        <w:tc>
          <w:tcPr>
            <w:tcW w:w="9072" w:type="dxa"/>
            <w:tcBorders>
              <w:top w:val="nil"/>
              <w:left w:val="nil"/>
              <w:bottom w:val="nil"/>
              <w:right w:val="nil"/>
            </w:tcBorders>
            <w:noWrap/>
            <w:vAlign w:val="bottom"/>
            <w:hideMark/>
          </w:tcPr>
          <w:p w14:paraId="20F7ABDC" w14:textId="77777777" w:rsidR="00952395" w:rsidRDefault="0083775C">
            <w:pPr>
              <w:pStyle w:val="P68B1DB1-Normal91"/>
            </w:pPr>
            <w:r>
              <w:t>Valsts vērtspapīru tīrvērtes korpusi (NSCC)</w:t>
            </w:r>
          </w:p>
        </w:tc>
      </w:tr>
      <w:tr w:rsidR="00952395" w14:paraId="5E9C8F6D" w14:textId="77777777">
        <w:trPr>
          <w:trHeight w:val="300"/>
        </w:trPr>
        <w:tc>
          <w:tcPr>
            <w:tcW w:w="9072" w:type="dxa"/>
            <w:tcBorders>
              <w:top w:val="nil"/>
              <w:left w:val="nil"/>
              <w:bottom w:val="nil"/>
              <w:right w:val="nil"/>
            </w:tcBorders>
            <w:noWrap/>
            <w:vAlign w:val="bottom"/>
            <w:hideMark/>
          </w:tcPr>
          <w:p w14:paraId="12F1BAEB" w14:textId="77777777" w:rsidR="00952395" w:rsidRDefault="0083775C">
            <w:pPr>
              <w:pStyle w:val="P68B1DB1-Normal91"/>
            </w:pPr>
            <w:r>
              <w:t>NBB SSS</w:t>
            </w:r>
          </w:p>
        </w:tc>
      </w:tr>
      <w:tr w:rsidR="00952395" w14:paraId="5DFC5D23" w14:textId="77777777">
        <w:trPr>
          <w:trHeight w:val="300"/>
        </w:trPr>
        <w:tc>
          <w:tcPr>
            <w:tcW w:w="9072" w:type="dxa"/>
            <w:tcBorders>
              <w:top w:val="nil"/>
              <w:left w:val="nil"/>
              <w:bottom w:val="nil"/>
              <w:right w:val="nil"/>
            </w:tcBorders>
            <w:noWrap/>
            <w:vAlign w:val="bottom"/>
            <w:hideMark/>
          </w:tcPr>
          <w:p w14:paraId="3737426F" w14:textId="77777777" w:rsidR="00952395" w:rsidRDefault="0083775C">
            <w:pPr>
              <w:pStyle w:val="P68B1DB1-Normal91"/>
            </w:pPr>
            <w:r>
              <w:t>NBP rēķinu un valsts kases rēķinu reģistrs</w:t>
            </w:r>
          </w:p>
        </w:tc>
      </w:tr>
      <w:tr w:rsidR="00952395" w14:paraId="1FC22E5F" w14:textId="77777777">
        <w:trPr>
          <w:trHeight w:val="300"/>
        </w:trPr>
        <w:tc>
          <w:tcPr>
            <w:tcW w:w="9072" w:type="dxa"/>
            <w:tcBorders>
              <w:top w:val="nil"/>
              <w:left w:val="nil"/>
              <w:bottom w:val="nil"/>
              <w:right w:val="nil"/>
            </w:tcBorders>
            <w:noWrap/>
            <w:vAlign w:val="bottom"/>
            <w:hideMark/>
          </w:tcPr>
          <w:p w14:paraId="358DE620" w14:textId="77777777" w:rsidR="00952395" w:rsidRDefault="0083775C">
            <w:pPr>
              <w:pStyle w:val="P68B1DB1-Normal91"/>
            </w:pPr>
            <w:r>
              <w:t>NEX Abide Trade Repository AB</w:t>
            </w:r>
          </w:p>
        </w:tc>
      </w:tr>
      <w:tr w:rsidR="00952395" w14:paraId="1362AFBF" w14:textId="77777777">
        <w:trPr>
          <w:trHeight w:val="300"/>
        </w:trPr>
        <w:tc>
          <w:tcPr>
            <w:tcW w:w="9072" w:type="dxa"/>
            <w:tcBorders>
              <w:top w:val="nil"/>
              <w:left w:val="nil"/>
              <w:bottom w:val="nil"/>
              <w:right w:val="nil"/>
            </w:tcBorders>
            <w:noWrap/>
            <w:vAlign w:val="bottom"/>
            <w:hideMark/>
          </w:tcPr>
          <w:p w14:paraId="7779B6B2" w14:textId="77777777" w:rsidR="00952395" w:rsidRDefault="0083775C">
            <w:pPr>
              <w:pStyle w:val="P68B1DB1-Normal91"/>
            </w:pPr>
            <w:r>
              <w:lastRenderedPageBreak/>
              <w:t>NIC (Norvēģijas starpbanku tīrvērtes sistēma)</w:t>
            </w:r>
          </w:p>
        </w:tc>
      </w:tr>
      <w:tr w:rsidR="00952395" w14:paraId="403EDEA1" w14:textId="77777777">
        <w:trPr>
          <w:trHeight w:val="300"/>
        </w:trPr>
        <w:tc>
          <w:tcPr>
            <w:tcW w:w="9072" w:type="dxa"/>
            <w:tcBorders>
              <w:top w:val="nil"/>
              <w:left w:val="nil"/>
              <w:bottom w:val="nil"/>
              <w:right w:val="nil"/>
            </w:tcBorders>
            <w:noWrap/>
            <w:vAlign w:val="bottom"/>
            <w:hideMark/>
          </w:tcPr>
          <w:p w14:paraId="4BFCE736" w14:textId="77777777" w:rsidR="00952395" w:rsidRDefault="0083775C">
            <w:pPr>
              <w:pStyle w:val="P68B1DB1-Normal91"/>
            </w:pPr>
            <w:r>
              <w:t>NKS (Valsts tīrvērtes sistēma)/EuroNKS</w:t>
            </w:r>
          </w:p>
        </w:tc>
      </w:tr>
      <w:tr w:rsidR="00952395" w14:paraId="72370490" w14:textId="77777777">
        <w:trPr>
          <w:trHeight w:val="300"/>
        </w:trPr>
        <w:tc>
          <w:tcPr>
            <w:tcW w:w="9072" w:type="dxa"/>
            <w:tcBorders>
              <w:top w:val="nil"/>
              <w:left w:val="nil"/>
              <w:bottom w:val="nil"/>
              <w:right w:val="nil"/>
            </w:tcBorders>
            <w:noWrap/>
            <w:vAlign w:val="bottom"/>
            <w:hideMark/>
          </w:tcPr>
          <w:p w14:paraId="46EFA26D" w14:textId="77777777" w:rsidR="00952395" w:rsidRDefault="0083775C">
            <w:pPr>
              <w:pStyle w:val="P68B1DB1-Normal91"/>
            </w:pPr>
            <w:r>
              <w:t>NYSE Euronext Paris</w:t>
            </w:r>
          </w:p>
        </w:tc>
      </w:tr>
      <w:tr w:rsidR="00952395" w14:paraId="5FB1C2FE" w14:textId="77777777">
        <w:trPr>
          <w:trHeight w:val="300"/>
        </w:trPr>
        <w:tc>
          <w:tcPr>
            <w:tcW w:w="9072" w:type="dxa"/>
            <w:tcBorders>
              <w:top w:val="nil"/>
              <w:left w:val="nil"/>
              <w:bottom w:val="nil"/>
              <w:right w:val="nil"/>
            </w:tcBorders>
            <w:noWrap/>
            <w:vAlign w:val="bottom"/>
            <w:hideMark/>
          </w:tcPr>
          <w:p w14:paraId="43B707C4" w14:textId="77777777" w:rsidR="00952395" w:rsidRDefault="0083775C">
            <w:pPr>
              <w:pStyle w:val="P68B1DB1-Normal91"/>
            </w:pPr>
            <w:r>
              <w:t>OeKB CSD GmbH (WSB System)</w:t>
            </w:r>
          </w:p>
        </w:tc>
      </w:tr>
      <w:tr w:rsidR="00952395" w14:paraId="297ECE0B" w14:textId="77777777">
        <w:trPr>
          <w:trHeight w:val="300"/>
        </w:trPr>
        <w:tc>
          <w:tcPr>
            <w:tcW w:w="9072" w:type="dxa"/>
            <w:tcBorders>
              <w:top w:val="nil"/>
              <w:left w:val="nil"/>
              <w:bottom w:val="nil"/>
              <w:right w:val="nil"/>
            </w:tcBorders>
            <w:noWrap/>
            <w:vAlign w:val="bottom"/>
            <w:hideMark/>
          </w:tcPr>
          <w:p w14:paraId="41926D7B" w14:textId="77777777" w:rsidR="00952395" w:rsidRDefault="0083775C">
            <w:pPr>
              <w:pStyle w:val="P68B1DB1-Normal91"/>
            </w:pPr>
            <w:r>
              <w:t>CMI Clear</w:t>
            </w:r>
          </w:p>
        </w:tc>
      </w:tr>
      <w:tr w:rsidR="00952395" w14:paraId="786A0182" w14:textId="77777777">
        <w:trPr>
          <w:trHeight w:val="300"/>
        </w:trPr>
        <w:tc>
          <w:tcPr>
            <w:tcW w:w="9072" w:type="dxa"/>
            <w:tcBorders>
              <w:top w:val="nil"/>
              <w:left w:val="nil"/>
              <w:bottom w:val="nil"/>
              <w:right w:val="nil"/>
            </w:tcBorders>
            <w:noWrap/>
            <w:vAlign w:val="bottom"/>
            <w:hideMark/>
          </w:tcPr>
          <w:p w14:paraId="00B344FB" w14:textId="77777777" w:rsidR="00952395" w:rsidRDefault="0083775C">
            <w:pPr>
              <w:pStyle w:val="P68B1DB1-Normal91"/>
            </w:pPr>
            <w:r>
              <w:t>NOP</w:t>
            </w:r>
          </w:p>
        </w:tc>
      </w:tr>
      <w:tr w:rsidR="00952395" w14:paraId="560CA6B2" w14:textId="77777777">
        <w:trPr>
          <w:trHeight w:val="300"/>
        </w:trPr>
        <w:tc>
          <w:tcPr>
            <w:tcW w:w="9072" w:type="dxa"/>
            <w:tcBorders>
              <w:top w:val="nil"/>
              <w:left w:val="nil"/>
              <w:bottom w:val="nil"/>
              <w:right w:val="nil"/>
            </w:tcBorders>
            <w:noWrap/>
            <w:vAlign w:val="bottom"/>
            <w:hideMark/>
          </w:tcPr>
          <w:p w14:paraId="15C8DE81" w14:textId="77777777" w:rsidR="00952395" w:rsidRDefault="0083775C">
            <w:pPr>
              <w:pStyle w:val="P68B1DB1-Normal91"/>
            </w:pPr>
            <w:r>
              <w:t>REGIS</w:t>
            </w:r>
          </w:p>
        </w:tc>
      </w:tr>
      <w:tr w:rsidR="00952395" w14:paraId="185A7956" w14:textId="77777777">
        <w:trPr>
          <w:trHeight w:val="300"/>
        </w:trPr>
        <w:tc>
          <w:tcPr>
            <w:tcW w:w="9072" w:type="dxa"/>
            <w:tcBorders>
              <w:top w:val="nil"/>
              <w:left w:val="nil"/>
              <w:bottom w:val="nil"/>
              <w:right w:val="nil"/>
            </w:tcBorders>
            <w:noWrap/>
            <w:vAlign w:val="bottom"/>
            <w:hideMark/>
          </w:tcPr>
          <w:p w14:paraId="3E63DE78" w14:textId="77777777" w:rsidR="00952395" w:rsidRDefault="0083775C">
            <w:pPr>
              <w:pStyle w:val="P68B1DB1-Normal91"/>
            </w:pPr>
            <w:r>
              <w:t>Regis-TR</w:t>
            </w:r>
          </w:p>
        </w:tc>
      </w:tr>
      <w:tr w:rsidR="00952395" w14:paraId="751DD516" w14:textId="77777777">
        <w:trPr>
          <w:trHeight w:val="300"/>
        </w:trPr>
        <w:tc>
          <w:tcPr>
            <w:tcW w:w="9072" w:type="dxa"/>
            <w:tcBorders>
              <w:top w:val="nil"/>
              <w:left w:val="nil"/>
              <w:bottom w:val="nil"/>
              <w:right w:val="nil"/>
            </w:tcBorders>
            <w:noWrap/>
            <w:vAlign w:val="bottom"/>
            <w:hideMark/>
          </w:tcPr>
          <w:p w14:paraId="61EDA69E" w14:textId="77777777" w:rsidR="00952395" w:rsidRDefault="0083775C">
            <w:pPr>
              <w:pStyle w:val="P68B1DB1-Normal91"/>
            </w:pPr>
            <w:r>
              <w:t>Gredzeni (Real-time Interbank Gross-surtlement System — Real-time Interbank Gross-surtlement System)</w:t>
            </w:r>
          </w:p>
        </w:tc>
      </w:tr>
      <w:tr w:rsidR="00952395" w14:paraId="3DA52EFD" w14:textId="77777777">
        <w:trPr>
          <w:trHeight w:val="300"/>
        </w:trPr>
        <w:tc>
          <w:tcPr>
            <w:tcW w:w="9072" w:type="dxa"/>
            <w:tcBorders>
              <w:top w:val="nil"/>
              <w:left w:val="nil"/>
              <w:bottom w:val="nil"/>
              <w:right w:val="nil"/>
            </w:tcBorders>
            <w:noWrap/>
            <w:vAlign w:val="bottom"/>
            <w:hideMark/>
          </w:tcPr>
          <w:p w14:paraId="14849718" w14:textId="77777777" w:rsidR="00952395" w:rsidRDefault="0083775C">
            <w:pPr>
              <w:pStyle w:val="P68B1DB1-Normal91"/>
            </w:pPr>
            <w:r>
              <w:t>RIX</w:t>
            </w:r>
          </w:p>
        </w:tc>
      </w:tr>
      <w:tr w:rsidR="00952395" w14:paraId="2F5941C3" w14:textId="77777777">
        <w:trPr>
          <w:trHeight w:val="300"/>
        </w:trPr>
        <w:tc>
          <w:tcPr>
            <w:tcW w:w="9072" w:type="dxa"/>
            <w:tcBorders>
              <w:top w:val="nil"/>
              <w:left w:val="nil"/>
              <w:bottom w:val="nil"/>
              <w:right w:val="nil"/>
            </w:tcBorders>
            <w:noWrap/>
            <w:vAlign w:val="bottom"/>
            <w:hideMark/>
          </w:tcPr>
          <w:p w14:paraId="05086D64" w14:textId="77777777" w:rsidR="00952395" w:rsidRDefault="0083775C">
            <w:pPr>
              <w:pStyle w:val="P68B1DB1-Normal91"/>
            </w:pPr>
            <w:r>
              <w:t>RM-SYSTEM Čehijas Fondu birža</w:t>
            </w:r>
          </w:p>
        </w:tc>
      </w:tr>
      <w:tr w:rsidR="00952395" w14:paraId="4785EAE5" w14:textId="77777777">
        <w:trPr>
          <w:trHeight w:val="300"/>
        </w:trPr>
        <w:tc>
          <w:tcPr>
            <w:tcW w:w="9072" w:type="dxa"/>
            <w:tcBorders>
              <w:top w:val="nil"/>
              <w:left w:val="nil"/>
              <w:bottom w:val="nil"/>
              <w:right w:val="nil"/>
            </w:tcBorders>
            <w:noWrap/>
            <w:vAlign w:val="bottom"/>
            <w:hideMark/>
          </w:tcPr>
          <w:p w14:paraId="0E3CA4AB" w14:textId="77777777" w:rsidR="00952395" w:rsidRDefault="0083775C">
            <w:pPr>
              <w:pStyle w:val="P68B1DB1-Normal91"/>
            </w:pPr>
            <w:r>
              <w:t>RoClear</w:t>
            </w:r>
          </w:p>
        </w:tc>
      </w:tr>
      <w:tr w:rsidR="00952395" w14:paraId="16348C32" w14:textId="77777777">
        <w:trPr>
          <w:trHeight w:val="300"/>
        </w:trPr>
        <w:tc>
          <w:tcPr>
            <w:tcW w:w="9072" w:type="dxa"/>
            <w:tcBorders>
              <w:top w:val="nil"/>
              <w:left w:val="nil"/>
              <w:bottom w:val="nil"/>
              <w:right w:val="nil"/>
            </w:tcBorders>
            <w:noWrap/>
            <w:vAlign w:val="bottom"/>
            <w:hideMark/>
          </w:tcPr>
          <w:p w14:paraId="7791248F" w14:textId="77777777" w:rsidR="00952395" w:rsidRDefault="0083775C">
            <w:pPr>
              <w:pStyle w:val="P68B1DB1-Normal91"/>
            </w:pPr>
            <w:r>
              <w:t>RKP</w:t>
            </w:r>
          </w:p>
        </w:tc>
      </w:tr>
      <w:tr w:rsidR="00952395" w14:paraId="201CD5B7" w14:textId="77777777">
        <w:trPr>
          <w:trHeight w:val="300"/>
        </w:trPr>
        <w:tc>
          <w:tcPr>
            <w:tcW w:w="9072" w:type="dxa"/>
            <w:tcBorders>
              <w:top w:val="nil"/>
              <w:left w:val="nil"/>
              <w:bottom w:val="nil"/>
              <w:right w:val="nil"/>
            </w:tcBorders>
            <w:noWrap/>
            <w:vAlign w:val="bottom"/>
            <w:hideMark/>
          </w:tcPr>
          <w:p w14:paraId="78F31295" w14:textId="77777777" w:rsidR="00952395" w:rsidRDefault="0083775C">
            <w:pPr>
              <w:pStyle w:val="P68B1DB1-Normal91"/>
            </w:pPr>
            <w:r>
              <w:t>RT1</w:t>
            </w:r>
          </w:p>
        </w:tc>
      </w:tr>
      <w:tr w:rsidR="00952395" w14:paraId="5D6D4D2F" w14:textId="77777777">
        <w:trPr>
          <w:trHeight w:val="300"/>
        </w:trPr>
        <w:tc>
          <w:tcPr>
            <w:tcW w:w="9072" w:type="dxa"/>
            <w:tcBorders>
              <w:top w:val="nil"/>
              <w:left w:val="nil"/>
              <w:bottom w:val="nil"/>
              <w:right w:val="nil"/>
            </w:tcBorders>
            <w:noWrap/>
            <w:vAlign w:val="bottom"/>
            <w:hideMark/>
          </w:tcPr>
          <w:p w14:paraId="0D3FA36D" w14:textId="77777777" w:rsidR="00952395" w:rsidRDefault="0083775C">
            <w:pPr>
              <w:pStyle w:val="P68B1DB1-Normal91"/>
            </w:pPr>
            <w:r>
              <w:t>SAFIR</w:t>
            </w:r>
          </w:p>
        </w:tc>
      </w:tr>
      <w:tr w:rsidR="00952395" w14:paraId="683945A8" w14:textId="77777777">
        <w:trPr>
          <w:trHeight w:val="300"/>
        </w:trPr>
        <w:tc>
          <w:tcPr>
            <w:tcW w:w="9072" w:type="dxa"/>
            <w:tcBorders>
              <w:top w:val="nil"/>
              <w:left w:val="nil"/>
              <w:bottom w:val="nil"/>
              <w:right w:val="nil"/>
            </w:tcBorders>
            <w:noWrap/>
            <w:vAlign w:val="bottom"/>
            <w:hideMark/>
          </w:tcPr>
          <w:p w14:paraId="4536F3F1" w14:textId="77777777" w:rsidR="00952395" w:rsidRDefault="0083775C">
            <w:pPr>
              <w:pStyle w:val="P68B1DB1-Normal91"/>
            </w:pPr>
            <w:r>
              <w:t>NOSŪTĪTS</w:t>
            </w:r>
          </w:p>
        </w:tc>
      </w:tr>
      <w:tr w:rsidR="00952395" w14:paraId="37207CC9" w14:textId="77777777">
        <w:trPr>
          <w:trHeight w:val="300"/>
        </w:trPr>
        <w:tc>
          <w:tcPr>
            <w:tcW w:w="9072" w:type="dxa"/>
            <w:tcBorders>
              <w:top w:val="nil"/>
              <w:left w:val="nil"/>
              <w:bottom w:val="nil"/>
              <w:right w:val="nil"/>
            </w:tcBorders>
            <w:noWrap/>
            <w:vAlign w:val="bottom"/>
            <w:hideMark/>
          </w:tcPr>
          <w:p w14:paraId="78322774" w14:textId="77777777" w:rsidR="00952395" w:rsidRDefault="0083775C">
            <w:pPr>
              <w:pStyle w:val="P68B1DB1-Normal91"/>
            </w:pPr>
            <w:r>
              <w:t>SICOI</w:t>
            </w:r>
          </w:p>
        </w:tc>
      </w:tr>
      <w:tr w:rsidR="00952395" w14:paraId="20A1D4E0" w14:textId="77777777">
        <w:trPr>
          <w:trHeight w:val="300"/>
        </w:trPr>
        <w:tc>
          <w:tcPr>
            <w:tcW w:w="9072" w:type="dxa"/>
            <w:tcBorders>
              <w:top w:val="nil"/>
              <w:left w:val="nil"/>
              <w:bottom w:val="nil"/>
              <w:right w:val="nil"/>
            </w:tcBorders>
            <w:noWrap/>
            <w:vAlign w:val="bottom"/>
            <w:hideMark/>
          </w:tcPr>
          <w:p w14:paraId="745FF75E" w14:textId="77777777" w:rsidR="00952395" w:rsidRDefault="0083775C">
            <w:pPr>
              <w:pStyle w:val="P68B1DB1-Normal91"/>
            </w:pPr>
            <w:r>
              <w:t>SIMP — PS</w:t>
            </w:r>
          </w:p>
        </w:tc>
      </w:tr>
      <w:tr w:rsidR="00952395" w14:paraId="1F8A8F25" w14:textId="77777777">
        <w:trPr>
          <w:trHeight w:val="300"/>
        </w:trPr>
        <w:tc>
          <w:tcPr>
            <w:tcW w:w="9072" w:type="dxa"/>
            <w:tcBorders>
              <w:top w:val="nil"/>
              <w:left w:val="nil"/>
              <w:bottom w:val="nil"/>
              <w:right w:val="nil"/>
            </w:tcBorders>
            <w:noWrap/>
            <w:vAlign w:val="bottom"/>
            <w:hideMark/>
          </w:tcPr>
          <w:p w14:paraId="7B70556F" w14:textId="77777777" w:rsidR="00952395" w:rsidRDefault="0083775C">
            <w:pPr>
              <w:pStyle w:val="P68B1DB1-Normal91"/>
            </w:pPr>
            <w:r>
              <w:t>SIP SPlatobný systém</w:t>
            </w:r>
          </w:p>
        </w:tc>
      </w:tr>
      <w:tr w:rsidR="00952395" w14:paraId="661159A9" w14:textId="77777777">
        <w:trPr>
          <w:trHeight w:val="300"/>
        </w:trPr>
        <w:tc>
          <w:tcPr>
            <w:tcW w:w="9072" w:type="dxa"/>
            <w:tcBorders>
              <w:top w:val="nil"/>
              <w:left w:val="nil"/>
              <w:bottom w:val="nil"/>
              <w:right w:val="nil"/>
            </w:tcBorders>
            <w:noWrap/>
            <w:vAlign w:val="bottom"/>
            <w:hideMark/>
          </w:tcPr>
          <w:p w14:paraId="21A22FD2" w14:textId="77777777" w:rsidR="00952395" w:rsidRDefault="0083775C">
            <w:pPr>
              <w:pStyle w:val="P68B1DB1-Normal91"/>
            </w:pPr>
            <w:r>
              <w:t>SIX</w:t>
            </w:r>
          </w:p>
        </w:tc>
      </w:tr>
      <w:tr w:rsidR="00952395" w14:paraId="01B00784" w14:textId="77777777">
        <w:trPr>
          <w:trHeight w:val="300"/>
        </w:trPr>
        <w:tc>
          <w:tcPr>
            <w:tcW w:w="9072" w:type="dxa"/>
            <w:tcBorders>
              <w:top w:val="nil"/>
              <w:left w:val="nil"/>
              <w:bottom w:val="nil"/>
              <w:right w:val="nil"/>
            </w:tcBorders>
            <w:noWrap/>
            <w:vAlign w:val="bottom"/>
            <w:hideMark/>
          </w:tcPr>
          <w:p w14:paraId="42A9A872" w14:textId="77777777" w:rsidR="00952395" w:rsidRDefault="0083775C">
            <w:pPr>
              <w:pStyle w:val="P68B1DB1-Normal91"/>
            </w:pPr>
            <w:r>
              <w:t>Seši starpbanku tīrvērtes (SIC)/EuroSIC</w:t>
            </w:r>
          </w:p>
        </w:tc>
      </w:tr>
      <w:tr w:rsidR="00952395" w14:paraId="4AB76E2F" w14:textId="77777777">
        <w:trPr>
          <w:trHeight w:val="300"/>
        </w:trPr>
        <w:tc>
          <w:tcPr>
            <w:tcW w:w="9072" w:type="dxa"/>
            <w:tcBorders>
              <w:top w:val="nil"/>
              <w:left w:val="nil"/>
              <w:bottom w:val="nil"/>
              <w:right w:val="nil"/>
            </w:tcBorders>
            <w:noWrap/>
            <w:vAlign w:val="bottom"/>
            <w:hideMark/>
          </w:tcPr>
          <w:p w14:paraId="591D0E38" w14:textId="77777777" w:rsidR="00952395" w:rsidRDefault="0083775C">
            <w:pPr>
              <w:pStyle w:val="P68B1DB1-Normal91"/>
            </w:pPr>
            <w:r>
              <w:t>SIX Swiss Exchange</w:t>
            </w:r>
          </w:p>
        </w:tc>
      </w:tr>
      <w:tr w:rsidR="00952395" w14:paraId="0FE15923" w14:textId="77777777">
        <w:trPr>
          <w:trHeight w:val="300"/>
        </w:trPr>
        <w:tc>
          <w:tcPr>
            <w:tcW w:w="9072" w:type="dxa"/>
            <w:tcBorders>
              <w:top w:val="nil"/>
              <w:left w:val="nil"/>
              <w:bottom w:val="nil"/>
              <w:right w:val="nil"/>
            </w:tcBorders>
            <w:noWrap/>
            <w:vAlign w:val="bottom"/>
            <w:hideMark/>
          </w:tcPr>
          <w:p w14:paraId="7A0AEADF" w14:textId="77777777" w:rsidR="00952395" w:rsidRDefault="0083775C">
            <w:pPr>
              <w:pStyle w:val="P68B1DB1-Normal91"/>
            </w:pPr>
            <w:r>
              <w:t>Sešas x dzidras</w:t>
            </w:r>
          </w:p>
        </w:tc>
      </w:tr>
      <w:tr w:rsidR="00952395" w14:paraId="58C9ED3B" w14:textId="77777777">
        <w:trPr>
          <w:trHeight w:val="300"/>
        </w:trPr>
        <w:tc>
          <w:tcPr>
            <w:tcW w:w="9072" w:type="dxa"/>
            <w:tcBorders>
              <w:top w:val="nil"/>
              <w:left w:val="nil"/>
              <w:bottom w:val="nil"/>
              <w:right w:val="nil"/>
            </w:tcBorders>
            <w:noWrap/>
            <w:vAlign w:val="bottom"/>
            <w:hideMark/>
          </w:tcPr>
          <w:p w14:paraId="53254B63" w14:textId="77777777" w:rsidR="00952395" w:rsidRDefault="0083775C">
            <w:pPr>
              <w:pStyle w:val="P68B1DB1-Normal91"/>
            </w:pPr>
            <w:r>
              <w:t>SKD (īstermiņa obligāciju sistēma)</w:t>
            </w:r>
          </w:p>
        </w:tc>
      </w:tr>
      <w:tr w:rsidR="00952395" w14:paraId="479A72E9" w14:textId="77777777">
        <w:trPr>
          <w:trHeight w:val="300"/>
        </w:trPr>
        <w:tc>
          <w:tcPr>
            <w:tcW w:w="9072" w:type="dxa"/>
            <w:tcBorders>
              <w:top w:val="nil"/>
              <w:left w:val="nil"/>
              <w:bottom w:val="nil"/>
              <w:right w:val="nil"/>
            </w:tcBorders>
            <w:noWrap/>
            <w:vAlign w:val="bottom"/>
            <w:hideMark/>
          </w:tcPr>
          <w:p w14:paraId="559EC939" w14:textId="77777777" w:rsidR="00952395" w:rsidRDefault="0083775C">
            <w:pPr>
              <w:pStyle w:val="P68B1DB1-Normal91"/>
            </w:pPr>
            <w:r>
              <w:t>SNCE (Sistema Nacional de Compensación Electrónica)</w:t>
            </w:r>
          </w:p>
        </w:tc>
      </w:tr>
      <w:tr w:rsidR="00952395" w14:paraId="61D37C20" w14:textId="77777777">
        <w:trPr>
          <w:trHeight w:val="300"/>
        </w:trPr>
        <w:tc>
          <w:tcPr>
            <w:tcW w:w="9072" w:type="dxa"/>
            <w:tcBorders>
              <w:top w:val="nil"/>
              <w:left w:val="nil"/>
              <w:bottom w:val="nil"/>
              <w:right w:val="nil"/>
            </w:tcBorders>
            <w:noWrap/>
            <w:vAlign w:val="bottom"/>
            <w:hideMark/>
          </w:tcPr>
          <w:p w14:paraId="0B37415E" w14:textId="77777777" w:rsidR="00952395" w:rsidRDefault="0083775C">
            <w:pPr>
              <w:pStyle w:val="P68B1DB1-Normal91"/>
            </w:pPr>
            <w:r>
              <w:t>Société de la Bourse du Luxembourg SA</w:t>
            </w:r>
          </w:p>
        </w:tc>
      </w:tr>
      <w:tr w:rsidR="00952395" w14:paraId="09E4F71F" w14:textId="77777777">
        <w:trPr>
          <w:trHeight w:val="300"/>
        </w:trPr>
        <w:tc>
          <w:tcPr>
            <w:tcW w:w="9072" w:type="dxa"/>
            <w:tcBorders>
              <w:top w:val="nil"/>
              <w:left w:val="nil"/>
              <w:bottom w:val="nil"/>
              <w:right w:val="nil"/>
            </w:tcBorders>
            <w:noWrap/>
            <w:vAlign w:val="bottom"/>
            <w:hideMark/>
          </w:tcPr>
          <w:p w14:paraId="094DD4AF" w14:textId="77777777" w:rsidR="00952395" w:rsidRDefault="0083775C">
            <w:pPr>
              <w:pStyle w:val="P68B1DB1-Normal91"/>
            </w:pPr>
            <w:r>
              <w:t>SORBNET2</w:t>
            </w:r>
          </w:p>
        </w:tc>
      </w:tr>
      <w:tr w:rsidR="00952395" w14:paraId="1E86EA3A" w14:textId="77777777">
        <w:trPr>
          <w:trHeight w:val="300"/>
        </w:trPr>
        <w:tc>
          <w:tcPr>
            <w:tcW w:w="9072" w:type="dxa"/>
            <w:tcBorders>
              <w:top w:val="nil"/>
              <w:left w:val="nil"/>
              <w:bottom w:val="nil"/>
              <w:right w:val="nil"/>
            </w:tcBorders>
            <w:noWrap/>
            <w:vAlign w:val="bottom"/>
            <w:hideMark/>
          </w:tcPr>
          <w:p w14:paraId="2FE926EC" w14:textId="77777777" w:rsidR="00952395" w:rsidRDefault="0083775C">
            <w:pPr>
              <w:pStyle w:val="P68B1DB1-Normal91"/>
            </w:pPr>
            <w:r>
              <w:t>SOLIS1</w:t>
            </w:r>
          </w:p>
        </w:tc>
      </w:tr>
      <w:tr w:rsidR="00952395" w14:paraId="4A3D7A33" w14:textId="77777777">
        <w:trPr>
          <w:trHeight w:val="300"/>
        </w:trPr>
        <w:tc>
          <w:tcPr>
            <w:tcW w:w="9072" w:type="dxa"/>
            <w:tcBorders>
              <w:top w:val="nil"/>
              <w:left w:val="nil"/>
              <w:bottom w:val="nil"/>
              <w:right w:val="nil"/>
            </w:tcBorders>
            <w:noWrap/>
            <w:vAlign w:val="bottom"/>
            <w:hideMark/>
          </w:tcPr>
          <w:p w14:paraId="38D47947" w14:textId="77777777" w:rsidR="00952395" w:rsidRDefault="0083775C">
            <w:pPr>
              <w:pStyle w:val="P68B1DB1-Normal91"/>
            </w:pPr>
            <w:r>
              <w:t>SOLIS</w:t>
            </w:r>
          </w:p>
        </w:tc>
      </w:tr>
      <w:tr w:rsidR="00952395" w14:paraId="305AEF07" w14:textId="77777777">
        <w:trPr>
          <w:trHeight w:val="300"/>
        </w:trPr>
        <w:tc>
          <w:tcPr>
            <w:tcW w:w="9072" w:type="dxa"/>
            <w:tcBorders>
              <w:top w:val="nil"/>
              <w:left w:val="nil"/>
              <w:bottom w:val="nil"/>
              <w:right w:val="nil"/>
            </w:tcBorders>
            <w:noWrap/>
            <w:vAlign w:val="bottom"/>
            <w:hideMark/>
          </w:tcPr>
          <w:p w14:paraId="3385D576" w14:textId="77777777" w:rsidR="00952395" w:rsidRDefault="0083775C">
            <w:pPr>
              <w:pStyle w:val="P68B1DB1-Normal91"/>
            </w:pPr>
            <w:r>
              <w:t>STET/PAMATELEMENTS</w:t>
            </w:r>
          </w:p>
        </w:tc>
      </w:tr>
      <w:tr w:rsidR="00952395" w14:paraId="68530B39" w14:textId="77777777">
        <w:trPr>
          <w:trHeight w:val="300"/>
        </w:trPr>
        <w:tc>
          <w:tcPr>
            <w:tcW w:w="9072" w:type="dxa"/>
            <w:tcBorders>
              <w:top w:val="nil"/>
              <w:left w:val="nil"/>
              <w:bottom w:val="nil"/>
              <w:right w:val="nil"/>
            </w:tcBorders>
            <w:noWrap/>
            <w:vAlign w:val="bottom"/>
            <w:hideMark/>
          </w:tcPr>
          <w:p w14:paraId="2B90AD3F" w14:textId="77777777" w:rsidR="00952395" w:rsidRDefault="0083775C">
            <w:pPr>
              <w:pStyle w:val="P68B1DB1-Normal91"/>
            </w:pPr>
            <w:r>
              <w:t>Štaksidingena</w:t>
            </w:r>
          </w:p>
        </w:tc>
      </w:tr>
      <w:tr w:rsidR="00952395" w14:paraId="0E50A9AB" w14:textId="77777777">
        <w:trPr>
          <w:trHeight w:val="300"/>
        </w:trPr>
        <w:tc>
          <w:tcPr>
            <w:tcW w:w="9072" w:type="dxa"/>
            <w:tcBorders>
              <w:top w:val="nil"/>
              <w:left w:val="nil"/>
              <w:bottom w:val="nil"/>
              <w:right w:val="nil"/>
            </w:tcBorders>
            <w:noWrap/>
            <w:vAlign w:val="bottom"/>
            <w:hideMark/>
          </w:tcPr>
          <w:p w14:paraId="54E27288" w14:textId="77777777" w:rsidR="00952395" w:rsidRDefault="0083775C">
            <w:pPr>
              <w:pStyle w:val="P68B1DB1-Normal91"/>
            </w:pPr>
            <w:r>
              <w:t>Sumclearingen</w:t>
            </w:r>
          </w:p>
        </w:tc>
      </w:tr>
      <w:tr w:rsidR="00952395" w14:paraId="0C6135E4" w14:textId="77777777">
        <w:trPr>
          <w:trHeight w:val="300"/>
        </w:trPr>
        <w:tc>
          <w:tcPr>
            <w:tcW w:w="9072" w:type="dxa"/>
            <w:tcBorders>
              <w:top w:val="nil"/>
              <w:left w:val="nil"/>
              <w:bottom w:val="nil"/>
              <w:right w:val="nil"/>
            </w:tcBorders>
            <w:noWrap/>
            <w:vAlign w:val="bottom"/>
            <w:hideMark/>
          </w:tcPr>
          <w:p w14:paraId="4789CBEE" w14:textId="77777777" w:rsidR="00952395" w:rsidRDefault="0083775C">
            <w:pPr>
              <w:pStyle w:val="P68B1DB1-Normal91"/>
            </w:pPr>
            <w:r>
              <w:t>T2S (SSS — tikai tiešai savienojamībai)</w:t>
            </w:r>
          </w:p>
        </w:tc>
      </w:tr>
      <w:tr w:rsidR="00952395" w14:paraId="791932E6" w14:textId="77777777">
        <w:trPr>
          <w:trHeight w:val="300"/>
        </w:trPr>
        <w:tc>
          <w:tcPr>
            <w:tcW w:w="9072" w:type="dxa"/>
            <w:tcBorders>
              <w:top w:val="nil"/>
              <w:left w:val="nil"/>
              <w:bottom w:val="nil"/>
              <w:right w:val="nil"/>
            </w:tcBorders>
            <w:noWrap/>
            <w:vAlign w:val="bottom"/>
            <w:hideMark/>
          </w:tcPr>
          <w:p w14:paraId="085D29CC" w14:textId="77777777" w:rsidR="00952395" w:rsidRDefault="0083775C">
            <w:pPr>
              <w:pStyle w:val="P68B1DB1-Normal91"/>
            </w:pPr>
            <w:r>
              <w:t>TARGET2</w:t>
            </w:r>
          </w:p>
        </w:tc>
      </w:tr>
      <w:tr w:rsidR="00952395" w14:paraId="0379A497" w14:textId="77777777">
        <w:trPr>
          <w:trHeight w:val="300"/>
        </w:trPr>
        <w:tc>
          <w:tcPr>
            <w:tcW w:w="9072" w:type="dxa"/>
            <w:tcBorders>
              <w:top w:val="nil"/>
              <w:left w:val="nil"/>
              <w:bottom w:val="nil"/>
              <w:right w:val="nil"/>
            </w:tcBorders>
            <w:noWrap/>
            <w:vAlign w:val="bottom"/>
            <w:hideMark/>
          </w:tcPr>
          <w:p w14:paraId="56C29FCF" w14:textId="77777777" w:rsidR="00952395" w:rsidRDefault="0083775C">
            <w:pPr>
              <w:pStyle w:val="P68B1DB1-Normal91"/>
            </w:pPr>
            <w:r>
              <w:t>PADOMI</w:t>
            </w:r>
          </w:p>
        </w:tc>
      </w:tr>
      <w:tr w:rsidR="00952395" w14:paraId="19C63903" w14:textId="77777777">
        <w:trPr>
          <w:trHeight w:val="300"/>
        </w:trPr>
        <w:tc>
          <w:tcPr>
            <w:tcW w:w="9072" w:type="dxa"/>
            <w:tcBorders>
              <w:top w:val="nil"/>
              <w:left w:val="nil"/>
              <w:bottom w:val="nil"/>
              <w:right w:val="nil"/>
            </w:tcBorders>
            <w:noWrap/>
            <w:vAlign w:val="bottom"/>
            <w:hideMark/>
          </w:tcPr>
          <w:p w14:paraId="6CABE6E8" w14:textId="77777777" w:rsidR="00952395" w:rsidRDefault="0083775C">
            <w:pPr>
              <w:pStyle w:val="P68B1DB1-Normal91"/>
            </w:pPr>
            <w:r>
              <w:t>UnaVista Limited</w:t>
            </w:r>
          </w:p>
        </w:tc>
      </w:tr>
      <w:tr w:rsidR="00952395" w14:paraId="7E731946" w14:textId="77777777">
        <w:trPr>
          <w:trHeight w:val="300"/>
        </w:trPr>
        <w:tc>
          <w:tcPr>
            <w:tcW w:w="9072" w:type="dxa"/>
            <w:tcBorders>
              <w:top w:val="nil"/>
              <w:left w:val="nil"/>
              <w:bottom w:val="nil"/>
              <w:right w:val="nil"/>
            </w:tcBorders>
            <w:noWrap/>
            <w:vAlign w:val="bottom"/>
            <w:hideMark/>
          </w:tcPr>
          <w:p w14:paraId="6485DCC3" w14:textId="77777777" w:rsidR="00952395" w:rsidRDefault="0083775C">
            <w:pPr>
              <w:pStyle w:val="P68B1DB1-Normal91"/>
            </w:pPr>
            <w:r>
              <w:t>Verdipapirsentralen (VPS)</w:t>
            </w:r>
          </w:p>
        </w:tc>
      </w:tr>
      <w:tr w:rsidR="00952395" w14:paraId="599BD0C0" w14:textId="77777777">
        <w:trPr>
          <w:trHeight w:val="300"/>
        </w:trPr>
        <w:tc>
          <w:tcPr>
            <w:tcW w:w="9072" w:type="dxa"/>
            <w:tcBorders>
              <w:top w:val="nil"/>
              <w:left w:val="nil"/>
              <w:bottom w:val="nil"/>
              <w:right w:val="nil"/>
            </w:tcBorders>
            <w:noWrap/>
            <w:vAlign w:val="bottom"/>
            <w:hideMark/>
          </w:tcPr>
          <w:p w14:paraId="209D9CF9" w14:textId="77777777" w:rsidR="00952395" w:rsidRDefault="0083775C">
            <w:pPr>
              <w:pStyle w:val="P68B1DB1-Normal91"/>
            </w:pPr>
            <w:r>
              <w:t>VIBERA</w:t>
            </w:r>
          </w:p>
        </w:tc>
      </w:tr>
      <w:tr w:rsidR="00952395" w14:paraId="3CBF4EA3" w14:textId="77777777">
        <w:trPr>
          <w:trHeight w:val="300"/>
        </w:trPr>
        <w:tc>
          <w:tcPr>
            <w:tcW w:w="9072" w:type="dxa"/>
            <w:tcBorders>
              <w:top w:val="nil"/>
              <w:left w:val="nil"/>
              <w:bottom w:val="nil"/>
              <w:right w:val="nil"/>
            </w:tcBorders>
            <w:noWrap/>
            <w:vAlign w:val="bottom"/>
            <w:hideMark/>
          </w:tcPr>
          <w:p w14:paraId="49A43CDA" w14:textId="77777777" w:rsidR="00952395" w:rsidRDefault="0083775C">
            <w:pPr>
              <w:pStyle w:val="P68B1DB1-Normal91"/>
            </w:pPr>
            <w:r>
              <w:t>Priekšsēdētāja vietnieks Lux</w:t>
            </w:r>
          </w:p>
        </w:tc>
      </w:tr>
      <w:tr w:rsidR="00952395" w14:paraId="20C89571" w14:textId="77777777">
        <w:trPr>
          <w:trHeight w:val="300"/>
        </w:trPr>
        <w:tc>
          <w:tcPr>
            <w:tcW w:w="9072" w:type="dxa"/>
            <w:tcBorders>
              <w:top w:val="nil"/>
              <w:left w:val="nil"/>
              <w:bottom w:val="nil"/>
              <w:right w:val="nil"/>
            </w:tcBorders>
            <w:noWrap/>
            <w:vAlign w:val="bottom"/>
            <w:hideMark/>
          </w:tcPr>
          <w:p w14:paraId="12389C15" w14:textId="77777777" w:rsidR="00952395" w:rsidRDefault="0083775C">
            <w:pPr>
              <w:pStyle w:val="P68B1DB1-Normal91"/>
            </w:pPr>
            <w:r>
              <w:t>V. Securities A/S</w:t>
            </w:r>
          </w:p>
        </w:tc>
      </w:tr>
    </w:tbl>
    <w:p w14:paraId="1E4D7216" w14:textId="77777777" w:rsidR="00952395" w:rsidRDefault="00952395">
      <w:pPr>
        <w:pStyle w:val="body"/>
        <w:rPr>
          <w:rFonts w:ascii="Times New Roman" w:hAnsi="Times New Roman" w:cs="Times New Roman"/>
          <w:sz w:val="20"/>
          <w:szCs w:val="20"/>
        </w:rPr>
      </w:pPr>
    </w:p>
    <w:sectPr w:rsidR="00952395">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952395" w:rsidRDefault="0083775C">
      <w:r>
        <w:separator/>
      </w:r>
    </w:p>
  </w:endnote>
  <w:endnote w:type="continuationSeparator" w:id="0">
    <w:p w14:paraId="6597FB1C" w14:textId="77777777" w:rsidR="00952395" w:rsidRDefault="0083775C">
      <w:r>
        <w:continuationSeparator/>
      </w:r>
    </w:p>
  </w:endnote>
  <w:endnote w:type="continuationNotice" w:id="1">
    <w:p w14:paraId="3A49FE7B" w14:textId="77777777" w:rsidR="00952395" w:rsidRDefault="00952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952395" w:rsidRDefault="0083775C">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952395" w:rsidRDefault="0095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952395" w:rsidRDefault="0083775C">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ksta lauks"/>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952395" w:rsidRDefault="0083775C">
                      <w:pPr>
                        <w:pStyle w:val="P68B1DB1-Normal92"/>
                        <w:rPr>
                          <w:bCs/>
                        </w:rPr>
                      </w:pPr>
                      <w:r>
                        <w:t>Šie norādījumi sākotnēji bija sagatavoti angļu valodā. To tulkošana citās ES oficiālajās valodās tiek veikta, izmantojot eTranslation — Eiropas Komisijas mašīntulkošanas dienestu, cik vien iespējams.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952395" w:rsidRDefault="0083775C">
      <w:r>
        <w:separator/>
      </w:r>
    </w:p>
  </w:footnote>
  <w:footnote w:type="continuationSeparator" w:id="0">
    <w:p w14:paraId="1BFD6958" w14:textId="77777777" w:rsidR="00952395" w:rsidRDefault="0083775C">
      <w:r>
        <w:continuationSeparator/>
      </w:r>
    </w:p>
  </w:footnote>
  <w:footnote w:type="continuationNotice" w:id="1">
    <w:p w14:paraId="34EA159C" w14:textId="77777777" w:rsidR="00952395" w:rsidRDefault="00952395"/>
  </w:footnote>
  <w:footnote w:id="2">
    <w:p w14:paraId="0A3F5404" w14:textId="77777777" w:rsidR="00952395" w:rsidRDefault="0083775C">
      <w:pPr>
        <w:pStyle w:val="FootnoteText"/>
      </w:pPr>
      <w:r>
        <w:rPr>
          <w:rStyle w:val="FootnoteReference"/>
        </w:rPr>
        <w:footnoteRef/>
      </w:r>
      <w:r>
        <w:t xml:space="preserve"> Komisijas Īstenošanas regula (ES) 2024/3117 (2024. gada 29. novembris), ar ko nosaka īstenošanas tehniskos standartus Eiropas Parlamenta un Padomes Regulas (ES) Nr. 575/2013 piemērošanai attiecībā uz iestāžu sniegtajiem uzraudzības pārskatiem un atceļ Komisijas Īstenošanas regulu (ES) 2021/451 (</w:t>
      </w:r>
      <w:r>
        <w:rPr>
          <w:i/>
        </w:rPr>
        <w:t>OV L, 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952395" w:rsidRDefault="0083775C">
      <w:pPr>
        <w:pStyle w:val="FootnoteText"/>
      </w:pPr>
      <w:r>
        <w:rPr>
          <w:rStyle w:val="FootnoteReference"/>
          <w:rFonts w:ascii="Times New Roman" w:hAnsi="Times New Roman"/>
        </w:rPr>
        <w:footnoteRef/>
      </w:r>
      <w:r>
        <w:t xml:space="preserve"> Eiropas Parlamenta un Padomes Regula (EK) Nr. 1606/2002 (2002. gada 19. jūlijs) par starptautisko grāmatvedības standartu piemērošanu (OV L 243, 11.9.2002., 1. lpp.).</w:t>
      </w:r>
    </w:p>
  </w:footnote>
  <w:footnote w:id="4">
    <w:p w14:paraId="7FE1D259" w14:textId="77777777" w:rsidR="00952395" w:rsidRDefault="0083775C">
      <w:pPr>
        <w:pStyle w:val="FootnoteText"/>
      </w:pPr>
      <w:r>
        <w:rPr>
          <w:rStyle w:val="FootnoteReference"/>
          <w:rFonts w:ascii="Times New Roman" w:hAnsi="Times New Roman"/>
        </w:rPr>
        <w:footnoteRef/>
      </w:r>
      <w:r>
        <w:t xml:space="preserve"> Eiropas Parlamenta un Padomes Regula (EK) Nr. 1606/2002 (2002. gada 19. jūlijs) par starptautisko grāmatvedības standartu piemērošanu (OV L 243, 11.9.2002., 1. lpp.).</w:t>
      </w:r>
    </w:p>
  </w:footnote>
  <w:footnote w:id="5">
    <w:p w14:paraId="7FE1D25A" w14:textId="77777777" w:rsidR="00952395" w:rsidRDefault="0083775C">
      <w:pPr>
        <w:pStyle w:val="FootnoteText"/>
      </w:pPr>
      <w:r>
        <w:rPr>
          <w:rStyle w:val="FootnoteReference"/>
          <w:rFonts w:ascii="Times New Roman" w:hAnsi="Times New Roman"/>
        </w:rPr>
        <w:footnoteRef/>
      </w:r>
      <w:r>
        <w:t xml:space="preserve"> Padomes Direktīva 86/635/EEK (1986. gada 8. decembris) par banku un citu finanšu iestāžu gada pārskatiem un konsolidētajiem pārskatiem (OV L 372, 31.12.1986., 1. lpp.).</w:t>
      </w:r>
    </w:p>
  </w:footnote>
  <w:footnote w:id="6">
    <w:p w14:paraId="06EB0A65" w14:textId="77777777" w:rsidR="00952395" w:rsidRDefault="0083775C">
      <w:pPr>
        <w:pStyle w:val="FootnoteText"/>
      </w:pPr>
      <w:r>
        <w:rPr>
          <w:rStyle w:val="FootnoteReference"/>
          <w:rFonts w:ascii="Times New Roman" w:hAnsi="Times New Roman"/>
        </w:rPr>
        <w:footnoteRef/>
      </w:r>
      <w:r>
        <w:t xml:space="preserve"> Eiropas Parlamenta un Padomes 2013. gada 26. jūnija Regula (ES) Nr. 575/2013 par prudenciālajām prasībām attiecībā uz kredītiestādēm un ieguldījumu brokeru sabiedrībām, un ar ko groza Regulu (ES) Nr. 648/2012 (OV L 176, 27.6.2013., 1. lpp.).</w:t>
      </w:r>
    </w:p>
  </w:footnote>
  <w:footnote w:id="7">
    <w:p w14:paraId="7FE1D25C" w14:textId="77777777" w:rsidR="00952395" w:rsidRDefault="0083775C">
      <w:pPr>
        <w:pStyle w:val="FootnoteText"/>
      </w:pPr>
      <w:r>
        <w:rPr>
          <w:rStyle w:val="FootnoteReference"/>
        </w:rPr>
        <w:footnoteRef/>
      </w:r>
      <w:r>
        <w:t xml:space="preserve"> Eiropas Parlamenta un Padomes Direktīva 2013/36/ES (2013. gada 26. jūnijs) par piekļuvi kredītiestāžu darbībai un kredītiestāžu un ieguldījumu brokeru sabiedrību prudenciālo uzraudzību, ar ko groza Direktīvu 2002/87/EK un atceļ Direktīvas 2006/48/EK un 2006/49/EK (OV L 176, 27.6.2013., 338. lpp.).</w:t>
      </w:r>
    </w:p>
  </w:footnote>
  <w:footnote w:id="8">
    <w:p w14:paraId="7FE1D25D" w14:textId="77777777" w:rsidR="00952395" w:rsidRDefault="0083775C">
      <w:pPr>
        <w:pStyle w:val="FootnoteText"/>
      </w:pPr>
      <w:r>
        <w:rPr>
          <w:rStyle w:val="FootnoteReference"/>
        </w:rPr>
        <w:footnoteRef/>
      </w:r>
      <w:r>
        <w:t xml:space="preserve"> Eiropas Parlamenta un Padomes Regula (ES) 2019/2033 (2019. gada 27. novembris) par prudenciālajām prasībām ieguldījumu brokeru sabiedrībām un ar ko groza Regulas (ES) Nr. 1093/2010, (ES) Nr. 575/2013, (ES) Nr. 600/2014 un (ES) Nr. 806/2014 (OV L 314, 5.12.2019., 1. lpp.).</w:t>
      </w:r>
    </w:p>
  </w:footnote>
  <w:footnote w:id="9">
    <w:p w14:paraId="7FE1D25E" w14:textId="77777777" w:rsidR="00952395" w:rsidRDefault="0083775C">
      <w:pPr>
        <w:pStyle w:val="FootnoteText"/>
      </w:pPr>
      <w:r>
        <w:rPr>
          <w:rStyle w:val="FootnoteReference"/>
        </w:rPr>
        <w:footnoteRef/>
      </w:r>
      <w:r>
        <w:t xml:space="preserve"> Eiropas Parlamenta un Padomes Direktīva (ES) 2019/2034 (2019. gada 27. novembris) par ieguldījumu brokeru sabiedrību prudenciālo uzraudzību un ar ko groza Direktīvas 2002/87/EK, 2009/65/EK, 2011/61/ES, 2013/36/ES, 2014/59/ES un 2014/65/ES (OV L 314, 5.12.2019., 64. lpp.)</w:t>
      </w:r>
    </w:p>
  </w:footnote>
  <w:footnote w:id="10">
    <w:p w14:paraId="7FE1D25F" w14:textId="77777777" w:rsidR="00952395" w:rsidRDefault="0083775C">
      <w:pPr>
        <w:pStyle w:val="FootnoteText"/>
      </w:pPr>
      <w:r>
        <w:rPr>
          <w:rStyle w:val="FootnoteReference"/>
          <w:rFonts w:ascii="Times New Roman" w:hAnsi="Times New Roman"/>
        </w:rPr>
        <w:footnoteRef/>
      </w:r>
      <w:r>
        <w:t xml:space="preserve"> Eiropas Parlamenta un Padomes 2009. gada 25. novembra Direktīva 2009/138/EK par uzņēmējdarbības uzsākšanu un veikšanu apdrošināšanas un pārapdrošināšanas jomā (Maksātspēja II) (Dokuments attiecas uz EEZ) (OV L 335, 17.12.2009., 1. lpp.).</w:t>
      </w:r>
    </w:p>
  </w:footnote>
  <w:footnote w:id="11">
    <w:p w14:paraId="7FE1D260" w14:textId="2ADC4F18" w:rsidR="00952395" w:rsidRDefault="0083775C">
      <w:pPr>
        <w:pStyle w:val="FootnoteText"/>
      </w:pPr>
      <w:r>
        <w:rPr>
          <w:rStyle w:val="FootnoteReference"/>
          <w:rFonts w:ascii="Times New Roman" w:hAnsi="Times New Roman"/>
        </w:rPr>
        <w:footnoteRef/>
      </w:r>
      <w:r>
        <w:t xml:space="preserve"> Eiropas Centrālās bankas Regula (ES) 2021/379 par monetāro finanšu iestāžu sektora bilanci (OV L 297 7.11.2013., 1. lpp.).</w:t>
      </w:r>
    </w:p>
  </w:footnote>
  <w:footnote w:id="12">
    <w:p w14:paraId="7FE1D261" w14:textId="77777777" w:rsidR="00952395" w:rsidRDefault="0083775C">
      <w:pPr>
        <w:pStyle w:val="FootnoteText"/>
      </w:pPr>
      <w:r>
        <w:rPr>
          <w:rStyle w:val="FootnoteReference"/>
          <w:rFonts w:ascii="Times New Roman" w:hAnsi="Times New Roman"/>
        </w:rPr>
        <w:footnoteRef/>
      </w:r>
      <w:r>
        <w:t xml:space="preserve"> Komisijas 2003. gada 6. maija ieteikums par mikrouzņēmumu, mazo un vidējo uzņēmumu definīciju (paziņots ar dokumenta numuru C(2003)1422) (OV L 124, 20.5.2003., 36. lpp.).</w:t>
      </w:r>
    </w:p>
  </w:footnote>
  <w:footnote w:id="13">
    <w:p w14:paraId="74BC1C09" w14:textId="2C5E1052" w:rsidR="00952395" w:rsidRDefault="0083775C">
      <w:pPr>
        <w:pStyle w:val="FootnoteText"/>
      </w:pPr>
      <w:r>
        <w:rPr>
          <w:rStyle w:val="FootnoteReference"/>
        </w:rPr>
        <w:footnoteRef/>
      </w:r>
      <w:r>
        <w:t xml:space="preserve"> Eiropas Parlamenta un Padomes Direktīva 2014/65/ES (2014. gada 15. maijs) par finanšu instrumentu tirgiem </w:t>
      </w:r>
      <w:r>
        <w:rPr>
          <w:rFonts w:hint="eastAsia"/>
        </w:rPr>
        <w:t>(OV L 173, 12.6.2014., 349. lpp.)</w:t>
      </w:r>
      <w:r>
        <w:t>.</w:t>
      </w:r>
    </w:p>
  </w:footnote>
  <w:footnote w:id="14">
    <w:p w14:paraId="7FE1D263" w14:textId="77777777" w:rsidR="00952395" w:rsidRDefault="0083775C">
      <w:pPr>
        <w:pStyle w:val="FootnoteText"/>
      </w:pPr>
      <w:r>
        <w:rPr>
          <w:rStyle w:val="FootnoteReference"/>
        </w:rPr>
        <w:footnoteRef/>
      </w:r>
      <w:r>
        <w:t xml:space="preserve"> Eiropas Parlamenta un Padomes Direktīva 2014/59/ES (2014. gada 15. maijs), ar ko izveido kredītiestāžu un ieguldījumu brokeru sabiedrību atveseļošanas un noregulējuma režīmu un groza Padomes Direktīvu 82/891/EEK un Eiropas Parlamenta un Padomes Direktīvas 2001/24/EK, 2002/47/EK, 2004/25/EK, 2005/56/EK, 2007/36/EK, 2011/35/ES, 2012/30/ES un 2013/36/ES, un Eiropas Parlamenta un Padomes Regulas (ES) Nr. 1093/2010 un (ES) Nr. 648/2012 (OV L 173, 12.6.2014., 190. lpp.).</w:t>
      </w:r>
    </w:p>
  </w:footnote>
  <w:footnote w:id="15">
    <w:p w14:paraId="7FE1D264" w14:textId="77777777" w:rsidR="00952395" w:rsidRDefault="0083775C">
      <w:pPr>
        <w:pStyle w:val="FootnoteText"/>
      </w:pPr>
      <w:r>
        <w:rPr>
          <w:rStyle w:val="FootnoteReference"/>
        </w:rPr>
        <w:footnoteRef/>
      </w:r>
      <w:r>
        <w:t xml:space="preserve"> Eiropas Parlamenta un Padomes Direktīva 2014/49/ES (2014. gada 16. aprīlis) par noguldījumu garantiju sistēmām (OV L 173, 12.6.2014., 149. lpp.).</w:t>
      </w:r>
    </w:p>
  </w:footnote>
  <w:footnote w:id="16">
    <w:p w14:paraId="7FE1D267" w14:textId="77777777" w:rsidR="00952395" w:rsidRDefault="0083775C">
      <w:pPr>
        <w:pStyle w:val="FootnoteText"/>
      </w:pPr>
      <w:r>
        <w:rPr>
          <w:rStyle w:val="FootnoteReference"/>
        </w:rPr>
        <w:footnoteRef/>
      </w:r>
      <w:r>
        <w:t xml:space="preserve"> Komisijas 2016. gada 23. maija Deleģētā regula (ES) 2016/1401, ar ko attiecībā uz regulatīviem tehniskiem standartiem par metodēm un principiem tādu saistību vērtēšanai, kas izriet no atvasinātajiem instrumentiem, papildina Eiropas Parlamenta un Padomes Direktīvu 2014/59/ES, ar ko izveido kredītiestāžu un ieguldījumu brokeru sabiedrību atveseļošanas un noregulējuma režīmu (OV L 228, 23.8.2016., 7. lpp.).</w:t>
      </w:r>
    </w:p>
  </w:footnote>
  <w:footnote w:id="17">
    <w:p w14:paraId="7FE1D268" w14:textId="77777777" w:rsidR="00952395" w:rsidRDefault="0083775C">
      <w:pPr>
        <w:pStyle w:val="FootnoteText"/>
      </w:pPr>
      <w:r>
        <w:rPr>
          <w:rStyle w:val="FootnoteReference"/>
        </w:rPr>
        <w:footnoteRef/>
      </w:r>
      <w:r>
        <w:t xml:space="preserve"> Kapitāla saglabāšanas rezervju līmenis, kā izklāstīts Direktīvas 2013/36/ES 129. pantā;</w:t>
      </w:r>
    </w:p>
  </w:footnote>
  <w:footnote w:id="18">
    <w:p w14:paraId="7FE1D269" w14:textId="77777777" w:rsidR="00952395" w:rsidRDefault="0083775C">
      <w:pPr>
        <w:pStyle w:val="FootnoteText"/>
      </w:pPr>
      <w:r>
        <w:rPr>
          <w:rStyle w:val="FootnoteReference"/>
        </w:rPr>
        <w:footnoteRef/>
      </w:r>
      <w:r>
        <w:t xml:space="preserve"> Komisijas 2016. gada 2. februāra Deleģētā regula (ES) 2016/778, ar ko papildina Eiropas Parlamenta un Padomes Direktīvu 2014/59/ES attiecībā uz apstākļiem un nosacījumiem, saskaņā ar kuriem pilnībā vai daļēji var atlikt ārkārtas ex post maksājumus, un par kritērijiem darbību, pakalpojumu un operāciju noteikšanai attiecībā uz kritiski svarīgajām funkcijām un darbības jomu un saistīto pakalpojumu noteikšanu attiecībā uz galvenajām darbības jomām (OV L 131, 20.5.2016., 41. lpp.).</w:t>
      </w:r>
    </w:p>
  </w:footnote>
  <w:footnote w:id="19">
    <w:p w14:paraId="7FE1D26D" w14:textId="77777777" w:rsidR="00952395" w:rsidRDefault="0083775C">
      <w:pPr>
        <w:pStyle w:val="FootnoteText"/>
      </w:pPr>
      <w:r>
        <w:rPr>
          <w:rStyle w:val="FootnoteReference"/>
        </w:rPr>
        <w:footnoteRef/>
      </w:r>
      <w:r>
        <w:t xml:space="preserve"> Eiropas Parlamenta un Padomes Direktīva (ES) 2015/2366 (2015. gada 25. novembris) par maksājumu pakalpojumiem iekšējā tirgū, ar ko groza Direktīvas 2002/65/EK, 2009/110/EK un 2013/36/ES un Regulu (ES) Nr. 1093/2010 un atceļ Direktīvu 2007/64/EK (OV L 337, 23.12.2015., 35. lpp.).</w:t>
      </w:r>
    </w:p>
  </w:footnote>
  <w:footnote w:id="20">
    <w:p w14:paraId="7FE1D26E" w14:textId="77777777" w:rsidR="00952395" w:rsidRDefault="0083775C">
      <w:pPr>
        <w:pStyle w:val="FootnoteText"/>
      </w:pPr>
      <w:r>
        <w:rPr>
          <w:rStyle w:val="FootnoteReference"/>
        </w:rPr>
        <w:footnoteRef/>
      </w:r>
      <w:r>
        <w:t xml:space="preserve"> Eiropas Parlamenta un Padomes Regula (ES) Nr. 648/2012 (2012. gada 4. jūlijs) par ārpusbiržas atvasinātajiem instrumentiem, centrālajiem darījumu partneriem un darījumu reģistriem (OV L 201, 27.7.2012., 1. lpp.).</w:t>
      </w:r>
    </w:p>
  </w:footnote>
  <w:footnote w:id="21">
    <w:p w14:paraId="4F37B111" w14:textId="77777777" w:rsidR="00952395" w:rsidRDefault="0083775C">
      <w:pPr>
        <w:pStyle w:val="FootnoteText"/>
      </w:pPr>
      <w:r>
        <w:rPr>
          <w:rStyle w:val="FootnoteReference"/>
        </w:rPr>
        <w:footnoteRef/>
      </w:r>
      <w:r>
        <w:t xml:space="preserve"> Saskaņā ar Eiropas Centrālās bankas Pamatnostādnes (ES) 2021/835 (2021. gada 26. marts), ar ko atceļ Pamatnostādni ECB/2014/15 par monetāro un finanšu statistiku (ECB/2021/16), 1. panta 2. punktu atsauces uz atcelto Pamatnostādni uzskata par atsaucēm uz Pamatnostādni (ES) 2021/830 (ECB/2021/11), Pamatnostādni (ES) 2021/831 (ECB/2021/12), Pamatnostādni (ES) 2021/833 (ECB/2021/14), Pamatnostādni (ES) 2021/832 (ECB/2021/13) un Pamatnostādni (ES) 2021/834 (ECB/2021/15) attiecīgā gadījumā un saskaņā ar atbilstī</w:t>
      </w:r>
      <w:r>
        <w:t>bas tabulām II-VI pielikumā.</w:t>
      </w:r>
    </w:p>
    <w:p w14:paraId="2690BEDB" w14:textId="77777777" w:rsidR="00952395" w:rsidRDefault="00952395">
      <w:pPr>
        <w:pStyle w:val="FootnoteText"/>
      </w:pPr>
    </w:p>
  </w:footnote>
  <w:footnote w:id="22">
    <w:p w14:paraId="7FE1D272" w14:textId="77777777" w:rsidR="00952395" w:rsidRDefault="0083775C">
      <w:pPr>
        <w:pStyle w:val="FootnoteText"/>
      </w:pPr>
      <w:r>
        <w:footnoteRef/>
      </w:r>
      <w:r>
        <w:t xml:space="preserve"> Kā definēts EBI noregulējamības pamatnostādņu 13. punktā.</w:t>
      </w:r>
    </w:p>
  </w:footnote>
  <w:footnote w:id="23">
    <w:p w14:paraId="7FE1D273" w14:textId="60D312AD" w:rsidR="00952395" w:rsidRDefault="0083775C">
      <w:pPr>
        <w:pStyle w:val="FootnoteText"/>
      </w:pPr>
      <w:r>
        <w:rPr>
          <w:rStyle w:val="FootnoteReference"/>
          <w:rFonts w:ascii="Verdana" w:hAnsi="Verdana"/>
          <w:sz w:val="16"/>
          <w:szCs w:val="16"/>
        </w:rPr>
        <w:footnoteRef/>
      </w:r>
      <w:r>
        <w:t xml:space="preserve"> Komisijas Īstenošanas regula (ES) 2016/778, 6. pants un 8. priekšvārds.</w:t>
      </w:r>
    </w:p>
  </w:footnote>
  <w:footnote w:id="24">
    <w:p w14:paraId="7FE1D274" w14:textId="1C805137" w:rsidR="00952395" w:rsidRDefault="0083775C">
      <w:pPr>
        <w:pStyle w:val="FootnoteText"/>
      </w:pPr>
      <w:r>
        <w:rPr>
          <w:rStyle w:val="FootnoteReference"/>
          <w:rFonts w:ascii="Verdana" w:hAnsi="Verdana"/>
          <w:sz w:val="16"/>
          <w:szCs w:val="16"/>
        </w:rPr>
        <w:footnoteRef/>
      </w:r>
      <w:r>
        <w:t xml:space="preserve"> Komisijas Deleģētā regula (ES) 2016/778, 7. pants. </w:t>
      </w:r>
    </w:p>
  </w:footnote>
  <w:footnote w:id="25">
    <w:p w14:paraId="7FE1D275" w14:textId="77777777" w:rsidR="00952395" w:rsidRDefault="0083775C">
      <w:pPr>
        <w:pStyle w:val="FootnoteText"/>
      </w:pPr>
      <w:r>
        <w:footnoteRef/>
      </w:r>
      <w:r>
        <w:t xml:space="preserve"> Pamatpakalpojumu nepārtrauktība var būt nepieciešama, lai sasniegtu noregulējuma mērķus, kas nav kritiski svarīgu funkciju uzturēšana (piemēram, finanšu stabilitāte, nodrošinot pēcnoregulējuma vienības dzīvotspēju). </w:t>
      </w:r>
    </w:p>
    <w:p w14:paraId="7FE1D276" w14:textId="77777777" w:rsidR="00952395" w:rsidRDefault="00952395">
      <w:pPr>
        <w:pStyle w:val="FootnoteText"/>
      </w:pPr>
    </w:p>
  </w:footnote>
  <w:footnote w:id="26">
    <w:p w14:paraId="7FE1D27C" w14:textId="77777777" w:rsidR="00952395" w:rsidRDefault="0083775C">
      <w:pPr>
        <w:pStyle w:val="FootnoteText"/>
        <w:rPr>
          <w:rFonts w:ascii="Segoe UI" w:hAnsi="Segoe UI" w:cs="Segoe UI"/>
        </w:rPr>
      </w:pPr>
      <w:r>
        <w:t xml:space="preserve">BAND IV sadaļas VI nodaļas </w:t>
      </w:r>
      <w:r>
        <w:footnoteRef/>
      </w:r>
      <w:r>
        <w:t xml:space="preserve"> noteikumi paredz noregulējuma noturību, jo īpaši saistībā ar noregulējuma iestādes pilnvaru īstenošanu, izņemot uzņēmējdarbības reorganizācijas plānu (BRP) īstenošanu.</w:t>
      </w:r>
    </w:p>
  </w:footnote>
  <w:footnote w:id="27">
    <w:p w14:paraId="3F998E2E" w14:textId="7BDE8075" w:rsidR="00952395" w:rsidRDefault="0083775C">
      <w:pPr>
        <w:pStyle w:val="FootnoteText"/>
      </w:pPr>
      <w:r>
        <w:rPr>
          <w:rStyle w:val="FootnoteReference"/>
        </w:rPr>
        <w:footnoteRef/>
      </w:r>
      <w:r>
        <w:t xml:space="preserve"> Eiropas Parlamenta un Padomes Regula (ES) 2022/2554 (2022. gada 14. decembris) par finanšu nozares digitālās darbības noturību un ar ko groza Regulas (EK) Nr. 1060/2009, (ES) Nr. 648/2012, (ES) Nr. 600/2014, (ES) Nr. 909/2014 un (ES) 2016/1011.</w:t>
      </w:r>
    </w:p>
    <w:p w14:paraId="3A2C28B9" w14:textId="00F04738" w:rsidR="00952395" w:rsidRDefault="00952395">
      <w:pPr>
        <w:pStyle w:val="FootnoteText"/>
      </w:pPr>
    </w:p>
  </w:footnote>
  <w:footnote w:id="28">
    <w:p w14:paraId="7FE1D27F" w14:textId="77777777" w:rsidR="00952395" w:rsidRDefault="0083775C">
      <w:pPr>
        <w:pStyle w:val="FootnoteText"/>
        <w:rPr>
          <w:rFonts w:ascii="Segoe UI" w:hAnsi="Segoe UI" w:cs="Segoe UI"/>
        </w:rPr>
      </w:pPr>
      <w:r>
        <w:t xml:space="preserve">BAND IV sadaļas VI nodaļas </w:t>
      </w:r>
      <w:r>
        <w:footnoteRef/>
      </w:r>
      <w:r>
        <w:t xml:space="preserve"> noteikumi paredz noregulējuma noturību, jo īpaši saistībā ar noregulējuma iestādes pilnvaru īstenošanu, izņemot uzņēmējdarbības reorganizācijas plānu (BRP) īstenošanu.</w:t>
      </w:r>
    </w:p>
  </w:footnote>
  <w:footnote w:id="29">
    <w:p w14:paraId="7FE1D280" w14:textId="77777777" w:rsidR="00952395" w:rsidRDefault="0083775C">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Parāda vērtspapīri, kapitāla vērtspapīri un citi vērtspapīri, repo.</w:t>
      </w:r>
    </w:p>
  </w:footnote>
  <w:footnote w:id="30">
    <w:p w14:paraId="7FE1D281" w14:textId="77777777" w:rsidR="00952395" w:rsidRDefault="0083775C">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Daudzpusējas sistēmas vai mehānismi, kuros vairāku trešo personu pirkšanas un pārdošanas intereses attiecībā uz finanšu instrumentiem spēj mijiedarboties sistēmā. Attiecībā uz sistēmām, kas atrodas EEZ, šī definīcija attiecas uz regulētiem tirgiem, daudzpusējām tirdzniecības sistēmām un regulētām tirdzniecības sistēmām.</w:t>
      </w:r>
    </w:p>
  </w:footnote>
  <w:footnote w:id="31">
    <w:p w14:paraId="7FE1D282" w14:textId="77777777" w:rsidR="00952395" w:rsidRDefault="0083775C">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Sk. ECHA. ECB maksājumu un tirgu glosārijs: Tiešais dalībnieks: “[...] sistēmas dalībnieks, kas var veikt visas sistēmā atļautās darbības, neizmantojot starpnieku (tostarp jo īpaši rīkojumu tiešu ievadīšanu sistēmā un norēķinu darbību veikšanu).”; Netiešais dalībnieks: “dalībnieks [...] sistēmā ar pakāpenisko vienošanos, kas izmanto tiešo dalībnieku kā starpnieku, lai veiktu dažas no sistēmā atļautajām darbībām (jo īpaši norēķinus)”.</w:t>
      </w:r>
    </w:p>
    <w:p w14:paraId="7FE1D283" w14:textId="77777777" w:rsidR="00952395" w:rsidRDefault="00952395">
      <w:pPr>
        <w:pStyle w:val="FootnoteText"/>
      </w:pPr>
    </w:p>
  </w:footnote>
  <w:footnote w:id="32">
    <w:p w14:paraId="7FE1D284" w14:textId="77777777" w:rsidR="00952395" w:rsidRDefault="0083775C">
      <w:pPr>
        <w:pStyle w:val="FootnoteText"/>
      </w:pPr>
      <w:r>
        <w:rPr>
          <w:rStyle w:val="FootnoteReference"/>
        </w:rPr>
        <w:footnoteRef/>
      </w:r>
      <w:r>
        <w:t xml:space="preserve"> Noregulējuma noturības definīciju šajā ziņojumā skatīt Z.08.01 150. slejā.</w:t>
      </w:r>
    </w:p>
  </w:footnote>
  <w:footnote w:id="33">
    <w:p w14:paraId="7FE1D285" w14:textId="50A26E27" w:rsidR="00952395" w:rsidRDefault="0083775C">
      <w:pPr>
        <w:pStyle w:val="FootnoteText"/>
      </w:pPr>
      <w:r>
        <w:rPr>
          <w:rStyle w:val="FootnoteReference"/>
        </w:rPr>
        <w:footnoteRef/>
      </w:r>
      <w:r>
        <w:t xml:space="preserve"> Attiecīgo ziņošanas rādītāju vajadzībām “karšu shēmas” tiek pielīdzinātas “maksājumu pakalpojumiem”; “NA” pielīdzina “Centrālajiem vērtspapīru depozitārijiem”, ja tie nodarbojas ar vērtspapīriem, un “maksājumu sistēmām”, ja tie sniedz skaidras naudas pakalpojumus.</w:t>
      </w:r>
    </w:p>
  </w:footnote>
  <w:footnote w:id="34">
    <w:p w14:paraId="7FE1D286" w14:textId="77777777" w:rsidR="00952395" w:rsidRDefault="0083775C">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Šajā ziņojumā kontu veidu nozīme būtu jāinterpretē saskaņā ar ETIR 39. panta 4. un 5. punktu. Pozīcijas nozīme būtu jāinterpretē saskaņā ar ETIR 2. panta 3. punktu, 39. panta 4. punktu un 39. panta 5. punktu. Klientu konti: ziņojums tikai tad, ja juridiskā persona nodrošina netiešu piekļuvi FTI.</w:t>
      </w:r>
    </w:p>
  </w:footnote>
  <w:footnote w:id="35">
    <w:p w14:paraId="7FE1D287" w14:textId="21F2F8F9" w:rsidR="00952395" w:rsidRDefault="0083775C">
      <w:pPr>
        <w:pStyle w:val="FootnoteText"/>
      </w:pPr>
      <w:r>
        <w:rPr>
          <w:rStyle w:val="FootnoteReference"/>
        </w:rPr>
        <w:footnoteRef/>
      </w:r>
      <w:r>
        <w:t xml:space="preserve"> Sk. ECHA. ECB metodiskās piezīmes par vērtspapīru tirdzniecības, klīringa un norēķinu statistiku.</w:t>
      </w:r>
    </w:p>
  </w:footnote>
  <w:footnote w:id="36">
    <w:p w14:paraId="7FE1D289" w14:textId="77777777" w:rsidR="00952395" w:rsidRDefault="0083775C">
      <w:pPr>
        <w:pStyle w:val="FootnoteText"/>
      </w:pPr>
      <w:r>
        <w:rPr>
          <w:rStyle w:val="FootnoteReference"/>
        </w:rPr>
        <w:footnoteRef/>
      </w:r>
      <w:r>
        <w:t xml:space="preserve"> Daži pašu kapitāla instrumenti, piemēram, kooperatīva līdzdalība, neietilpst vērtspapīru definīcijā, bet tie joprojām būtu jānorāda šeit.</w:t>
      </w:r>
    </w:p>
  </w:footnote>
  <w:footnote w:id="37">
    <w:p w14:paraId="4A19D249" w14:textId="77777777" w:rsidR="00952395" w:rsidRDefault="0083775C">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ir Cassa Compensazione e Garanzia (CC&amp;G) jaunais komercnosaukums.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952395" w:rsidRDefault="0083775C">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ksta logs"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952395" w:rsidRDefault="0083775C">
                      <w:pPr>
                        <w:pStyle w:val="P68B1DB1-Normal93"/>
                      </w:pPr>
                      <w:r>
                        <w:t>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952395" w:rsidRDefault="0083775C">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ksta lauks"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952395" w:rsidRDefault="00952395">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ANGĻU VALODĀ</w:t>
    </w:r>
  </w:p>
  <w:p w14:paraId="7FE1D24D" w14:textId="77777777" w:rsidR="00952395" w:rsidRDefault="0083775C">
    <w:pPr>
      <w:pStyle w:val="P68B1DB1-Header94"/>
      <w:jc w:val="center"/>
    </w:pPr>
    <w:r>
      <w:t>II PIELIKUMS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952395" w:rsidRDefault="0083775C">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ksta logs"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952395" w:rsidRDefault="00952395">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3775C"/>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2395"/>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2.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105</Pages>
  <Words>36803</Words>
  <Characters>209778</Characters>
  <Application>Microsoft Office Word</Application>
  <DocSecurity>0</DocSecurity>
  <Lines>1748</Lines>
  <Paragraphs>492</Paragraphs>
  <ScaleCrop>false</ScaleCrop>
  <Company/>
  <LinksUpToDate>false</LinksUpToDate>
  <CharactersWithSpaces>246089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