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896468" w:rsidRDefault="00896468">
      <w:pPr>
        <w:pStyle w:val="abbreviation"/>
      </w:pPr>
    </w:p>
    <w:p w14:paraId="7FE1B2AF" w14:textId="4BFDDAA0" w:rsidR="00896468" w:rsidRDefault="00B31E50">
      <w:pPr>
        <w:pStyle w:val="P68B1DB1-ListParagraph1"/>
        <w:jc w:val="center"/>
        <w:rPr>
          <w:bCs/>
        </w:rPr>
      </w:pPr>
      <w:r>
        <w:t>II. melléklet: Útmutató</w:t>
      </w:r>
      <w:r w:rsidR="00D42656">
        <w:t xml:space="preserve">  </w:t>
      </w:r>
    </w:p>
    <w:p w14:paraId="7FE1B2B0" w14:textId="77777777" w:rsidR="00896468" w:rsidRDefault="00896468">
      <w:pPr>
        <w:rPr>
          <w:rFonts w:ascii="Times New Roman" w:hAnsi="Times New Roman" w:cs="Times New Roman"/>
          <w:b/>
          <w:color w:val="000000" w:themeColor="text1"/>
          <w:sz w:val="20"/>
          <w:szCs w:val="20"/>
        </w:rPr>
      </w:pPr>
    </w:p>
    <w:p w14:paraId="7FE1B2B1" w14:textId="77777777" w:rsidR="00896468" w:rsidRDefault="00896468">
      <w:pPr>
        <w:rPr>
          <w:rFonts w:ascii="Times New Roman" w:hAnsi="Times New Roman" w:cs="Times New Roman"/>
          <w:b/>
          <w:color w:val="000000" w:themeColor="text1"/>
          <w:sz w:val="20"/>
          <w:szCs w:val="20"/>
        </w:rPr>
      </w:pPr>
    </w:p>
    <w:p w14:paraId="79844CBB" w14:textId="6572229E" w:rsidR="00BE227F" w:rsidRDefault="00B31E50">
      <w:pPr>
        <w:pStyle w:val="TOC2"/>
        <w:rPr>
          <w:noProof/>
          <w:kern w:val="2"/>
          <w:sz w:val="24"/>
          <w:szCs w:val="24"/>
          <w:lang w:val="hu-HU" w:eastAsia="hu-HU"/>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10982857" w:history="1">
        <w:r w:rsidR="00BE227F" w:rsidRPr="00071C7F">
          <w:rPr>
            <w:rStyle w:val="Hyperlink"/>
            <w:noProof/>
          </w:rPr>
          <w:t>I.</w:t>
        </w:r>
        <w:r w:rsidR="00BE227F">
          <w:rPr>
            <w:noProof/>
            <w:kern w:val="2"/>
            <w:sz w:val="24"/>
            <w:szCs w:val="24"/>
            <w:lang w:val="hu-HU" w:eastAsia="hu-HU"/>
            <w14:ligatures w14:val="standardContextual"/>
          </w:rPr>
          <w:tab/>
        </w:r>
        <w:r w:rsidR="00BE227F" w:rsidRPr="00071C7F">
          <w:rPr>
            <w:rStyle w:val="Hyperlink"/>
            <w:noProof/>
          </w:rPr>
          <w:t>Általános útmutatások</w:t>
        </w:r>
        <w:r w:rsidR="00BE227F">
          <w:rPr>
            <w:noProof/>
            <w:webHidden/>
          </w:rPr>
          <w:tab/>
        </w:r>
        <w:r w:rsidR="00BE227F">
          <w:rPr>
            <w:noProof/>
            <w:webHidden/>
          </w:rPr>
          <w:fldChar w:fldCharType="begin"/>
        </w:r>
        <w:r w:rsidR="00BE227F">
          <w:rPr>
            <w:noProof/>
            <w:webHidden/>
          </w:rPr>
          <w:instrText xml:space="preserve"> PAGEREF _Toc210982857 \h </w:instrText>
        </w:r>
        <w:r w:rsidR="00BE227F">
          <w:rPr>
            <w:noProof/>
            <w:webHidden/>
          </w:rPr>
        </w:r>
        <w:r w:rsidR="00BE227F">
          <w:rPr>
            <w:noProof/>
            <w:webHidden/>
          </w:rPr>
          <w:fldChar w:fldCharType="separate"/>
        </w:r>
        <w:r w:rsidR="00BE227F">
          <w:rPr>
            <w:noProof/>
            <w:webHidden/>
          </w:rPr>
          <w:t>3</w:t>
        </w:r>
        <w:r w:rsidR="00BE227F">
          <w:rPr>
            <w:noProof/>
            <w:webHidden/>
          </w:rPr>
          <w:fldChar w:fldCharType="end"/>
        </w:r>
      </w:hyperlink>
    </w:p>
    <w:p w14:paraId="63808CDB" w14:textId="15B613FE" w:rsidR="00BE227F" w:rsidRDefault="00BE227F">
      <w:pPr>
        <w:pStyle w:val="TOC2"/>
        <w:rPr>
          <w:noProof/>
          <w:kern w:val="2"/>
          <w:sz w:val="24"/>
          <w:szCs w:val="24"/>
          <w:lang w:val="hu-HU" w:eastAsia="hu-HU"/>
          <w14:ligatures w14:val="standardContextual"/>
        </w:rPr>
      </w:pPr>
      <w:hyperlink w:anchor="_Toc210982858" w:history="1">
        <w:r w:rsidRPr="00071C7F">
          <w:rPr>
            <w:rStyle w:val="Hyperlink"/>
            <w:noProof/>
          </w:rPr>
          <w:t>I.1</w:t>
        </w:r>
        <w:r>
          <w:rPr>
            <w:noProof/>
            <w:kern w:val="2"/>
            <w:sz w:val="24"/>
            <w:szCs w:val="24"/>
            <w:lang w:val="hu-HU" w:eastAsia="hu-HU"/>
            <w14:ligatures w14:val="standardContextual"/>
          </w:rPr>
          <w:tab/>
        </w:r>
        <w:r w:rsidRPr="00071C7F">
          <w:rPr>
            <w:rStyle w:val="Hyperlink"/>
            <w:noProof/>
          </w:rPr>
          <w:t>Szerkezet</w:t>
        </w:r>
        <w:r>
          <w:rPr>
            <w:noProof/>
            <w:webHidden/>
          </w:rPr>
          <w:tab/>
        </w:r>
        <w:r>
          <w:rPr>
            <w:noProof/>
            <w:webHidden/>
          </w:rPr>
          <w:fldChar w:fldCharType="begin"/>
        </w:r>
        <w:r>
          <w:rPr>
            <w:noProof/>
            <w:webHidden/>
          </w:rPr>
          <w:instrText xml:space="preserve"> PAGEREF _Toc210982858 \h </w:instrText>
        </w:r>
        <w:r>
          <w:rPr>
            <w:noProof/>
            <w:webHidden/>
          </w:rPr>
        </w:r>
        <w:r>
          <w:rPr>
            <w:noProof/>
            <w:webHidden/>
          </w:rPr>
          <w:fldChar w:fldCharType="separate"/>
        </w:r>
        <w:r>
          <w:rPr>
            <w:noProof/>
            <w:webHidden/>
          </w:rPr>
          <w:t>3</w:t>
        </w:r>
        <w:r>
          <w:rPr>
            <w:noProof/>
            <w:webHidden/>
          </w:rPr>
          <w:fldChar w:fldCharType="end"/>
        </w:r>
      </w:hyperlink>
    </w:p>
    <w:p w14:paraId="55A88F30" w14:textId="107D7AAE" w:rsidR="00BE227F" w:rsidRDefault="00BE227F">
      <w:pPr>
        <w:pStyle w:val="TOC2"/>
        <w:rPr>
          <w:noProof/>
          <w:kern w:val="2"/>
          <w:sz w:val="24"/>
          <w:szCs w:val="24"/>
          <w:lang w:val="hu-HU" w:eastAsia="hu-HU"/>
          <w14:ligatures w14:val="standardContextual"/>
        </w:rPr>
      </w:pPr>
      <w:hyperlink w:anchor="_Toc210982859" w:history="1">
        <w:r w:rsidRPr="00071C7F">
          <w:rPr>
            <w:rStyle w:val="Hyperlink"/>
            <w:noProof/>
          </w:rPr>
          <w:t>I.2</w:t>
        </w:r>
        <w:r>
          <w:rPr>
            <w:noProof/>
            <w:kern w:val="2"/>
            <w:sz w:val="24"/>
            <w:szCs w:val="24"/>
            <w:lang w:val="hu-HU" w:eastAsia="hu-HU"/>
            <w14:ligatures w14:val="standardContextual"/>
          </w:rPr>
          <w:tab/>
        </w:r>
        <w:r w:rsidRPr="00071C7F">
          <w:rPr>
            <w:rStyle w:val="Hyperlink"/>
            <w:noProof/>
          </w:rPr>
          <w:t>Hivatkozások</w:t>
        </w:r>
        <w:r>
          <w:rPr>
            <w:noProof/>
            <w:webHidden/>
          </w:rPr>
          <w:tab/>
        </w:r>
        <w:r>
          <w:rPr>
            <w:noProof/>
            <w:webHidden/>
          </w:rPr>
          <w:fldChar w:fldCharType="begin"/>
        </w:r>
        <w:r>
          <w:rPr>
            <w:noProof/>
            <w:webHidden/>
          </w:rPr>
          <w:instrText xml:space="preserve"> PAGEREF _Toc210982859 \h </w:instrText>
        </w:r>
        <w:r>
          <w:rPr>
            <w:noProof/>
            <w:webHidden/>
          </w:rPr>
        </w:r>
        <w:r>
          <w:rPr>
            <w:noProof/>
            <w:webHidden/>
          </w:rPr>
          <w:fldChar w:fldCharType="separate"/>
        </w:r>
        <w:r>
          <w:rPr>
            <w:noProof/>
            <w:webHidden/>
          </w:rPr>
          <w:t>4</w:t>
        </w:r>
        <w:r>
          <w:rPr>
            <w:noProof/>
            <w:webHidden/>
          </w:rPr>
          <w:fldChar w:fldCharType="end"/>
        </w:r>
      </w:hyperlink>
    </w:p>
    <w:p w14:paraId="3E8A1847" w14:textId="62BE8B40" w:rsidR="00BE227F" w:rsidRDefault="00BE227F">
      <w:pPr>
        <w:pStyle w:val="TOC2"/>
        <w:rPr>
          <w:noProof/>
          <w:kern w:val="2"/>
          <w:sz w:val="24"/>
          <w:szCs w:val="24"/>
          <w:lang w:val="hu-HU" w:eastAsia="hu-HU"/>
          <w14:ligatures w14:val="standardContextual"/>
        </w:rPr>
      </w:pPr>
      <w:hyperlink w:anchor="_Toc210982860" w:history="1">
        <w:r w:rsidRPr="00071C7F">
          <w:rPr>
            <w:rStyle w:val="Hyperlink"/>
            <w:noProof/>
          </w:rPr>
          <w:t>I.3</w:t>
        </w:r>
        <w:r>
          <w:rPr>
            <w:noProof/>
            <w:kern w:val="2"/>
            <w:sz w:val="24"/>
            <w:szCs w:val="24"/>
            <w:lang w:val="hu-HU" w:eastAsia="hu-HU"/>
            <w14:ligatures w14:val="standardContextual"/>
          </w:rPr>
          <w:tab/>
        </w:r>
        <w:r w:rsidRPr="00071C7F">
          <w:rPr>
            <w:rStyle w:val="Hyperlink"/>
            <w:noProof/>
          </w:rPr>
          <w:t>Számviteli standardok</w:t>
        </w:r>
        <w:r>
          <w:rPr>
            <w:noProof/>
            <w:webHidden/>
          </w:rPr>
          <w:tab/>
        </w:r>
        <w:r>
          <w:rPr>
            <w:noProof/>
            <w:webHidden/>
          </w:rPr>
          <w:fldChar w:fldCharType="begin"/>
        </w:r>
        <w:r>
          <w:rPr>
            <w:noProof/>
            <w:webHidden/>
          </w:rPr>
          <w:instrText xml:space="preserve"> PAGEREF _Toc210982860 \h </w:instrText>
        </w:r>
        <w:r>
          <w:rPr>
            <w:noProof/>
            <w:webHidden/>
          </w:rPr>
        </w:r>
        <w:r>
          <w:rPr>
            <w:noProof/>
            <w:webHidden/>
          </w:rPr>
          <w:fldChar w:fldCharType="separate"/>
        </w:r>
        <w:r>
          <w:rPr>
            <w:noProof/>
            <w:webHidden/>
          </w:rPr>
          <w:t>5</w:t>
        </w:r>
        <w:r>
          <w:rPr>
            <w:noProof/>
            <w:webHidden/>
          </w:rPr>
          <w:fldChar w:fldCharType="end"/>
        </w:r>
      </w:hyperlink>
    </w:p>
    <w:p w14:paraId="52D22E97" w14:textId="325049D7" w:rsidR="00BE227F" w:rsidRDefault="00BE227F">
      <w:pPr>
        <w:pStyle w:val="TOC2"/>
        <w:rPr>
          <w:noProof/>
          <w:kern w:val="2"/>
          <w:sz w:val="24"/>
          <w:szCs w:val="24"/>
          <w:lang w:val="hu-HU" w:eastAsia="hu-HU"/>
          <w14:ligatures w14:val="standardContextual"/>
        </w:rPr>
      </w:pPr>
      <w:hyperlink w:anchor="_Toc210982861" w:history="1">
        <w:r w:rsidRPr="00071C7F">
          <w:rPr>
            <w:rStyle w:val="Hyperlink"/>
            <w:noProof/>
          </w:rPr>
          <w:t>I.4</w:t>
        </w:r>
        <w:r>
          <w:rPr>
            <w:noProof/>
            <w:kern w:val="2"/>
            <w:sz w:val="24"/>
            <w:szCs w:val="24"/>
            <w:lang w:val="hu-HU" w:eastAsia="hu-HU"/>
            <w14:ligatures w14:val="standardContextual"/>
          </w:rPr>
          <w:tab/>
        </w:r>
        <w:r w:rsidRPr="00071C7F">
          <w:rPr>
            <w:rStyle w:val="Hyperlink"/>
            <w:noProof/>
          </w:rPr>
          <w:t>A felügyeleti adatok jelentése</w:t>
        </w:r>
        <w:r>
          <w:rPr>
            <w:noProof/>
            <w:webHidden/>
          </w:rPr>
          <w:tab/>
        </w:r>
        <w:r>
          <w:rPr>
            <w:noProof/>
            <w:webHidden/>
          </w:rPr>
          <w:fldChar w:fldCharType="begin"/>
        </w:r>
        <w:r>
          <w:rPr>
            <w:noProof/>
            <w:webHidden/>
          </w:rPr>
          <w:instrText xml:space="preserve"> PAGEREF _Toc210982861 \h </w:instrText>
        </w:r>
        <w:r>
          <w:rPr>
            <w:noProof/>
            <w:webHidden/>
          </w:rPr>
        </w:r>
        <w:r>
          <w:rPr>
            <w:noProof/>
            <w:webHidden/>
          </w:rPr>
          <w:fldChar w:fldCharType="separate"/>
        </w:r>
        <w:r>
          <w:rPr>
            <w:noProof/>
            <w:webHidden/>
          </w:rPr>
          <w:t>5</w:t>
        </w:r>
        <w:r>
          <w:rPr>
            <w:noProof/>
            <w:webHidden/>
          </w:rPr>
          <w:fldChar w:fldCharType="end"/>
        </w:r>
      </w:hyperlink>
    </w:p>
    <w:p w14:paraId="645225AE" w14:textId="2F27BD47" w:rsidR="00BE227F" w:rsidRDefault="00BE227F">
      <w:pPr>
        <w:pStyle w:val="TOC2"/>
        <w:rPr>
          <w:noProof/>
          <w:kern w:val="2"/>
          <w:sz w:val="24"/>
          <w:szCs w:val="24"/>
          <w:lang w:val="hu-HU" w:eastAsia="hu-HU"/>
          <w14:ligatures w14:val="standardContextual"/>
        </w:rPr>
      </w:pPr>
      <w:hyperlink w:anchor="_Toc210982862" w:history="1">
        <w:r w:rsidRPr="00071C7F">
          <w:rPr>
            <w:rStyle w:val="Hyperlink"/>
            <w:noProof/>
          </w:rPr>
          <w:t>I.5</w:t>
        </w:r>
        <w:r>
          <w:rPr>
            <w:noProof/>
            <w:kern w:val="2"/>
            <w:sz w:val="24"/>
            <w:szCs w:val="24"/>
            <w:lang w:val="hu-HU" w:eastAsia="hu-HU"/>
            <w14:ligatures w14:val="standardContextual"/>
          </w:rPr>
          <w:tab/>
        </w:r>
        <w:r w:rsidRPr="00071C7F">
          <w:rPr>
            <w:rStyle w:val="Hyperlink"/>
            <w:noProof/>
          </w:rPr>
          <w:t>A konszolidáció terjedelme</w:t>
        </w:r>
        <w:r>
          <w:rPr>
            <w:noProof/>
            <w:webHidden/>
          </w:rPr>
          <w:tab/>
        </w:r>
        <w:r>
          <w:rPr>
            <w:noProof/>
            <w:webHidden/>
          </w:rPr>
          <w:fldChar w:fldCharType="begin"/>
        </w:r>
        <w:r>
          <w:rPr>
            <w:noProof/>
            <w:webHidden/>
          </w:rPr>
          <w:instrText xml:space="preserve"> PAGEREF _Toc210982862 \h </w:instrText>
        </w:r>
        <w:r>
          <w:rPr>
            <w:noProof/>
            <w:webHidden/>
          </w:rPr>
        </w:r>
        <w:r>
          <w:rPr>
            <w:noProof/>
            <w:webHidden/>
          </w:rPr>
          <w:fldChar w:fldCharType="separate"/>
        </w:r>
        <w:r>
          <w:rPr>
            <w:noProof/>
            <w:webHidden/>
          </w:rPr>
          <w:t>6</w:t>
        </w:r>
        <w:r>
          <w:rPr>
            <w:noProof/>
            <w:webHidden/>
          </w:rPr>
          <w:fldChar w:fldCharType="end"/>
        </w:r>
      </w:hyperlink>
    </w:p>
    <w:p w14:paraId="3E7C6159" w14:textId="36D9C30E" w:rsidR="00BE227F" w:rsidRDefault="00BE227F">
      <w:pPr>
        <w:pStyle w:val="TOC2"/>
        <w:rPr>
          <w:noProof/>
          <w:kern w:val="2"/>
          <w:sz w:val="24"/>
          <w:szCs w:val="24"/>
          <w:lang w:val="hu-HU" w:eastAsia="hu-HU"/>
          <w14:ligatures w14:val="standardContextual"/>
        </w:rPr>
      </w:pPr>
      <w:hyperlink w:anchor="_Toc210982863" w:history="1">
        <w:r w:rsidRPr="00071C7F">
          <w:rPr>
            <w:rStyle w:val="Hyperlink"/>
            <w:noProof/>
          </w:rPr>
          <w:t>I.6</w:t>
        </w:r>
        <w:r>
          <w:rPr>
            <w:noProof/>
            <w:kern w:val="2"/>
            <w:sz w:val="24"/>
            <w:szCs w:val="24"/>
            <w:lang w:val="hu-HU" w:eastAsia="hu-HU"/>
            <w14:ligatures w14:val="standardContextual"/>
          </w:rPr>
          <w:tab/>
        </w:r>
        <w:r w:rsidRPr="00071C7F">
          <w:rPr>
            <w:rStyle w:val="Hyperlink"/>
            <w:noProof/>
          </w:rPr>
          <w:t>Számozási és egyéb szabályok</w:t>
        </w:r>
        <w:r>
          <w:rPr>
            <w:noProof/>
            <w:webHidden/>
          </w:rPr>
          <w:tab/>
        </w:r>
        <w:r>
          <w:rPr>
            <w:noProof/>
            <w:webHidden/>
          </w:rPr>
          <w:fldChar w:fldCharType="begin"/>
        </w:r>
        <w:r>
          <w:rPr>
            <w:noProof/>
            <w:webHidden/>
          </w:rPr>
          <w:instrText xml:space="preserve"> PAGEREF _Toc210982863 \h </w:instrText>
        </w:r>
        <w:r>
          <w:rPr>
            <w:noProof/>
            <w:webHidden/>
          </w:rPr>
        </w:r>
        <w:r>
          <w:rPr>
            <w:noProof/>
            <w:webHidden/>
          </w:rPr>
          <w:fldChar w:fldCharType="separate"/>
        </w:r>
        <w:r>
          <w:rPr>
            <w:noProof/>
            <w:webHidden/>
          </w:rPr>
          <w:t>6</w:t>
        </w:r>
        <w:r>
          <w:rPr>
            <w:noProof/>
            <w:webHidden/>
          </w:rPr>
          <w:fldChar w:fldCharType="end"/>
        </w:r>
      </w:hyperlink>
    </w:p>
    <w:p w14:paraId="44AF64B4" w14:textId="425356D3" w:rsidR="00BE227F" w:rsidRDefault="00BE227F">
      <w:pPr>
        <w:pStyle w:val="TOC2"/>
        <w:rPr>
          <w:noProof/>
          <w:kern w:val="2"/>
          <w:sz w:val="24"/>
          <w:szCs w:val="24"/>
          <w:lang w:val="hu-HU" w:eastAsia="hu-HU"/>
          <w14:ligatures w14:val="standardContextual"/>
        </w:rPr>
      </w:pPr>
      <w:hyperlink w:anchor="_Toc210982864" w:history="1">
        <w:r w:rsidRPr="00071C7F">
          <w:rPr>
            <w:rStyle w:val="Hyperlink"/>
            <w:noProof/>
          </w:rPr>
          <w:t>II.</w:t>
        </w:r>
        <w:r>
          <w:rPr>
            <w:noProof/>
            <w:kern w:val="2"/>
            <w:sz w:val="24"/>
            <w:szCs w:val="24"/>
            <w:lang w:val="hu-HU" w:eastAsia="hu-HU"/>
            <w14:ligatures w14:val="standardContextual"/>
          </w:rPr>
          <w:tab/>
        </w:r>
        <w:r w:rsidRPr="00071C7F">
          <w:rPr>
            <w:rStyle w:val="Hyperlink"/>
            <w:noProof/>
          </w:rPr>
          <w:t>A táblákhoz kapcsolódó útmutató</w:t>
        </w:r>
        <w:r>
          <w:rPr>
            <w:noProof/>
            <w:webHidden/>
          </w:rPr>
          <w:tab/>
        </w:r>
        <w:r>
          <w:rPr>
            <w:noProof/>
            <w:webHidden/>
          </w:rPr>
          <w:fldChar w:fldCharType="begin"/>
        </w:r>
        <w:r>
          <w:rPr>
            <w:noProof/>
            <w:webHidden/>
          </w:rPr>
          <w:instrText xml:space="preserve"> PAGEREF _Toc210982864 \h </w:instrText>
        </w:r>
        <w:r>
          <w:rPr>
            <w:noProof/>
            <w:webHidden/>
          </w:rPr>
        </w:r>
        <w:r>
          <w:rPr>
            <w:noProof/>
            <w:webHidden/>
          </w:rPr>
          <w:fldChar w:fldCharType="separate"/>
        </w:r>
        <w:r>
          <w:rPr>
            <w:noProof/>
            <w:webHidden/>
          </w:rPr>
          <w:t>6</w:t>
        </w:r>
        <w:r>
          <w:rPr>
            <w:noProof/>
            <w:webHidden/>
          </w:rPr>
          <w:fldChar w:fldCharType="end"/>
        </w:r>
      </w:hyperlink>
    </w:p>
    <w:p w14:paraId="17B73146" w14:textId="25C51605" w:rsidR="00BE227F" w:rsidRDefault="00BE227F">
      <w:pPr>
        <w:pStyle w:val="TOC2"/>
        <w:rPr>
          <w:noProof/>
          <w:kern w:val="2"/>
          <w:sz w:val="24"/>
          <w:szCs w:val="24"/>
          <w:lang w:val="hu-HU" w:eastAsia="hu-HU"/>
          <w14:ligatures w14:val="standardContextual"/>
        </w:rPr>
      </w:pPr>
      <w:hyperlink w:anchor="_Toc210982865" w:history="1">
        <w:r w:rsidRPr="00071C7F">
          <w:rPr>
            <w:rStyle w:val="Hyperlink"/>
            <w:noProof/>
          </w:rPr>
          <w:t>II.1</w:t>
        </w:r>
        <w:r>
          <w:rPr>
            <w:noProof/>
            <w:kern w:val="2"/>
            <w:sz w:val="24"/>
            <w:szCs w:val="24"/>
            <w:lang w:val="hu-HU" w:eastAsia="hu-HU"/>
            <w14:ligatures w14:val="standardContextual"/>
          </w:rPr>
          <w:tab/>
        </w:r>
        <w:r w:rsidRPr="00071C7F">
          <w:rPr>
            <w:rStyle w:val="Hyperlink"/>
            <w:noProof/>
          </w:rPr>
          <w:t>Z 01.01 – Jogi személyek (ORG 1)</w:t>
        </w:r>
        <w:r>
          <w:rPr>
            <w:noProof/>
            <w:webHidden/>
          </w:rPr>
          <w:tab/>
        </w:r>
        <w:r>
          <w:rPr>
            <w:noProof/>
            <w:webHidden/>
          </w:rPr>
          <w:fldChar w:fldCharType="begin"/>
        </w:r>
        <w:r>
          <w:rPr>
            <w:noProof/>
            <w:webHidden/>
          </w:rPr>
          <w:instrText xml:space="preserve"> PAGEREF _Toc210982865 \h </w:instrText>
        </w:r>
        <w:r>
          <w:rPr>
            <w:noProof/>
            <w:webHidden/>
          </w:rPr>
        </w:r>
        <w:r>
          <w:rPr>
            <w:noProof/>
            <w:webHidden/>
          </w:rPr>
          <w:fldChar w:fldCharType="separate"/>
        </w:r>
        <w:r>
          <w:rPr>
            <w:noProof/>
            <w:webHidden/>
          </w:rPr>
          <w:t>6</w:t>
        </w:r>
        <w:r>
          <w:rPr>
            <w:noProof/>
            <w:webHidden/>
          </w:rPr>
          <w:fldChar w:fldCharType="end"/>
        </w:r>
      </w:hyperlink>
    </w:p>
    <w:p w14:paraId="69EA02C6" w14:textId="2BBD75D1" w:rsidR="00BE227F" w:rsidRDefault="00BE227F">
      <w:pPr>
        <w:pStyle w:val="TOC2"/>
        <w:rPr>
          <w:noProof/>
          <w:kern w:val="2"/>
          <w:sz w:val="24"/>
          <w:szCs w:val="24"/>
          <w:lang w:val="hu-HU" w:eastAsia="hu-HU"/>
          <w14:ligatures w14:val="standardContextual"/>
        </w:rPr>
      </w:pPr>
      <w:hyperlink w:anchor="_Toc210982866" w:history="1">
        <w:r w:rsidRPr="00071C7F">
          <w:rPr>
            <w:rStyle w:val="Hyperlink"/>
            <w:noProof/>
          </w:rPr>
          <w:t>II.2</w:t>
        </w:r>
        <w:r>
          <w:rPr>
            <w:noProof/>
            <w:kern w:val="2"/>
            <w:sz w:val="24"/>
            <w:szCs w:val="24"/>
            <w:lang w:val="hu-HU" w:eastAsia="hu-HU"/>
            <w14:ligatures w14:val="standardContextual"/>
          </w:rPr>
          <w:tab/>
        </w:r>
        <w:r w:rsidRPr="00071C7F">
          <w:rPr>
            <w:rStyle w:val="Hyperlink"/>
            <w:noProof/>
          </w:rPr>
          <w:t>Z 01.02 – Tulajdonosi szerkezet (ORG 2)</w:t>
        </w:r>
        <w:r>
          <w:rPr>
            <w:noProof/>
            <w:webHidden/>
          </w:rPr>
          <w:tab/>
        </w:r>
        <w:r>
          <w:rPr>
            <w:noProof/>
            <w:webHidden/>
          </w:rPr>
          <w:fldChar w:fldCharType="begin"/>
        </w:r>
        <w:r>
          <w:rPr>
            <w:noProof/>
            <w:webHidden/>
          </w:rPr>
          <w:instrText xml:space="preserve"> PAGEREF _Toc210982866 \h </w:instrText>
        </w:r>
        <w:r>
          <w:rPr>
            <w:noProof/>
            <w:webHidden/>
          </w:rPr>
        </w:r>
        <w:r>
          <w:rPr>
            <w:noProof/>
            <w:webHidden/>
          </w:rPr>
          <w:fldChar w:fldCharType="separate"/>
        </w:r>
        <w:r>
          <w:rPr>
            <w:noProof/>
            <w:webHidden/>
          </w:rPr>
          <w:t>10</w:t>
        </w:r>
        <w:r>
          <w:rPr>
            <w:noProof/>
            <w:webHidden/>
          </w:rPr>
          <w:fldChar w:fldCharType="end"/>
        </w:r>
      </w:hyperlink>
    </w:p>
    <w:p w14:paraId="5179568C" w14:textId="610F27F2" w:rsidR="00BE227F" w:rsidRDefault="00BE227F">
      <w:pPr>
        <w:pStyle w:val="TOC2"/>
        <w:rPr>
          <w:noProof/>
          <w:kern w:val="2"/>
          <w:sz w:val="24"/>
          <w:szCs w:val="24"/>
          <w:lang w:val="hu-HU" w:eastAsia="hu-HU"/>
          <w14:ligatures w14:val="standardContextual"/>
        </w:rPr>
      </w:pPr>
      <w:hyperlink w:anchor="_Toc210982867" w:history="1">
        <w:r w:rsidRPr="00071C7F">
          <w:rPr>
            <w:rStyle w:val="Hyperlink"/>
            <w:noProof/>
          </w:rPr>
          <w:t>II.3</w:t>
        </w:r>
        <w:r>
          <w:rPr>
            <w:noProof/>
            <w:kern w:val="2"/>
            <w:sz w:val="24"/>
            <w:szCs w:val="24"/>
            <w:lang w:val="hu-HU" w:eastAsia="hu-HU"/>
            <w14:ligatures w14:val="standardContextual"/>
          </w:rPr>
          <w:tab/>
        </w:r>
        <w:r w:rsidRPr="00071C7F">
          <w:rPr>
            <w:rStyle w:val="Hyperlink"/>
            <w:noProof/>
          </w:rPr>
          <w:t>Z 02.00 – Kötelezettségek szerkezete (LIAB 1)</w:t>
        </w:r>
        <w:r>
          <w:rPr>
            <w:noProof/>
            <w:webHidden/>
          </w:rPr>
          <w:tab/>
        </w:r>
        <w:r>
          <w:rPr>
            <w:noProof/>
            <w:webHidden/>
          </w:rPr>
          <w:fldChar w:fldCharType="begin"/>
        </w:r>
        <w:r>
          <w:rPr>
            <w:noProof/>
            <w:webHidden/>
          </w:rPr>
          <w:instrText xml:space="preserve"> PAGEREF _Toc210982867 \h </w:instrText>
        </w:r>
        <w:r>
          <w:rPr>
            <w:noProof/>
            <w:webHidden/>
          </w:rPr>
        </w:r>
        <w:r>
          <w:rPr>
            <w:noProof/>
            <w:webHidden/>
          </w:rPr>
          <w:fldChar w:fldCharType="separate"/>
        </w:r>
        <w:r>
          <w:rPr>
            <w:noProof/>
            <w:webHidden/>
          </w:rPr>
          <w:t>12</w:t>
        </w:r>
        <w:r>
          <w:rPr>
            <w:noProof/>
            <w:webHidden/>
          </w:rPr>
          <w:fldChar w:fldCharType="end"/>
        </w:r>
      </w:hyperlink>
    </w:p>
    <w:p w14:paraId="36FA12ED" w14:textId="349EE251" w:rsidR="00BE227F" w:rsidRDefault="00BE227F">
      <w:pPr>
        <w:pStyle w:val="TOC2"/>
        <w:rPr>
          <w:noProof/>
          <w:kern w:val="2"/>
          <w:sz w:val="24"/>
          <w:szCs w:val="24"/>
          <w:lang w:val="hu-HU" w:eastAsia="hu-HU"/>
          <w14:ligatures w14:val="standardContextual"/>
        </w:rPr>
      </w:pPr>
      <w:hyperlink w:anchor="_Toc210982868" w:history="1">
        <w:r w:rsidRPr="00071C7F">
          <w:rPr>
            <w:rStyle w:val="Hyperlink"/>
            <w:noProof/>
          </w:rPr>
          <w:t>II.4</w:t>
        </w:r>
        <w:r>
          <w:rPr>
            <w:noProof/>
            <w:kern w:val="2"/>
            <w:sz w:val="24"/>
            <w:szCs w:val="24"/>
            <w:lang w:val="hu-HU" w:eastAsia="hu-HU"/>
            <w14:ligatures w14:val="standardContextual"/>
          </w:rPr>
          <w:tab/>
        </w:r>
        <w:r w:rsidRPr="00071C7F">
          <w:rPr>
            <w:rStyle w:val="Hyperlink"/>
            <w:noProof/>
          </w:rPr>
          <w:t>Z 03.01 – Szavatolótőke-követelmények – Hitelintézetek (LIAB 2)</w:t>
        </w:r>
        <w:r>
          <w:rPr>
            <w:noProof/>
            <w:webHidden/>
          </w:rPr>
          <w:tab/>
        </w:r>
        <w:r>
          <w:rPr>
            <w:noProof/>
            <w:webHidden/>
          </w:rPr>
          <w:fldChar w:fldCharType="begin"/>
        </w:r>
        <w:r>
          <w:rPr>
            <w:noProof/>
            <w:webHidden/>
          </w:rPr>
          <w:instrText xml:space="preserve"> PAGEREF _Toc210982868 \h </w:instrText>
        </w:r>
        <w:r>
          <w:rPr>
            <w:noProof/>
            <w:webHidden/>
          </w:rPr>
        </w:r>
        <w:r>
          <w:rPr>
            <w:noProof/>
            <w:webHidden/>
          </w:rPr>
          <w:fldChar w:fldCharType="separate"/>
        </w:r>
        <w:r>
          <w:rPr>
            <w:noProof/>
            <w:webHidden/>
          </w:rPr>
          <w:t>20</w:t>
        </w:r>
        <w:r>
          <w:rPr>
            <w:noProof/>
            <w:webHidden/>
          </w:rPr>
          <w:fldChar w:fldCharType="end"/>
        </w:r>
      </w:hyperlink>
    </w:p>
    <w:p w14:paraId="32B4CE50" w14:textId="5E6264AC" w:rsidR="00BE227F" w:rsidRDefault="00BE227F">
      <w:pPr>
        <w:pStyle w:val="TOC2"/>
        <w:rPr>
          <w:noProof/>
          <w:kern w:val="2"/>
          <w:sz w:val="24"/>
          <w:szCs w:val="24"/>
          <w:lang w:val="hu-HU" w:eastAsia="hu-HU"/>
          <w14:ligatures w14:val="standardContextual"/>
        </w:rPr>
      </w:pPr>
      <w:hyperlink w:anchor="_Toc210982869" w:history="1">
        <w:r w:rsidRPr="00071C7F">
          <w:rPr>
            <w:rStyle w:val="Hyperlink"/>
            <w:noProof/>
          </w:rPr>
          <w:t>II.5</w:t>
        </w:r>
        <w:r>
          <w:rPr>
            <w:noProof/>
            <w:kern w:val="2"/>
            <w:sz w:val="24"/>
            <w:szCs w:val="24"/>
            <w:lang w:val="hu-HU" w:eastAsia="hu-HU"/>
            <w14:ligatures w14:val="standardContextual"/>
          </w:rPr>
          <w:tab/>
        </w:r>
        <w:r w:rsidRPr="00071C7F">
          <w:rPr>
            <w:rStyle w:val="Hyperlink"/>
            <w:noProof/>
          </w:rPr>
          <w:t>Z 03.02 – Szavatolótőke-követelmények – Befektetési vállalkozások (LIAB 3)</w:t>
        </w:r>
        <w:r>
          <w:rPr>
            <w:noProof/>
            <w:webHidden/>
          </w:rPr>
          <w:tab/>
        </w:r>
        <w:r>
          <w:rPr>
            <w:noProof/>
            <w:webHidden/>
          </w:rPr>
          <w:fldChar w:fldCharType="begin"/>
        </w:r>
        <w:r>
          <w:rPr>
            <w:noProof/>
            <w:webHidden/>
          </w:rPr>
          <w:instrText xml:space="preserve"> PAGEREF _Toc210982869 \h </w:instrText>
        </w:r>
        <w:r>
          <w:rPr>
            <w:noProof/>
            <w:webHidden/>
          </w:rPr>
        </w:r>
        <w:r>
          <w:rPr>
            <w:noProof/>
            <w:webHidden/>
          </w:rPr>
          <w:fldChar w:fldCharType="separate"/>
        </w:r>
        <w:r>
          <w:rPr>
            <w:noProof/>
            <w:webHidden/>
          </w:rPr>
          <w:t>23</w:t>
        </w:r>
        <w:r>
          <w:rPr>
            <w:noProof/>
            <w:webHidden/>
          </w:rPr>
          <w:fldChar w:fldCharType="end"/>
        </w:r>
      </w:hyperlink>
    </w:p>
    <w:p w14:paraId="5D5BA016" w14:textId="3B9F691B" w:rsidR="00BE227F" w:rsidRDefault="00BE227F">
      <w:pPr>
        <w:pStyle w:val="TOC2"/>
        <w:rPr>
          <w:noProof/>
          <w:kern w:val="2"/>
          <w:sz w:val="24"/>
          <w:szCs w:val="24"/>
          <w:lang w:val="hu-HU" w:eastAsia="hu-HU"/>
          <w14:ligatures w14:val="standardContextual"/>
        </w:rPr>
      </w:pPr>
      <w:hyperlink w:anchor="_Toc210982870" w:history="1">
        <w:r w:rsidRPr="00071C7F">
          <w:rPr>
            <w:rStyle w:val="Hyperlink"/>
            <w:noProof/>
          </w:rPr>
          <w:t>II.6</w:t>
        </w:r>
        <w:r>
          <w:rPr>
            <w:noProof/>
            <w:kern w:val="2"/>
            <w:sz w:val="24"/>
            <w:szCs w:val="24"/>
            <w:lang w:val="hu-HU" w:eastAsia="hu-HU"/>
            <w14:ligatures w14:val="standardContextual"/>
          </w:rPr>
          <w:tab/>
        </w:r>
        <w:r w:rsidRPr="00071C7F">
          <w:rPr>
            <w:rStyle w:val="Hyperlink"/>
            <w:noProof/>
          </w:rPr>
          <w:t>Z 04.00 – Csoporton belüli pénzügyi kapcsolódások (LIAB 4)</w:t>
        </w:r>
        <w:r>
          <w:rPr>
            <w:noProof/>
            <w:webHidden/>
          </w:rPr>
          <w:tab/>
        </w:r>
        <w:r>
          <w:rPr>
            <w:noProof/>
            <w:webHidden/>
          </w:rPr>
          <w:fldChar w:fldCharType="begin"/>
        </w:r>
        <w:r>
          <w:rPr>
            <w:noProof/>
            <w:webHidden/>
          </w:rPr>
          <w:instrText xml:space="preserve"> PAGEREF _Toc210982870 \h </w:instrText>
        </w:r>
        <w:r>
          <w:rPr>
            <w:noProof/>
            <w:webHidden/>
          </w:rPr>
        </w:r>
        <w:r>
          <w:rPr>
            <w:noProof/>
            <w:webHidden/>
          </w:rPr>
          <w:fldChar w:fldCharType="separate"/>
        </w:r>
        <w:r>
          <w:rPr>
            <w:noProof/>
            <w:webHidden/>
          </w:rPr>
          <w:t>24</w:t>
        </w:r>
        <w:r>
          <w:rPr>
            <w:noProof/>
            <w:webHidden/>
          </w:rPr>
          <w:fldChar w:fldCharType="end"/>
        </w:r>
      </w:hyperlink>
    </w:p>
    <w:p w14:paraId="1F1961B5" w14:textId="1765C9FB" w:rsidR="00BE227F" w:rsidRDefault="00BE227F">
      <w:pPr>
        <w:pStyle w:val="TOC2"/>
        <w:rPr>
          <w:noProof/>
          <w:kern w:val="2"/>
          <w:sz w:val="24"/>
          <w:szCs w:val="24"/>
          <w:lang w:val="hu-HU" w:eastAsia="hu-HU"/>
          <w14:ligatures w14:val="standardContextual"/>
        </w:rPr>
      </w:pPr>
      <w:hyperlink w:anchor="_Toc210982871" w:history="1">
        <w:r w:rsidRPr="00071C7F">
          <w:rPr>
            <w:rStyle w:val="Hyperlink"/>
            <w:noProof/>
          </w:rPr>
          <w:t>II.7</w:t>
        </w:r>
        <w:r>
          <w:rPr>
            <w:noProof/>
            <w:kern w:val="2"/>
            <w:sz w:val="24"/>
            <w:szCs w:val="24"/>
            <w:lang w:val="hu-HU" w:eastAsia="hu-HU"/>
            <w14:ligatures w14:val="standardContextual"/>
          </w:rPr>
          <w:tab/>
        </w:r>
        <w:r w:rsidRPr="00071C7F">
          <w:rPr>
            <w:rStyle w:val="Hyperlink"/>
            <w:noProof/>
          </w:rPr>
          <w:t>Fő partnerek (LIAB 5 &amp; 6)</w:t>
        </w:r>
        <w:r>
          <w:rPr>
            <w:noProof/>
            <w:webHidden/>
          </w:rPr>
          <w:tab/>
        </w:r>
        <w:r>
          <w:rPr>
            <w:noProof/>
            <w:webHidden/>
          </w:rPr>
          <w:fldChar w:fldCharType="begin"/>
        </w:r>
        <w:r>
          <w:rPr>
            <w:noProof/>
            <w:webHidden/>
          </w:rPr>
          <w:instrText xml:space="preserve"> PAGEREF _Toc210982871 \h </w:instrText>
        </w:r>
        <w:r>
          <w:rPr>
            <w:noProof/>
            <w:webHidden/>
          </w:rPr>
        </w:r>
        <w:r>
          <w:rPr>
            <w:noProof/>
            <w:webHidden/>
          </w:rPr>
          <w:fldChar w:fldCharType="separate"/>
        </w:r>
        <w:r>
          <w:rPr>
            <w:noProof/>
            <w:webHidden/>
          </w:rPr>
          <w:t>26</w:t>
        </w:r>
        <w:r>
          <w:rPr>
            <w:noProof/>
            <w:webHidden/>
          </w:rPr>
          <w:fldChar w:fldCharType="end"/>
        </w:r>
      </w:hyperlink>
    </w:p>
    <w:p w14:paraId="2BC61DF1" w14:textId="6A37E3DC" w:rsidR="00BE227F" w:rsidRDefault="00BE227F">
      <w:pPr>
        <w:pStyle w:val="TOC2"/>
        <w:rPr>
          <w:noProof/>
          <w:kern w:val="2"/>
          <w:sz w:val="24"/>
          <w:szCs w:val="24"/>
          <w:lang w:val="hu-HU" w:eastAsia="hu-HU"/>
          <w14:ligatures w14:val="standardContextual"/>
        </w:rPr>
      </w:pPr>
      <w:hyperlink w:anchor="_Toc210982872" w:history="1">
        <w:r w:rsidRPr="00071C7F">
          <w:rPr>
            <w:rStyle w:val="Hyperlink"/>
            <w:noProof/>
          </w:rPr>
          <w:t>II.8</w:t>
        </w:r>
        <w:r>
          <w:rPr>
            <w:noProof/>
            <w:kern w:val="2"/>
            <w:sz w:val="24"/>
            <w:szCs w:val="24"/>
            <w:lang w:val="hu-HU" w:eastAsia="hu-HU"/>
            <w14:ligatures w14:val="standardContextual"/>
          </w:rPr>
          <w:tab/>
        </w:r>
        <w:r w:rsidRPr="00071C7F">
          <w:rPr>
            <w:rStyle w:val="Hyperlink"/>
            <w:noProof/>
          </w:rPr>
          <w:t>Z 05.01 – Fő partnerek (kötelezettségek tekintetében) (LIAB 5)</w:t>
        </w:r>
        <w:r>
          <w:rPr>
            <w:noProof/>
            <w:webHidden/>
          </w:rPr>
          <w:tab/>
        </w:r>
        <w:r>
          <w:rPr>
            <w:noProof/>
            <w:webHidden/>
          </w:rPr>
          <w:fldChar w:fldCharType="begin"/>
        </w:r>
        <w:r>
          <w:rPr>
            <w:noProof/>
            <w:webHidden/>
          </w:rPr>
          <w:instrText xml:space="preserve"> PAGEREF _Toc210982872 \h </w:instrText>
        </w:r>
        <w:r>
          <w:rPr>
            <w:noProof/>
            <w:webHidden/>
          </w:rPr>
        </w:r>
        <w:r>
          <w:rPr>
            <w:noProof/>
            <w:webHidden/>
          </w:rPr>
          <w:fldChar w:fldCharType="separate"/>
        </w:r>
        <w:r>
          <w:rPr>
            <w:noProof/>
            <w:webHidden/>
          </w:rPr>
          <w:t>27</w:t>
        </w:r>
        <w:r>
          <w:rPr>
            <w:noProof/>
            <w:webHidden/>
          </w:rPr>
          <w:fldChar w:fldCharType="end"/>
        </w:r>
      </w:hyperlink>
    </w:p>
    <w:p w14:paraId="6A778170" w14:textId="32E7E194" w:rsidR="00BE227F" w:rsidRDefault="00BE227F">
      <w:pPr>
        <w:pStyle w:val="TOC2"/>
        <w:rPr>
          <w:noProof/>
          <w:kern w:val="2"/>
          <w:sz w:val="24"/>
          <w:szCs w:val="24"/>
          <w:lang w:val="hu-HU" w:eastAsia="hu-HU"/>
          <w14:ligatures w14:val="standardContextual"/>
        </w:rPr>
      </w:pPr>
      <w:hyperlink w:anchor="_Toc210982873" w:history="1">
        <w:r w:rsidRPr="00071C7F">
          <w:rPr>
            <w:rStyle w:val="Hyperlink"/>
            <w:noProof/>
          </w:rPr>
          <w:t>II.9</w:t>
        </w:r>
        <w:r>
          <w:rPr>
            <w:noProof/>
            <w:kern w:val="2"/>
            <w:sz w:val="24"/>
            <w:szCs w:val="24"/>
            <w:lang w:val="hu-HU" w:eastAsia="hu-HU"/>
            <w14:ligatures w14:val="standardContextual"/>
          </w:rPr>
          <w:tab/>
        </w:r>
        <w:r w:rsidRPr="00071C7F">
          <w:rPr>
            <w:rStyle w:val="Hyperlink"/>
            <w:noProof/>
          </w:rPr>
          <w:t>Z 05.02 – Fő partnerek (mérlegen kívüli tételek tekintetében) (LIAB 6)</w:t>
        </w:r>
        <w:r>
          <w:rPr>
            <w:noProof/>
            <w:webHidden/>
          </w:rPr>
          <w:tab/>
        </w:r>
        <w:r>
          <w:rPr>
            <w:noProof/>
            <w:webHidden/>
          </w:rPr>
          <w:fldChar w:fldCharType="begin"/>
        </w:r>
        <w:r>
          <w:rPr>
            <w:noProof/>
            <w:webHidden/>
          </w:rPr>
          <w:instrText xml:space="preserve"> PAGEREF _Toc210982873 \h </w:instrText>
        </w:r>
        <w:r>
          <w:rPr>
            <w:noProof/>
            <w:webHidden/>
          </w:rPr>
        </w:r>
        <w:r>
          <w:rPr>
            <w:noProof/>
            <w:webHidden/>
          </w:rPr>
          <w:fldChar w:fldCharType="separate"/>
        </w:r>
        <w:r>
          <w:rPr>
            <w:noProof/>
            <w:webHidden/>
          </w:rPr>
          <w:t>28</w:t>
        </w:r>
        <w:r>
          <w:rPr>
            <w:noProof/>
            <w:webHidden/>
          </w:rPr>
          <w:fldChar w:fldCharType="end"/>
        </w:r>
      </w:hyperlink>
    </w:p>
    <w:p w14:paraId="05AD8C31" w14:textId="4484025C" w:rsidR="00BE227F" w:rsidRDefault="00BE227F">
      <w:pPr>
        <w:pStyle w:val="TOC2"/>
        <w:rPr>
          <w:noProof/>
          <w:kern w:val="2"/>
          <w:sz w:val="24"/>
          <w:szCs w:val="24"/>
          <w:lang w:val="hu-HU" w:eastAsia="hu-HU"/>
          <w14:ligatures w14:val="standardContextual"/>
        </w:rPr>
      </w:pPr>
      <w:hyperlink w:anchor="_Toc210982874" w:history="1">
        <w:r w:rsidRPr="00071C7F">
          <w:rPr>
            <w:rStyle w:val="Hyperlink"/>
            <w:noProof/>
          </w:rPr>
          <w:t>II.10</w:t>
        </w:r>
        <w:r>
          <w:rPr>
            <w:noProof/>
            <w:kern w:val="2"/>
            <w:sz w:val="24"/>
            <w:szCs w:val="24"/>
            <w:lang w:val="hu-HU" w:eastAsia="hu-HU"/>
            <w14:ligatures w14:val="standardContextual"/>
          </w:rPr>
          <w:tab/>
        </w:r>
        <w:r w:rsidRPr="00071C7F">
          <w:rPr>
            <w:rStyle w:val="Hyperlink"/>
            <w:noProof/>
          </w:rPr>
          <w:t>Z 06.00 – Betétbiztosítás (LIAB 7)</w:t>
        </w:r>
        <w:r>
          <w:rPr>
            <w:noProof/>
            <w:webHidden/>
          </w:rPr>
          <w:tab/>
        </w:r>
        <w:r>
          <w:rPr>
            <w:noProof/>
            <w:webHidden/>
          </w:rPr>
          <w:fldChar w:fldCharType="begin"/>
        </w:r>
        <w:r>
          <w:rPr>
            <w:noProof/>
            <w:webHidden/>
          </w:rPr>
          <w:instrText xml:space="preserve"> PAGEREF _Toc210982874 \h </w:instrText>
        </w:r>
        <w:r>
          <w:rPr>
            <w:noProof/>
            <w:webHidden/>
          </w:rPr>
        </w:r>
        <w:r>
          <w:rPr>
            <w:noProof/>
            <w:webHidden/>
          </w:rPr>
          <w:fldChar w:fldCharType="separate"/>
        </w:r>
        <w:r>
          <w:rPr>
            <w:noProof/>
            <w:webHidden/>
          </w:rPr>
          <w:t>30</w:t>
        </w:r>
        <w:r>
          <w:rPr>
            <w:noProof/>
            <w:webHidden/>
          </w:rPr>
          <w:fldChar w:fldCharType="end"/>
        </w:r>
      </w:hyperlink>
    </w:p>
    <w:p w14:paraId="6DE7F9DB" w14:textId="3750C46C" w:rsidR="00BE227F" w:rsidRDefault="00BE227F">
      <w:pPr>
        <w:pStyle w:val="TOC2"/>
        <w:rPr>
          <w:noProof/>
          <w:kern w:val="2"/>
          <w:sz w:val="24"/>
          <w:szCs w:val="24"/>
          <w:lang w:val="hu-HU" w:eastAsia="hu-HU"/>
          <w14:ligatures w14:val="standardContextual"/>
        </w:rPr>
      </w:pPr>
      <w:hyperlink w:anchor="_Toc210982875" w:history="1">
        <w:r w:rsidRPr="00071C7F">
          <w:rPr>
            <w:rStyle w:val="Hyperlink"/>
            <w:noProof/>
          </w:rPr>
          <w:t>II.11</w:t>
        </w:r>
        <w:r>
          <w:rPr>
            <w:noProof/>
            <w:kern w:val="2"/>
            <w:sz w:val="24"/>
            <w:szCs w:val="24"/>
            <w:lang w:val="hu-HU" w:eastAsia="hu-HU"/>
            <w14:ligatures w14:val="standardContextual"/>
          </w:rPr>
          <w:tab/>
        </w:r>
        <w:r w:rsidRPr="00071C7F">
          <w:rPr>
            <w:rStyle w:val="Hyperlink"/>
            <w:noProof/>
          </w:rPr>
          <w:t>Kritikus funkciók és fő üzletágak</w:t>
        </w:r>
        <w:r>
          <w:rPr>
            <w:noProof/>
            <w:webHidden/>
          </w:rPr>
          <w:tab/>
        </w:r>
        <w:r>
          <w:rPr>
            <w:noProof/>
            <w:webHidden/>
          </w:rPr>
          <w:fldChar w:fldCharType="begin"/>
        </w:r>
        <w:r>
          <w:rPr>
            <w:noProof/>
            <w:webHidden/>
          </w:rPr>
          <w:instrText xml:space="preserve"> PAGEREF _Toc210982875 \h </w:instrText>
        </w:r>
        <w:r>
          <w:rPr>
            <w:noProof/>
            <w:webHidden/>
          </w:rPr>
        </w:r>
        <w:r>
          <w:rPr>
            <w:noProof/>
            <w:webHidden/>
          </w:rPr>
          <w:fldChar w:fldCharType="separate"/>
        </w:r>
        <w:r>
          <w:rPr>
            <w:noProof/>
            <w:webHidden/>
          </w:rPr>
          <w:t>33</w:t>
        </w:r>
        <w:r>
          <w:rPr>
            <w:noProof/>
            <w:webHidden/>
          </w:rPr>
          <w:fldChar w:fldCharType="end"/>
        </w:r>
      </w:hyperlink>
    </w:p>
    <w:p w14:paraId="77694064" w14:textId="1A494570" w:rsidR="00BE227F" w:rsidRDefault="00BE227F">
      <w:pPr>
        <w:pStyle w:val="TOC2"/>
        <w:rPr>
          <w:noProof/>
          <w:kern w:val="2"/>
          <w:sz w:val="24"/>
          <w:szCs w:val="24"/>
          <w:lang w:val="hu-HU" w:eastAsia="hu-HU"/>
          <w14:ligatures w14:val="standardContextual"/>
        </w:rPr>
      </w:pPr>
      <w:hyperlink w:anchor="_Toc210982876" w:history="1">
        <w:r w:rsidRPr="00071C7F">
          <w:rPr>
            <w:rStyle w:val="Hyperlink"/>
            <w:noProof/>
          </w:rPr>
          <w:t>II.12</w:t>
        </w:r>
        <w:r>
          <w:rPr>
            <w:noProof/>
            <w:kern w:val="2"/>
            <w:sz w:val="24"/>
            <w:szCs w:val="24"/>
            <w:lang w:val="hu-HU" w:eastAsia="hu-HU"/>
            <w14:ligatures w14:val="standardContextual"/>
          </w:rPr>
          <w:tab/>
        </w:r>
        <w:r w:rsidRPr="00071C7F">
          <w:rPr>
            <w:rStyle w:val="Hyperlink"/>
            <w:noProof/>
          </w:rPr>
          <w:t>Z 07.01 – A gazdasági funkciók kritikusságának értékelése (FUNC 1)</w:t>
        </w:r>
        <w:r>
          <w:rPr>
            <w:noProof/>
            <w:webHidden/>
          </w:rPr>
          <w:tab/>
        </w:r>
        <w:r>
          <w:rPr>
            <w:noProof/>
            <w:webHidden/>
          </w:rPr>
          <w:fldChar w:fldCharType="begin"/>
        </w:r>
        <w:r>
          <w:rPr>
            <w:noProof/>
            <w:webHidden/>
          </w:rPr>
          <w:instrText xml:space="preserve"> PAGEREF _Toc210982876 \h </w:instrText>
        </w:r>
        <w:r>
          <w:rPr>
            <w:noProof/>
            <w:webHidden/>
          </w:rPr>
        </w:r>
        <w:r>
          <w:rPr>
            <w:noProof/>
            <w:webHidden/>
          </w:rPr>
          <w:fldChar w:fldCharType="separate"/>
        </w:r>
        <w:r>
          <w:rPr>
            <w:noProof/>
            <w:webHidden/>
          </w:rPr>
          <w:t>35</w:t>
        </w:r>
        <w:r>
          <w:rPr>
            <w:noProof/>
            <w:webHidden/>
          </w:rPr>
          <w:fldChar w:fldCharType="end"/>
        </w:r>
      </w:hyperlink>
    </w:p>
    <w:p w14:paraId="1BD823A8" w14:textId="1717FC06" w:rsidR="00BE227F" w:rsidRDefault="00BE227F">
      <w:pPr>
        <w:pStyle w:val="TOC2"/>
        <w:rPr>
          <w:noProof/>
          <w:kern w:val="2"/>
          <w:sz w:val="24"/>
          <w:szCs w:val="24"/>
          <w:lang w:val="hu-HU" w:eastAsia="hu-HU"/>
          <w14:ligatures w14:val="standardContextual"/>
        </w:rPr>
      </w:pPr>
      <w:hyperlink w:anchor="_Toc210982877" w:history="1">
        <w:r w:rsidRPr="00071C7F">
          <w:rPr>
            <w:rStyle w:val="Hyperlink"/>
            <w:noProof/>
          </w:rPr>
          <w:t>II.13</w:t>
        </w:r>
        <w:r>
          <w:rPr>
            <w:noProof/>
            <w:kern w:val="2"/>
            <w:sz w:val="24"/>
            <w:szCs w:val="24"/>
            <w:lang w:val="hu-HU" w:eastAsia="hu-HU"/>
            <w14:ligatures w14:val="standardContextual"/>
          </w:rPr>
          <w:tab/>
        </w:r>
        <w:r w:rsidRPr="00071C7F">
          <w:rPr>
            <w:rStyle w:val="Hyperlink"/>
            <w:noProof/>
          </w:rPr>
          <w:t>Z 07.01.1 FUNC 1 DEP.</w:t>
        </w:r>
        <w:r>
          <w:rPr>
            <w:noProof/>
            <w:webHidden/>
          </w:rPr>
          <w:tab/>
        </w:r>
        <w:r>
          <w:rPr>
            <w:noProof/>
            <w:webHidden/>
          </w:rPr>
          <w:fldChar w:fldCharType="begin"/>
        </w:r>
        <w:r>
          <w:rPr>
            <w:noProof/>
            <w:webHidden/>
          </w:rPr>
          <w:instrText xml:space="preserve"> PAGEREF _Toc210982877 \h </w:instrText>
        </w:r>
        <w:r>
          <w:rPr>
            <w:noProof/>
            <w:webHidden/>
          </w:rPr>
        </w:r>
        <w:r>
          <w:rPr>
            <w:noProof/>
            <w:webHidden/>
          </w:rPr>
          <w:fldChar w:fldCharType="separate"/>
        </w:r>
        <w:r>
          <w:rPr>
            <w:noProof/>
            <w:webHidden/>
          </w:rPr>
          <w:t>38</w:t>
        </w:r>
        <w:r>
          <w:rPr>
            <w:noProof/>
            <w:webHidden/>
          </w:rPr>
          <w:fldChar w:fldCharType="end"/>
        </w:r>
      </w:hyperlink>
    </w:p>
    <w:p w14:paraId="4DDCAA17" w14:textId="1361A488" w:rsidR="00BE227F" w:rsidRDefault="00BE227F">
      <w:pPr>
        <w:pStyle w:val="TOC2"/>
        <w:rPr>
          <w:noProof/>
          <w:kern w:val="2"/>
          <w:sz w:val="24"/>
          <w:szCs w:val="24"/>
          <w:lang w:val="hu-HU" w:eastAsia="hu-HU"/>
          <w14:ligatures w14:val="standardContextual"/>
        </w:rPr>
      </w:pPr>
      <w:hyperlink w:anchor="_Toc210982878" w:history="1">
        <w:r w:rsidRPr="00071C7F">
          <w:rPr>
            <w:rStyle w:val="Hyperlink"/>
            <w:noProof/>
          </w:rPr>
          <w:t>II.14</w:t>
        </w:r>
        <w:r>
          <w:rPr>
            <w:noProof/>
            <w:kern w:val="2"/>
            <w:sz w:val="24"/>
            <w:szCs w:val="24"/>
            <w:lang w:val="hu-HU" w:eastAsia="hu-HU"/>
            <w14:ligatures w14:val="standardContextual"/>
          </w:rPr>
          <w:tab/>
        </w:r>
        <w:r w:rsidRPr="00071C7F">
          <w:rPr>
            <w:rStyle w:val="Hyperlink"/>
            <w:noProof/>
          </w:rPr>
          <w:t>Z 07.01.2 FUNC 1 LEN.</w:t>
        </w:r>
        <w:r>
          <w:rPr>
            <w:noProof/>
            <w:webHidden/>
          </w:rPr>
          <w:tab/>
        </w:r>
        <w:r>
          <w:rPr>
            <w:noProof/>
            <w:webHidden/>
          </w:rPr>
          <w:fldChar w:fldCharType="begin"/>
        </w:r>
        <w:r>
          <w:rPr>
            <w:noProof/>
            <w:webHidden/>
          </w:rPr>
          <w:instrText xml:space="preserve"> PAGEREF _Toc210982878 \h </w:instrText>
        </w:r>
        <w:r>
          <w:rPr>
            <w:noProof/>
            <w:webHidden/>
          </w:rPr>
        </w:r>
        <w:r>
          <w:rPr>
            <w:noProof/>
            <w:webHidden/>
          </w:rPr>
          <w:fldChar w:fldCharType="separate"/>
        </w:r>
        <w:r>
          <w:rPr>
            <w:noProof/>
            <w:webHidden/>
          </w:rPr>
          <w:t>44</w:t>
        </w:r>
        <w:r>
          <w:rPr>
            <w:noProof/>
            <w:webHidden/>
          </w:rPr>
          <w:fldChar w:fldCharType="end"/>
        </w:r>
      </w:hyperlink>
    </w:p>
    <w:p w14:paraId="257607D4" w14:textId="2F7A04F3" w:rsidR="00BE227F" w:rsidRDefault="00BE227F">
      <w:pPr>
        <w:pStyle w:val="TOC2"/>
        <w:rPr>
          <w:noProof/>
          <w:kern w:val="2"/>
          <w:sz w:val="24"/>
          <w:szCs w:val="24"/>
          <w:lang w:val="hu-HU" w:eastAsia="hu-HU"/>
          <w14:ligatures w14:val="standardContextual"/>
        </w:rPr>
      </w:pPr>
      <w:hyperlink w:anchor="_Toc210982879" w:history="1">
        <w:r w:rsidRPr="00071C7F">
          <w:rPr>
            <w:rStyle w:val="Hyperlink"/>
            <w:noProof/>
          </w:rPr>
          <w:t>II.15</w:t>
        </w:r>
        <w:r>
          <w:rPr>
            <w:noProof/>
            <w:kern w:val="2"/>
            <w:sz w:val="24"/>
            <w:szCs w:val="24"/>
            <w:lang w:val="hu-HU" w:eastAsia="hu-HU"/>
            <w14:ligatures w14:val="standardContextual"/>
          </w:rPr>
          <w:tab/>
        </w:r>
        <w:r w:rsidRPr="00071C7F">
          <w:rPr>
            <w:rStyle w:val="Hyperlink"/>
            <w:noProof/>
          </w:rPr>
          <w:t>Z 07.01.3 FUNC 1 PAY.</w:t>
        </w:r>
        <w:r>
          <w:rPr>
            <w:noProof/>
            <w:webHidden/>
          </w:rPr>
          <w:tab/>
        </w:r>
        <w:r>
          <w:rPr>
            <w:noProof/>
            <w:webHidden/>
          </w:rPr>
          <w:fldChar w:fldCharType="begin"/>
        </w:r>
        <w:r>
          <w:rPr>
            <w:noProof/>
            <w:webHidden/>
          </w:rPr>
          <w:instrText xml:space="preserve"> PAGEREF _Toc210982879 \h </w:instrText>
        </w:r>
        <w:r>
          <w:rPr>
            <w:noProof/>
            <w:webHidden/>
          </w:rPr>
        </w:r>
        <w:r>
          <w:rPr>
            <w:noProof/>
            <w:webHidden/>
          </w:rPr>
          <w:fldChar w:fldCharType="separate"/>
        </w:r>
        <w:r>
          <w:rPr>
            <w:noProof/>
            <w:webHidden/>
          </w:rPr>
          <w:t>49</w:t>
        </w:r>
        <w:r>
          <w:rPr>
            <w:noProof/>
            <w:webHidden/>
          </w:rPr>
          <w:fldChar w:fldCharType="end"/>
        </w:r>
      </w:hyperlink>
    </w:p>
    <w:p w14:paraId="3C1710D4" w14:textId="31427494" w:rsidR="00BE227F" w:rsidRDefault="00BE227F">
      <w:pPr>
        <w:pStyle w:val="TOC2"/>
        <w:rPr>
          <w:noProof/>
          <w:kern w:val="2"/>
          <w:sz w:val="24"/>
          <w:szCs w:val="24"/>
          <w:lang w:val="hu-HU" w:eastAsia="hu-HU"/>
          <w14:ligatures w14:val="standardContextual"/>
        </w:rPr>
      </w:pPr>
      <w:hyperlink w:anchor="_Toc210982880" w:history="1">
        <w:r w:rsidRPr="00071C7F">
          <w:rPr>
            <w:rStyle w:val="Hyperlink"/>
            <w:noProof/>
          </w:rPr>
          <w:t>II.13.</w:t>
        </w:r>
        <w:r>
          <w:rPr>
            <w:noProof/>
            <w:kern w:val="2"/>
            <w:sz w:val="24"/>
            <w:szCs w:val="24"/>
            <w:lang w:val="hu-HU" w:eastAsia="hu-HU"/>
            <w14:ligatures w14:val="standardContextual"/>
          </w:rPr>
          <w:tab/>
        </w:r>
        <w:r w:rsidRPr="00071C7F">
          <w:rPr>
            <w:rStyle w:val="Hyperlink"/>
            <w:noProof/>
          </w:rPr>
          <w:t>Z 07.01.4 FUNC 1 CM.</w:t>
        </w:r>
        <w:r>
          <w:rPr>
            <w:noProof/>
            <w:webHidden/>
          </w:rPr>
          <w:tab/>
        </w:r>
        <w:r>
          <w:rPr>
            <w:noProof/>
            <w:webHidden/>
          </w:rPr>
          <w:fldChar w:fldCharType="begin"/>
        </w:r>
        <w:r>
          <w:rPr>
            <w:noProof/>
            <w:webHidden/>
          </w:rPr>
          <w:instrText xml:space="preserve"> PAGEREF _Toc210982880 \h </w:instrText>
        </w:r>
        <w:r>
          <w:rPr>
            <w:noProof/>
            <w:webHidden/>
          </w:rPr>
        </w:r>
        <w:r>
          <w:rPr>
            <w:noProof/>
            <w:webHidden/>
          </w:rPr>
          <w:fldChar w:fldCharType="separate"/>
        </w:r>
        <w:r>
          <w:rPr>
            <w:noProof/>
            <w:webHidden/>
          </w:rPr>
          <w:t>55</w:t>
        </w:r>
        <w:r>
          <w:rPr>
            <w:noProof/>
            <w:webHidden/>
          </w:rPr>
          <w:fldChar w:fldCharType="end"/>
        </w:r>
      </w:hyperlink>
    </w:p>
    <w:p w14:paraId="5BED736D" w14:textId="6D2055BB" w:rsidR="00BE227F" w:rsidRDefault="00BE227F">
      <w:pPr>
        <w:pStyle w:val="TOC2"/>
        <w:rPr>
          <w:noProof/>
          <w:kern w:val="2"/>
          <w:sz w:val="24"/>
          <w:szCs w:val="24"/>
          <w:lang w:val="hu-HU" w:eastAsia="hu-HU"/>
          <w14:ligatures w14:val="standardContextual"/>
        </w:rPr>
      </w:pPr>
      <w:hyperlink w:anchor="_Toc210982881" w:history="1">
        <w:r w:rsidRPr="00071C7F">
          <w:rPr>
            <w:rStyle w:val="Hyperlink"/>
            <w:noProof/>
          </w:rPr>
          <w:t>II.13.</w:t>
        </w:r>
        <w:r>
          <w:rPr>
            <w:noProof/>
            <w:kern w:val="2"/>
            <w:sz w:val="24"/>
            <w:szCs w:val="24"/>
            <w:lang w:val="hu-HU" w:eastAsia="hu-HU"/>
            <w14:ligatures w14:val="standardContextual"/>
          </w:rPr>
          <w:tab/>
        </w:r>
        <w:r w:rsidRPr="00071C7F">
          <w:rPr>
            <w:rStyle w:val="Hyperlink"/>
            <w:noProof/>
          </w:rPr>
          <w:t>Z 07.01.5 FUNC 1 WF</w:t>
        </w:r>
        <w:r>
          <w:rPr>
            <w:noProof/>
            <w:webHidden/>
          </w:rPr>
          <w:tab/>
        </w:r>
        <w:r>
          <w:rPr>
            <w:noProof/>
            <w:webHidden/>
          </w:rPr>
          <w:fldChar w:fldCharType="begin"/>
        </w:r>
        <w:r>
          <w:rPr>
            <w:noProof/>
            <w:webHidden/>
          </w:rPr>
          <w:instrText xml:space="preserve"> PAGEREF _Toc210982881 \h </w:instrText>
        </w:r>
        <w:r>
          <w:rPr>
            <w:noProof/>
            <w:webHidden/>
          </w:rPr>
        </w:r>
        <w:r>
          <w:rPr>
            <w:noProof/>
            <w:webHidden/>
          </w:rPr>
          <w:fldChar w:fldCharType="separate"/>
        </w:r>
        <w:r>
          <w:rPr>
            <w:noProof/>
            <w:webHidden/>
          </w:rPr>
          <w:t>60</w:t>
        </w:r>
        <w:r>
          <w:rPr>
            <w:noProof/>
            <w:webHidden/>
          </w:rPr>
          <w:fldChar w:fldCharType="end"/>
        </w:r>
      </w:hyperlink>
    </w:p>
    <w:p w14:paraId="3F71F158" w14:textId="34A18B09" w:rsidR="00BE227F" w:rsidRDefault="00BE227F">
      <w:pPr>
        <w:pStyle w:val="TOC2"/>
        <w:rPr>
          <w:noProof/>
          <w:kern w:val="2"/>
          <w:sz w:val="24"/>
          <w:szCs w:val="24"/>
          <w:lang w:val="hu-HU" w:eastAsia="hu-HU"/>
          <w14:ligatures w14:val="standardContextual"/>
        </w:rPr>
      </w:pPr>
      <w:hyperlink w:anchor="_Toc210982882" w:history="1">
        <w:r w:rsidRPr="00071C7F">
          <w:rPr>
            <w:rStyle w:val="Hyperlink"/>
            <w:noProof/>
          </w:rPr>
          <w:t>II.16</w:t>
        </w:r>
        <w:r>
          <w:rPr>
            <w:noProof/>
            <w:kern w:val="2"/>
            <w:sz w:val="24"/>
            <w:szCs w:val="24"/>
            <w:lang w:val="hu-HU" w:eastAsia="hu-HU"/>
            <w14:ligatures w14:val="standardContextual"/>
          </w:rPr>
          <w:tab/>
        </w:r>
        <w:r w:rsidRPr="00071C7F">
          <w:rPr>
            <w:rStyle w:val="Hyperlink"/>
            <w:noProof/>
          </w:rPr>
          <w:t>Z 07.02 – A gazdasági funkciók szervezetekhez való hozzárendelése (FUNC 2)</w:t>
        </w:r>
        <w:r>
          <w:rPr>
            <w:noProof/>
            <w:webHidden/>
          </w:rPr>
          <w:tab/>
        </w:r>
        <w:r>
          <w:rPr>
            <w:noProof/>
            <w:webHidden/>
          </w:rPr>
          <w:fldChar w:fldCharType="begin"/>
        </w:r>
        <w:r>
          <w:rPr>
            <w:noProof/>
            <w:webHidden/>
          </w:rPr>
          <w:instrText xml:space="preserve"> PAGEREF _Toc210982882 \h </w:instrText>
        </w:r>
        <w:r>
          <w:rPr>
            <w:noProof/>
            <w:webHidden/>
          </w:rPr>
        </w:r>
        <w:r>
          <w:rPr>
            <w:noProof/>
            <w:webHidden/>
          </w:rPr>
          <w:fldChar w:fldCharType="separate"/>
        </w:r>
        <w:r>
          <w:rPr>
            <w:noProof/>
            <w:webHidden/>
          </w:rPr>
          <w:t>65</w:t>
        </w:r>
        <w:r>
          <w:rPr>
            <w:noProof/>
            <w:webHidden/>
          </w:rPr>
          <w:fldChar w:fldCharType="end"/>
        </w:r>
      </w:hyperlink>
    </w:p>
    <w:p w14:paraId="11448128" w14:textId="5CE7FBE4" w:rsidR="00BE227F" w:rsidRDefault="00BE227F">
      <w:pPr>
        <w:pStyle w:val="TOC2"/>
        <w:rPr>
          <w:noProof/>
          <w:kern w:val="2"/>
          <w:sz w:val="24"/>
          <w:szCs w:val="24"/>
          <w:lang w:val="hu-HU" w:eastAsia="hu-HU"/>
          <w14:ligatures w14:val="standardContextual"/>
        </w:rPr>
      </w:pPr>
      <w:hyperlink w:anchor="_Toc210982883" w:history="1">
        <w:r w:rsidRPr="00071C7F">
          <w:rPr>
            <w:rStyle w:val="Hyperlink"/>
            <w:noProof/>
          </w:rPr>
          <w:t>II.17</w:t>
        </w:r>
        <w:r>
          <w:rPr>
            <w:noProof/>
            <w:kern w:val="2"/>
            <w:sz w:val="24"/>
            <w:szCs w:val="24"/>
            <w:lang w:val="hu-HU" w:eastAsia="hu-HU"/>
            <w14:ligatures w14:val="standardContextual"/>
          </w:rPr>
          <w:tab/>
        </w:r>
        <w:r w:rsidRPr="00071C7F">
          <w:rPr>
            <w:rStyle w:val="Hyperlink"/>
            <w:noProof/>
          </w:rPr>
          <w:t>Z 07.03 – A fő üzletágak szervezetekhez való hozzárendelése (FUNC 3)</w:t>
        </w:r>
        <w:r>
          <w:rPr>
            <w:noProof/>
            <w:webHidden/>
          </w:rPr>
          <w:tab/>
        </w:r>
        <w:r>
          <w:rPr>
            <w:noProof/>
            <w:webHidden/>
          </w:rPr>
          <w:fldChar w:fldCharType="begin"/>
        </w:r>
        <w:r>
          <w:rPr>
            <w:noProof/>
            <w:webHidden/>
          </w:rPr>
          <w:instrText xml:space="preserve"> PAGEREF _Toc210982883 \h </w:instrText>
        </w:r>
        <w:r>
          <w:rPr>
            <w:noProof/>
            <w:webHidden/>
          </w:rPr>
        </w:r>
        <w:r>
          <w:rPr>
            <w:noProof/>
            <w:webHidden/>
          </w:rPr>
          <w:fldChar w:fldCharType="separate"/>
        </w:r>
        <w:r>
          <w:rPr>
            <w:noProof/>
            <w:webHidden/>
          </w:rPr>
          <w:t>66</w:t>
        </w:r>
        <w:r>
          <w:rPr>
            <w:noProof/>
            <w:webHidden/>
          </w:rPr>
          <w:fldChar w:fldCharType="end"/>
        </w:r>
      </w:hyperlink>
    </w:p>
    <w:p w14:paraId="0C1B9A40" w14:textId="7C89D740" w:rsidR="00BE227F" w:rsidRDefault="00BE227F">
      <w:pPr>
        <w:pStyle w:val="TOC2"/>
        <w:rPr>
          <w:noProof/>
          <w:kern w:val="2"/>
          <w:sz w:val="24"/>
          <w:szCs w:val="24"/>
          <w:lang w:val="hu-HU" w:eastAsia="hu-HU"/>
          <w14:ligatures w14:val="standardContextual"/>
        </w:rPr>
      </w:pPr>
      <w:hyperlink w:anchor="_Toc210982884" w:history="1">
        <w:r w:rsidRPr="00071C7F">
          <w:rPr>
            <w:rStyle w:val="Hyperlink"/>
            <w:noProof/>
          </w:rPr>
          <w:t>II.18</w:t>
        </w:r>
        <w:r>
          <w:rPr>
            <w:noProof/>
            <w:kern w:val="2"/>
            <w:sz w:val="24"/>
            <w:szCs w:val="24"/>
            <w:lang w:val="hu-HU" w:eastAsia="hu-HU"/>
            <w14:ligatures w14:val="standardContextual"/>
          </w:rPr>
          <w:tab/>
        </w:r>
        <w:r w:rsidRPr="00071C7F">
          <w:rPr>
            <w:rStyle w:val="Hyperlink"/>
            <w:noProof/>
          </w:rPr>
          <w:t>Z 07.04 – A kritikus funkciók fő üzletágakhoz való hozzárendelése (FUNC 4)</w:t>
        </w:r>
        <w:r>
          <w:rPr>
            <w:noProof/>
            <w:webHidden/>
          </w:rPr>
          <w:tab/>
        </w:r>
        <w:r>
          <w:rPr>
            <w:noProof/>
            <w:webHidden/>
          </w:rPr>
          <w:fldChar w:fldCharType="begin"/>
        </w:r>
        <w:r>
          <w:rPr>
            <w:noProof/>
            <w:webHidden/>
          </w:rPr>
          <w:instrText xml:space="preserve"> PAGEREF _Toc210982884 \h </w:instrText>
        </w:r>
        <w:r>
          <w:rPr>
            <w:noProof/>
            <w:webHidden/>
          </w:rPr>
        </w:r>
        <w:r>
          <w:rPr>
            <w:noProof/>
            <w:webHidden/>
          </w:rPr>
          <w:fldChar w:fldCharType="separate"/>
        </w:r>
        <w:r>
          <w:rPr>
            <w:noProof/>
            <w:webHidden/>
          </w:rPr>
          <w:t>67</w:t>
        </w:r>
        <w:r>
          <w:rPr>
            <w:noProof/>
            <w:webHidden/>
          </w:rPr>
          <w:fldChar w:fldCharType="end"/>
        </w:r>
      </w:hyperlink>
    </w:p>
    <w:p w14:paraId="19F93E01" w14:textId="3A01E354" w:rsidR="00BE227F" w:rsidRDefault="00BE227F">
      <w:pPr>
        <w:pStyle w:val="TOC2"/>
        <w:rPr>
          <w:noProof/>
          <w:kern w:val="2"/>
          <w:sz w:val="24"/>
          <w:szCs w:val="24"/>
          <w:lang w:val="hu-HU" w:eastAsia="hu-HU"/>
          <w14:ligatures w14:val="standardContextual"/>
        </w:rPr>
      </w:pPr>
      <w:hyperlink w:anchor="_Toc210982885" w:history="1">
        <w:r w:rsidRPr="00071C7F">
          <w:rPr>
            <w:rStyle w:val="Hyperlink"/>
            <w:noProof/>
          </w:rPr>
          <w:t>II.19</w:t>
        </w:r>
        <w:r>
          <w:rPr>
            <w:noProof/>
            <w:kern w:val="2"/>
            <w:sz w:val="24"/>
            <w:szCs w:val="24"/>
            <w:lang w:val="hu-HU" w:eastAsia="hu-HU"/>
            <w14:ligatures w14:val="standardContextual"/>
          </w:rPr>
          <w:tab/>
        </w:r>
        <w:r w:rsidRPr="00071C7F">
          <w:rPr>
            <w:rStyle w:val="Hyperlink"/>
            <w:noProof/>
          </w:rPr>
          <w:t>Releváns szolgáltatások</w:t>
        </w:r>
        <w:r>
          <w:rPr>
            <w:noProof/>
            <w:webHidden/>
          </w:rPr>
          <w:tab/>
        </w:r>
        <w:r>
          <w:rPr>
            <w:noProof/>
            <w:webHidden/>
          </w:rPr>
          <w:fldChar w:fldCharType="begin"/>
        </w:r>
        <w:r>
          <w:rPr>
            <w:noProof/>
            <w:webHidden/>
          </w:rPr>
          <w:instrText xml:space="preserve"> PAGEREF _Toc210982885 \h </w:instrText>
        </w:r>
        <w:r>
          <w:rPr>
            <w:noProof/>
            <w:webHidden/>
          </w:rPr>
        </w:r>
        <w:r>
          <w:rPr>
            <w:noProof/>
            <w:webHidden/>
          </w:rPr>
          <w:fldChar w:fldCharType="separate"/>
        </w:r>
        <w:r>
          <w:rPr>
            <w:noProof/>
            <w:webHidden/>
          </w:rPr>
          <w:t>68</w:t>
        </w:r>
        <w:r>
          <w:rPr>
            <w:noProof/>
            <w:webHidden/>
          </w:rPr>
          <w:fldChar w:fldCharType="end"/>
        </w:r>
      </w:hyperlink>
    </w:p>
    <w:p w14:paraId="09CC5B0C" w14:textId="757748C8" w:rsidR="00BE227F" w:rsidRDefault="00BE227F">
      <w:pPr>
        <w:pStyle w:val="TOC2"/>
        <w:rPr>
          <w:noProof/>
          <w:kern w:val="2"/>
          <w:sz w:val="24"/>
          <w:szCs w:val="24"/>
          <w:lang w:val="hu-HU" w:eastAsia="hu-HU"/>
          <w14:ligatures w14:val="standardContextual"/>
        </w:rPr>
      </w:pPr>
      <w:hyperlink w:anchor="_Toc210982886" w:history="1">
        <w:r w:rsidRPr="00071C7F">
          <w:rPr>
            <w:rStyle w:val="Hyperlink"/>
            <w:rFonts w:eastAsia="Calibri"/>
            <w:noProof/>
          </w:rPr>
          <w:t>II.20</w:t>
        </w:r>
        <w:r>
          <w:rPr>
            <w:noProof/>
            <w:kern w:val="2"/>
            <w:sz w:val="24"/>
            <w:szCs w:val="24"/>
            <w:lang w:val="hu-HU" w:eastAsia="hu-HU"/>
            <w14:ligatures w14:val="standardContextual"/>
          </w:rPr>
          <w:tab/>
        </w:r>
        <w:r w:rsidRPr="00071C7F">
          <w:rPr>
            <w:rStyle w:val="Hyperlink"/>
            <w:noProof/>
          </w:rPr>
          <w:t>Z 08.01 – Releváns szolgáltatások (SERV 1)</w:t>
        </w:r>
        <w:r>
          <w:rPr>
            <w:noProof/>
            <w:webHidden/>
          </w:rPr>
          <w:tab/>
        </w:r>
        <w:r>
          <w:rPr>
            <w:noProof/>
            <w:webHidden/>
          </w:rPr>
          <w:fldChar w:fldCharType="begin"/>
        </w:r>
        <w:r>
          <w:rPr>
            <w:noProof/>
            <w:webHidden/>
          </w:rPr>
          <w:instrText xml:space="preserve"> PAGEREF _Toc210982886 \h </w:instrText>
        </w:r>
        <w:r>
          <w:rPr>
            <w:noProof/>
            <w:webHidden/>
          </w:rPr>
        </w:r>
        <w:r>
          <w:rPr>
            <w:noProof/>
            <w:webHidden/>
          </w:rPr>
          <w:fldChar w:fldCharType="separate"/>
        </w:r>
        <w:r>
          <w:rPr>
            <w:noProof/>
            <w:webHidden/>
          </w:rPr>
          <w:t>68</w:t>
        </w:r>
        <w:r>
          <w:rPr>
            <w:noProof/>
            <w:webHidden/>
          </w:rPr>
          <w:fldChar w:fldCharType="end"/>
        </w:r>
      </w:hyperlink>
    </w:p>
    <w:p w14:paraId="7FCD950D" w14:textId="4C3F78B5" w:rsidR="00BE227F" w:rsidRDefault="00BE227F">
      <w:pPr>
        <w:pStyle w:val="TOC2"/>
        <w:rPr>
          <w:noProof/>
          <w:kern w:val="2"/>
          <w:sz w:val="24"/>
          <w:szCs w:val="24"/>
          <w:lang w:val="hu-HU" w:eastAsia="hu-HU"/>
          <w14:ligatures w14:val="standardContextual"/>
        </w:rPr>
      </w:pPr>
      <w:hyperlink w:anchor="_Toc210982887" w:history="1">
        <w:r w:rsidRPr="00071C7F">
          <w:rPr>
            <w:rStyle w:val="Hyperlink"/>
            <w:noProof/>
          </w:rPr>
          <w:t>II.21</w:t>
        </w:r>
        <w:r>
          <w:rPr>
            <w:noProof/>
            <w:kern w:val="2"/>
            <w:sz w:val="24"/>
            <w:szCs w:val="24"/>
            <w:lang w:val="hu-HU" w:eastAsia="hu-HU"/>
            <w14:ligatures w14:val="standardContextual"/>
          </w:rPr>
          <w:tab/>
        </w:r>
        <w:r w:rsidRPr="00071C7F">
          <w:rPr>
            <w:rStyle w:val="Hyperlink"/>
            <w:noProof/>
          </w:rPr>
          <w:t>Z 08.02 – Releváns szolgáltatások – a működési eszközökhöz való hozzárendelés (SERV 2)</w:t>
        </w:r>
        <w:r>
          <w:rPr>
            <w:noProof/>
            <w:webHidden/>
          </w:rPr>
          <w:tab/>
        </w:r>
        <w:r>
          <w:rPr>
            <w:noProof/>
            <w:webHidden/>
          </w:rPr>
          <w:fldChar w:fldCharType="begin"/>
        </w:r>
        <w:r>
          <w:rPr>
            <w:noProof/>
            <w:webHidden/>
          </w:rPr>
          <w:instrText xml:space="preserve"> PAGEREF _Toc210982887 \h </w:instrText>
        </w:r>
        <w:r>
          <w:rPr>
            <w:noProof/>
            <w:webHidden/>
          </w:rPr>
        </w:r>
        <w:r>
          <w:rPr>
            <w:noProof/>
            <w:webHidden/>
          </w:rPr>
          <w:fldChar w:fldCharType="separate"/>
        </w:r>
        <w:r>
          <w:rPr>
            <w:noProof/>
            <w:webHidden/>
          </w:rPr>
          <w:t>74</w:t>
        </w:r>
        <w:r>
          <w:rPr>
            <w:noProof/>
            <w:webHidden/>
          </w:rPr>
          <w:fldChar w:fldCharType="end"/>
        </w:r>
      </w:hyperlink>
    </w:p>
    <w:p w14:paraId="0CDC0EAF" w14:textId="7FEAD084" w:rsidR="00BE227F" w:rsidRDefault="00BE227F">
      <w:pPr>
        <w:pStyle w:val="TOC2"/>
        <w:rPr>
          <w:noProof/>
          <w:kern w:val="2"/>
          <w:sz w:val="24"/>
          <w:szCs w:val="24"/>
          <w:lang w:val="hu-HU" w:eastAsia="hu-HU"/>
          <w14:ligatures w14:val="standardContextual"/>
        </w:rPr>
      </w:pPr>
      <w:hyperlink w:anchor="_Toc210982888" w:history="1">
        <w:r w:rsidRPr="00071C7F">
          <w:rPr>
            <w:rStyle w:val="Hyperlink"/>
            <w:rFonts w:eastAsia="Calibri"/>
            <w:noProof/>
          </w:rPr>
          <w:t>II.22</w:t>
        </w:r>
        <w:r>
          <w:rPr>
            <w:noProof/>
            <w:kern w:val="2"/>
            <w:sz w:val="24"/>
            <w:szCs w:val="24"/>
            <w:lang w:val="hu-HU" w:eastAsia="hu-HU"/>
            <w14:ligatures w14:val="standardContextual"/>
          </w:rPr>
          <w:tab/>
        </w:r>
        <w:r w:rsidRPr="00071C7F">
          <w:rPr>
            <w:rStyle w:val="Hyperlink"/>
            <w:noProof/>
          </w:rPr>
          <w:t>Z 08.03 – Releváns szolgáltatások – a szerepek hozzárendelése (SERV 3)</w:t>
        </w:r>
        <w:r>
          <w:rPr>
            <w:noProof/>
            <w:webHidden/>
          </w:rPr>
          <w:tab/>
        </w:r>
        <w:r>
          <w:rPr>
            <w:noProof/>
            <w:webHidden/>
          </w:rPr>
          <w:fldChar w:fldCharType="begin"/>
        </w:r>
        <w:r>
          <w:rPr>
            <w:noProof/>
            <w:webHidden/>
          </w:rPr>
          <w:instrText xml:space="preserve"> PAGEREF _Toc210982888 \h </w:instrText>
        </w:r>
        <w:r>
          <w:rPr>
            <w:noProof/>
            <w:webHidden/>
          </w:rPr>
        </w:r>
        <w:r>
          <w:rPr>
            <w:noProof/>
            <w:webHidden/>
          </w:rPr>
          <w:fldChar w:fldCharType="separate"/>
        </w:r>
        <w:r>
          <w:rPr>
            <w:noProof/>
            <w:webHidden/>
          </w:rPr>
          <w:t>77</w:t>
        </w:r>
        <w:r>
          <w:rPr>
            <w:noProof/>
            <w:webHidden/>
          </w:rPr>
          <w:fldChar w:fldCharType="end"/>
        </w:r>
      </w:hyperlink>
    </w:p>
    <w:p w14:paraId="712C05E5" w14:textId="51FDEFAB" w:rsidR="00BE227F" w:rsidRDefault="00BE227F">
      <w:pPr>
        <w:pStyle w:val="TOC2"/>
        <w:rPr>
          <w:noProof/>
          <w:kern w:val="2"/>
          <w:sz w:val="24"/>
          <w:szCs w:val="24"/>
          <w:lang w:val="hu-HU" w:eastAsia="hu-HU"/>
          <w14:ligatures w14:val="standardContextual"/>
        </w:rPr>
      </w:pPr>
      <w:hyperlink w:anchor="_Toc210982889" w:history="1">
        <w:r w:rsidRPr="00071C7F">
          <w:rPr>
            <w:rStyle w:val="Hyperlink"/>
            <w:rFonts w:eastAsia="Calibri"/>
            <w:noProof/>
          </w:rPr>
          <w:t>II.23</w:t>
        </w:r>
        <w:r>
          <w:rPr>
            <w:noProof/>
            <w:kern w:val="2"/>
            <w:sz w:val="24"/>
            <w:szCs w:val="24"/>
            <w:lang w:val="hu-HU" w:eastAsia="hu-HU"/>
            <w14:ligatures w14:val="standardContextual"/>
          </w:rPr>
          <w:tab/>
        </w:r>
        <w:r w:rsidRPr="00071C7F">
          <w:rPr>
            <w:rStyle w:val="Hyperlink"/>
            <w:noProof/>
          </w:rPr>
          <w:t>Z 08.04 – Kritikus szolgáltatások – a kritikus funkciókhoz való hozzárendelés (SERV 4)</w:t>
        </w:r>
        <w:r>
          <w:rPr>
            <w:noProof/>
            <w:webHidden/>
          </w:rPr>
          <w:tab/>
        </w:r>
        <w:r>
          <w:rPr>
            <w:noProof/>
            <w:webHidden/>
          </w:rPr>
          <w:fldChar w:fldCharType="begin"/>
        </w:r>
        <w:r>
          <w:rPr>
            <w:noProof/>
            <w:webHidden/>
          </w:rPr>
          <w:instrText xml:space="preserve"> PAGEREF _Toc210982889 \h </w:instrText>
        </w:r>
        <w:r>
          <w:rPr>
            <w:noProof/>
            <w:webHidden/>
          </w:rPr>
        </w:r>
        <w:r>
          <w:rPr>
            <w:noProof/>
            <w:webHidden/>
          </w:rPr>
          <w:fldChar w:fldCharType="separate"/>
        </w:r>
        <w:r>
          <w:rPr>
            <w:noProof/>
            <w:webHidden/>
          </w:rPr>
          <w:t>78</w:t>
        </w:r>
        <w:r>
          <w:rPr>
            <w:noProof/>
            <w:webHidden/>
          </w:rPr>
          <w:fldChar w:fldCharType="end"/>
        </w:r>
      </w:hyperlink>
    </w:p>
    <w:p w14:paraId="40EB167B" w14:textId="4CD73C05" w:rsidR="00BE227F" w:rsidRDefault="00BE227F">
      <w:pPr>
        <w:pStyle w:val="TOC2"/>
        <w:rPr>
          <w:noProof/>
          <w:kern w:val="2"/>
          <w:sz w:val="24"/>
          <w:szCs w:val="24"/>
          <w:lang w:val="hu-HU" w:eastAsia="hu-HU"/>
          <w14:ligatures w14:val="standardContextual"/>
        </w:rPr>
      </w:pPr>
      <w:hyperlink w:anchor="_Toc210982890" w:history="1">
        <w:r w:rsidRPr="00071C7F">
          <w:rPr>
            <w:rStyle w:val="Hyperlink"/>
            <w:noProof/>
          </w:rPr>
          <w:t>Általános útmutatások</w:t>
        </w:r>
        <w:r>
          <w:rPr>
            <w:noProof/>
            <w:webHidden/>
          </w:rPr>
          <w:tab/>
        </w:r>
        <w:r>
          <w:rPr>
            <w:noProof/>
            <w:webHidden/>
          </w:rPr>
          <w:fldChar w:fldCharType="begin"/>
        </w:r>
        <w:r>
          <w:rPr>
            <w:noProof/>
            <w:webHidden/>
          </w:rPr>
          <w:instrText xml:space="preserve"> PAGEREF _Toc210982890 \h </w:instrText>
        </w:r>
        <w:r>
          <w:rPr>
            <w:noProof/>
            <w:webHidden/>
          </w:rPr>
        </w:r>
        <w:r>
          <w:rPr>
            <w:noProof/>
            <w:webHidden/>
          </w:rPr>
          <w:fldChar w:fldCharType="separate"/>
        </w:r>
        <w:r>
          <w:rPr>
            <w:noProof/>
            <w:webHidden/>
          </w:rPr>
          <w:t>78</w:t>
        </w:r>
        <w:r>
          <w:rPr>
            <w:noProof/>
            <w:webHidden/>
          </w:rPr>
          <w:fldChar w:fldCharType="end"/>
        </w:r>
      </w:hyperlink>
    </w:p>
    <w:p w14:paraId="15CA42EE" w14:textId="0FF724CE" w:rsidR="00BE227F" w:rsidRDefault="00BE227F">
      <w:pPr>
        <w:pStyle w:val="TOC2"/>
        <w:rPr>
          <w:noProof/>
          <w:kern w:val="2"/>
          <w:sz w:val="24"/>
          <w:szCs w:val="24"/>
          <w:lang w:val="hu-HU" w:eastAsia="hu-HU"/>
          <w14:ligatures w14:val="standardContextual"/>
        </w:rPr>
      </w:pPr>
      <w:hyperlink w:anchor="_Toc210982891" w:history="1">
        <w:r w:rsidRPr="00071C7F">
          <w:rPr>
            <w:rStyle w:val="Hyperlink"/>
            <w:rFonts w:eastAsia="Calibri"/>
            <w:noProof/>
          </w:rPr>
          <w:t>II.24</w:t>
        </w:r>
        <w:r>
          <w:rPr>
            <w:noProof/>
            <w:kern w:val="2"/>
            <w:sz w:val="24"/>
            <w:szCs w:val="24"/>
            <w:lang w:val="hu-HU" w:eastAsia="hu-HU"/>
            <w14:ligatures w14:val="standardContextual"/>
          </w:rPr>
          <w:tab/>
        </w:r>
        <w:r w:rsidRPr="00071C7F">
          <w:rPr>
            <w:rStyle w:val="Hyperlink"/>
            <w:noProof/>
          </w:rPr>
          <w:t>Z 08.05 – Alapvető szolgáltatások – a fő üzletágakhoz való hozzárendelés (SERV 5)</w:t>
        </w:r>
        <w:r>
          <w:rPr>
            <w:noProof/>
            <w:webHidden/>
          </w:rPr>
          <w:tab/>
        </w:r>
        <w:r>
          <w:rPr>
            <w:noProof/>
            <w:webHidden/>
          </w:rPr>
          <w:fldChar w:fldCharType="begin"/>
        </w:r>
        <w:r>
          <w:rPr>
            <w:noProof/>
            <w:webHidden/>
          </w:rPr>
          <w:instrText xml:space="preserve"> PAGEREF _Toc210982891 \h </w:instrText>
        </w:r>
        <w:r>
          <w:rPr>
            <w:noProof/>
            <w:webHidden/>
          </w:rPr>
        </w:r>
        <w:r>
          <w:rPr>
            <w:noProof/>
            <w:webHidden/>
          </w:rPr>
          <w:fldChar w:fldCharType="separate"/>
        </w:r>
        <w:r>
          <w:rPr>
            <w:noProof/>
            <w:webHidden/>
          </w:rPr>
          <w:t>79</w:t>
        </w:r>
        <w:r>
          <w:rPr>
            <w:noProof/>
            <w:webHidden/>
          </w:rPr>
          <w:fldChar w:fldCharType="end"/>
        </w:r>
      </w:hyperlink>
    </w:p>
    <w:p w14:paraId="0B765A90" w14:textId="0A4AF08F" w:rsidR="00BE227F" w:rsidRDefault="00BE227F">
      <w:pPr>
        <w:pStyle w:val="TOC2"/>
        <w:rPr>
          <w:noProof/>
          <w:kern w:val="2"/>
          <w:sz w:val="24"/>
          <w:szCs w:val="24"/>
          <w:lang w:val="hu-HU" w:eastAsia="hu-HU"/>
          <w14:ligatures w14:val="standardContextual"/>
        </w:rPr>
      </w:pPr>
      <w:hyperlink w:anchor="_Toc210982892" w:history="1">
        <w:r w:rsidRPr="00071C7F">
          <w:rPr>
            <w:rStyle w:val="Hyperlink"/>
            <w:noProof/>
          </w:rPr>
          <w:t>II.25</w:t>
        </w:r>
        <w:r>
          <w:rPr>
            <w:noProof/>
            <w:kern w:val="2"/>
            <w:sz w:val="24"/>
            <w:szCs w:val="24"/>
            <w:lang w:val="hu-HU" w:eastAsia="hu-HU"/>
            <w14:ligatures w14:val="standardContextual"/>
          </w:rPr>
          <w:tab/>
        </w:r>
        <w:r w:rsidRPr="00071C7F">
          <w:rPr>
            <w:rStyle w:val="Hyperlink"/>
            <w:noProof/>
          </w:rPr>
          <w:t>Pénzügyi piaci infrastrukturális szolgáltatások</w:t>
        </w:r>
        <w:r>
          <w:rPr>
            <w:noProof/>
            <w:webHidden/>
          </w:rPr>
          <w:tab/>
        </w:r>
        <w:r>
          <w:rPr>
            <w:noProof/>
            <w:webHidden/>
          </w:rPr>
          <w:fldChar w:fldCharType="begin"/>
        </w:r>
        <w:r>
          <w:rPr>
            <w:noProof/>
            <w:webHidden/>
          </w:rPr>
          <w:instrText xml:space="preserve"> PAGEREF _Toc210982892 \h </w:instrText>
        </w:r>
        <w:r>
          <w:rPr>
            <w:noProof/>
            <w:webHidden/>
          </w:rPr>
        </w:r>
        <w:r>
          <w:rPr>
            <w:noProof/>
            <w:webHidden/>
          </w:rPr>
          <w:fldChar w:fldCharType="separate"/>
        </w:r>
        <w:r>
          <w:rPr>
            <w:noProof/>
            <w:webHidden/>
          </w:rPr>
          <w:t>80</w:t>
        </w:r>
        <w:r>
          <w:rPr>
            <w:noProof/>
            <w:webHidden/>
          </w:rPr>
          <w:fldChar w:fldCharType="end"/>
        </w:r>
      </w:hyperlink>
    </w:p>
    <w:p w14:paraId="567CFF55" w14:textId="609421DD" w:rsidR="00BE227F" w:rsidRDefault="00BE227F">
      <w:pPr>
        <w:pStyle w:val="TOC2"/>
        <w:rPr>
          <w:noProof/>
          <w:kern w:val="2"/>
          <w:sz w:val="24"/>
          <w:szCs w:val="24"/>
          <w:lang w:val="hu-HU" w:eastAsia="hu-HU"/>
          <w14:ligatures w14:val="standardContextual"/>
        </w:rPr>
      </w:pPr>
      <w:hyperlink w:anchor="_Toc210982893" w:history="1">
        <w:r w:rsidRPr="00071C7F">
          <w:rPr>
            <w:rStyle w:val="Hyperlink"/>
            <w:noProof/>
          </w:rPr>
          <w:t>II.26</w:t>
        </w:r>
        <w:r>
          <w:rPr>
            <w:noProof/>
            <w:kern w:val="2"/>
            <w:sz w:val="24"/>
            <w:szCs w:val="24"/>
            <w:lang w:val="hu-HU" w:eastAsia="hu-HU"/>
            <w14:ligatures w14:val="standardContextual"/>
          </w:rPr>
          <w:tab/>
        </w:r>
        <w:r w:rsidRPr="00071C7F">
          <w:rPr>
            <w:rStyle w:val="Hyperlink"/>
            <w:noProof/>
          </w:rPr>
          <w:t>Z 09.01 – Pénzügyi piaci infrastrukturális szolgáltatások – Szolgáltatók és felhasználók (FMI 1)</w:t>
        </w:r>
        <w:r>
          <w:rPr>
            <w:noProof/>
            <w:webHidden/>
          </w:rPr>
          <w:tab/>
        </w:r>
        <w:r>
          <w:rPr>
            <w:noProof/>
            <w:webHidden/>
          </w:rPr>
          <w:fldChar w:fldCharType="begin"/>
        </w:r>
        <w:r>
          <w:rPr>
            <w:noProof/>
            <w:webHidden/>
          </w:rPr>
          <w:instrText xml:space="preserve"> PAGEREF _Toc210982893 \h </w:instrText>
        </w:r>
        <w:r>
          <w:rPr>
            <w:noProof/>
            <w:webHidden/>
          </w:rPr>
        </w:r>
        <w:r>
          <w:rPr>
            <w:noProof/>
            <w:webHidden/>
          </w:rPr>
          <w:fldChar w:fldCharType="separate"/>
        </w:r>
        <w:r>
          <w:rPr>
            <w:noProof/>
            <w:webHidden/>
          </w:rPr>
          <w:t>80</w:t>
        </w:r>
        <w:r>
          <w:rPr>
            <w:noProof/>
            <w:webHidden/>
          </w:rPr>
          <w:fldChar w:fldCharType="end"/>
        </w:r>
      </w:hyperlink>
    </w:p>
    <w:p w14:paraId="145C427D" w14:textId="7E6BE4A5" w:rsidR="00BE227F" w:rsidRDefault="00BE227F">
      <w:pPr>
        <w:pStyle w:val="TOC2"/>
        <w:rPr>
          <w:noProof/>
          <w:kern w:val="2"/>
          <w:sz w:val="24"/>
          <w:szCs w:val="24"/>
          <w:lang w:val="hu-HU" w:eastAsia="hu-HU"/>
          <w14:ligatures w14:val="standardContextual"/>
        </w:rPr>
      </w:pPr>
      <w:hyperlink w:anchor="_Toc210982894" w:history="1">
        <w:r w:rsidRPr="00071C7F">
          <w:rPr>
            <w:rStyle w:val="Hyperlink"/>
            <w:rFonts w:eastAsia="Calibri"/>
            <w:noProof/>
          </w:rPr>
          <w:t>II.27</w:t>
        </w:r>
        <w:r>
          <w:rPr>
            <w:noProof/>
            <w:kern w:val="2"/>
            <w:sz w:val="24"/>
            <w:szCs w:val="24"/>
            <w:lang w:val="hu-HU" w:eastAsia="hu-HU"/>
            <w14:ligatures w14:val="standardContextual"/>
          </w:rPr>
          <w:tab/>
        </w:r>
        <w:r w:rsidRPr="00071C7F">
          <w:rPr>
            <w:rStyle w:val="Hyperlink"/>
            <w:noProof/>
          </w:rPr>
          <w:t>Z 09.02 – A kritikus és alapvető pénzügyi piaci infrastruktúrák feltérképezése (2. FMI)</w:t>
        </w:r>
        <w:r>
          <w:rPr>
            <w:noProof/>
            <w:webHidden/>
          </w:rPr>
          <w:tab/>
        </w:r>
        <w:r>
          <w:rPr>
            <w:noProof/>
            <w:webHidden/>
          </w:rPr>
          <w:fldChar w:fldCharType="begin"/>
        </w:r>
        <w:r>
          <w:rPr>
            <w:noProof/>
            <w:webHidden/>
          </w:rPr>
          <w:instrText xml:space="preserve"> PAGEREF _Toc210982894 \h </w:instrText>
        </w:r>
        <w:r>
          <w:rPr>
            <w:noProof/>
            <w:webHidden/>
          </w:rPr>
        </w:r>
        <w:r>
          <w:rPr>
            <w:noProof/>
            <w:webHidden/>
          </w:rPr>
          <w:fldChar w:fldCharType="separate"/>
        </w:r>
        <w:r>
          <w:rPr>
            <w:noProof/>
            <w:webHidden/>
          </w:rPr>
          <w:t>84</w:t>
        </w:r>
        <w:r>
          <w:rPr>
            <w:noProof/>
            <w:webHidden/>
          </w:rPr>
          <w:fldChar w:fldCharType="end"/>
        </w:r>
      </w:hyperlink>
    </w:p>
    <w:p w14:paraId="326F6A63" w14:textId="5F7D1160" w:rsidR="00BE227F" w:rsidRDefault="00BE227F">
      <w:pPr>
        <w:pStyle w:val="TOC2"/>
        <w:rPr>
          <w:noProof/>
          <w:kern w:val="2"/>
          <w:sz w:val="24"/>
          <w:szCs w:val="24"/>
          <w:lang w:val="hu-HU" w:eastAsia="hu-HU"/>
          <w14:ligatures w14:val="standardContextual"/>
        </w:rPr>
      </w:pPr>
      <w:hyperlink w:anchor="_Toc210982895" w:history="1">
        <w:r w:rsidRPr="00071C7F">
          <w:rPr>
            <w:rStyle w:val="Hyperlink"/>
            <w:noProof/>
          </w:rPr>
          <w:t>II.28</w:t>
        </w:r>
        <w:r>
          <w:rPr>
            <w:noProof/>
            <w:kern w:val="2"/>
            <w:sz w:val="24"/>
            <w:szCs w:val="24"/>
            <w:lang w:val="hu-HU" w:eastAsia="hu-HU"/>
            <w14:ligatures w14:val="standardContextual"/>
          </w:rPr>
          <w:tab/>
        </w:r>
        <w:r w:rsidRPr="00071C7F">
          <w:rPr>
            <w:rStyle w:val="Hyperlink"/>
            <w:noProof/>
          </w:rPr>
          <w:t>Z 09.03 – Pénzügyi piaci infrastrukturális szolgáltatások – Kulcsmutatók (3. FMI)</w:t>
        </w:r>
        <w:r>
          <w:rPr>
            <w:noProof/>
            <w:webHidden/>
          </w:rPr>
          <w:tab/>
        </w:r>
        <w:r>
          <w:rPr>
            <w:noProof/>
            <w:webHidden/>
          </w:rPr>
          <w:fldChar w:fldCharType="begin"/>
        </w:r>
        <w:r>
          <w:rPr>
            <w:noProof/>
            <w:webHidden/>
          </w:rPr>
          <w:instrText xml:space="preserve"> PAGEREF _Toc210982895 \h </w:instrText>
        </w:r>
        <w:r>
          <w:rPr>
            <w:noProof/>
            <w:webHidden/>
          </w:rPr>
        </w:r>
        <w:r>
          <w:rPr>
            <w:noProof/>
            <w:webHidden/>
          </w:rPr>
          <w:fldChar w:fldCharType="separate"/>
        </w:r>
        <w:r>
          <w:rPr>
            <w:noProof/>
            <w:webHidden/>
          </w:rPr>
          <w:t>86</w:t>
        </w:r>
        <w:r>
          <w:rPr>
            <w:noProof/>
            <w:webHidden/>
          </w:rPr>
          <w:fldChar w:fldCharType="end"/>
        </w:r>
      </w:hyperlink>
    </w:p>
    <w:p w14:paraId="77511B8C" w14:textId="645A4DC7" w:rsidR="00BE227F" w:rsidRDefault="00BE227F">
      <w:pPr>
        <w:pStyle w:val="TOC2"/>
        <w:rPr>
          <w:noProof/>
          <w:kern w:val="2"/>
          <w:sz w:val="24"/>
          <w:szCs w:val="24"/>
          <w:lang w:val="hu-HU" w:eastAsia="hu-HU"/>
          <w14:ligatures w14:val="standardContextual"/>
        </w:rPr>
      </w:pPr>
      <w:hyperlink w:anchor="_Toc210982896" w:history="1">
        <w:r w:rsidRPr="00071C7F">
          <w:rPr>
            <w:rStyle w:val="Hyperlink"/>
            <w:noProof/>
          </w:rPr>
          <w:t>II.29</w:t>
        </w:r>
        <w:r>
          <w:rPr>
            <w:noProof/>
            <w:kern w:val="2"/>
            <w:sz w:val="24"/>
            <w:szCs w:val="24"/>
            <w:lang w:val="hu-HU" w:eastAsia="hu-HU"/>
            <w14:ligatures w14:val="standardContextual"/>
          </w:rPr>
          <w:tab/>
        </w:r>
        <w:r w:rsidRPr="00071C7F">
          <w:rPr>
            <w:rStyle w:val="Hyperlink"/>
            <w:noProof/>
          </w:rPr>
          <w:t>Z 09.04 – Pénzügyi piaci infrastrukturális szolgáltatások – Központi szerződő felek –Alternatív szolgáltatók (FMI 4)</w:t>
        </w:r>
        <w:r>
          <w:rPr>
            <w:noProof/>
            <w:webHidden/>
          </w:rPr>
          <w:tab/>
        </w:r>
        <w:r>
          <w:rPr>
            <w:noProof/>
            <w:webHidden/>
          </w:rPr>
          <w:fldChar w:fldCharType="begin"/>
        </w:r>
        <w:r>
          <w:rPr>
            <w:noProof/>
            <w:webHidden/>
          </w:rPr>
          <w:instrText xml:space="preserve"> PAGEREF _Toc210982896 \h </w:instrText>
        </w:r>
        <w:r>
          <w:rPr>
            <w:noProof/>
            <w:webHidden/>
          </w:rPr>
        </w:r>
        <w:r>
          <w:rPr>
            <w:noProof/>
            <w:webHidden/>
          </w:rPr>
          <w:fldChar w:fldCharType="separate"/>
        </w:r>
        <w:r>
          <w:rPr>
            <w:noProof/>
            <w:webHidden/>
          </w:rPr>
          <w:t>88</w:t>
        </w:r>
        <w:r>
          <w:rPr>
            <w:noProof/>
            <w:webHidden/>
          </w:rPr>
          <w:fldChar w:fldCharType="end"/>
        </w:r>
      </w:hyperlink>
    </w:p>
    <w:p w14:paraId="7D9AC3EA" w14:textId="6E9CD5A9" w:rsidR="00BE227F" w:rsidRDefault="00BE227F">
      <w:pPr>
        <w:pStyle w:val="TOC2"/>
        <w:rPr>
          <w:noProof/>
          <w:kern w:val="2"/>
          <w:sz w:val="24"/>
          <w:szCs w:val="24"/>
          <w:lang w:val="hu-HU" w:eastAsia="hu-HU"/>
          <w14:ligatures w14:val="standardContextual"/>
        </w:rPr>
      </w:pPr>
      <w:hyperlink w:anchor="_Toc210982897" w:history="1">
        <w:r w:rsidRPr="00071C7F">
          <w:rPr>
            <w:rStyle w:val="Hyperlink"/>
            <w:noProof/>
          </w:rPr>
          <w:t>II.30</w:t>
        </w:r>
        <w:r>
          <w:rPr>
            <w:noProof/>
            <w:kern w:val="2"/>
            <w:sz w:val="24"/>
            <w:szCs w:val="24"/>
            <w:lang w:val="hu-HU" w:eastAsia="hu-HU"/>
            <w14:ligatures w14:val="standardContextual"/>
          </w:rPr>
          <w:tab/>
        </w:r>
        <w:r w:rsidRPr="00071C7F">
          <w:rPr>
            <w:rStyle w:val="Hyperlink"/>
            <w:noProof/>
          </w:rPr>
          <w:t>Kötelezettségek elemzése</w:t>
        </w:r>
        <w:r>
          <w:rPr>
            <w:noProof/>
            <w:webHidden/>
          </w:rPr>
          <w:tab/>
        </w:r>
        <w:r>
          <w:rPr>
            <w:noProof/>
            <w:webHidden/>
          </w:rPr>
          <w:fldChar w:fldCharType="begin"/>
        </w:r>
        <w:r>
          <w:rPr>
            <w:noProof/>
            <w:webHidden/>
          </w:rPr>
          <w:instrText xml:space="preserve"> PAGEREF _Toc210982897 \h </w:instrText>
        </w:r>
        <w:r>
          <w:rPr>
            <w:noProof/>
            <w:webHidden/>
          </w:rPr>
        </w:r>
        <w:r>
          <w:rPr>
            <w:noProof/>
            <w:webHidden/>
          </w:rPr>
          <w:fldChar w:fldCharType="separate"/>
        </w:r>
        <w:r>
          <w:rPr>
            <w:noProof/>
            <w:webHidden/>
          </w:rPr>
          <w:t>89</w:t>
        </w:r>
        <w:r>
          <w:rPr>
            <w:noProof/>
            <w:webHidden/>
          </w:rPr>
          <w:fldChar w:fldCharType="end"/>
        </w:r>
      </w:hyperlink>
    </w:p>
    <w:p w14:paraId="355AE42A" w14:textId="4CB2F308" w:rsidR="00BE227F" w:rsidRDefault="00BE227F">
      <w:pPr>
        <w:pStyle w:val="TOC2"/>
        <w:rPr>
          <w:noProof/>
          <w:kern w:val="2"/>
          <w:sz w:val="24"/>
          <w:szCs w:val="24"/>
          <w:lang w:val="hu-HU" w:eastAsia="hu-HU"/>
          <w14:ligatures w14:val="standardContextual"/>
        </w:rPr>
      </w:pPr>
      <w:hyperlink w:anchor="_Toc210982898" w:history="1">
        <w:r w:rsidRPr="00071C7F">
          <w:rPr>
            <w:rStyle w:val="Hyperlink"/>
            <w:rFonts w:ascii="Times New Roman" w:hAnsi="Times New Roman" w:cs="Times New Roman"/>
            <w:noProof/>
          </w:rPr>
          <w:t>II.31</w:t>
        </w:r>
        <w:r>
          <w:rPr>
            <w:noProof/>
            <w:kern w:val="2"/>
            <w:sz w:val="24"/>
            <w:szCs w:val="24"/>
            <w:lang w:val="hu-HU" w:eastAsia="hu-HU"/>
            <w14:ligatures w14:val="standardContextual"/>
          </w:rPr>
          <w:tab/>
        </w:r>
        <w:r w:rsidRPr="00071C7F">
          <w:rPr>
            <w:rStyle w:val="Hyperlink"/>
            <w:rFonts w:ascii="Times New Roman" w:hAnsi="Times New Roman" w:cs="Times New Roman"/>
            <w:noProof/>
          </w:rPr>
          <w:t>Z 11.00 Csoporton belüli kötelezettségek</w:t>
        </w:r>
        <w:r w:rsidRPr="00071C7F">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_Toc210982898 \h </w:instrText>
        </w:r>
        <w:r>
          <w:rPr>
            <w:noProof/>
            <w:webHidden/>
          </w:rPr>
        </w:r>
        <w:r>
          <w:rPr>
            <w:noProof/>
            <w:webHidden/>
          </w:rPr>
          <w:fldChar w:fldCharType="separate"/>
        </w:r>
        <w:r>
          <w:rPr>
            <w:noProof/>
            <w:webHidden/>
          </w:rPr>
          <w:t>89</w:t>
        </w:r>
        <w:r>
          <w:rPr>
            <w:noProof/>
            <w:webHidden/>
          </w:rPr>
          <w:fldChar w:fldCharType="end"/>
        </w:r>
      </w:hyperlink>
    </w:p>
    <w:p w14:paraId="7AEFF858" w14:textId="03C68652" w:rsidR="00BE227F" w:rsidRDefault="00BE227F">
      <w:pPr>
        <w:pStyle w:val="TOC2"/>
        <w:rPr>
          <w:noProof/>
          <w:kern w:val="2"/>
          <w:sz w:val="24"/>
          <w:szCs w:val="24"/>
          <w:lang w:val="hu-HU" w:eastAsia="hu-HU"/>
          <w14:ligatures w14:val="standardContextual"/>
        </w:rPr>
      </w:pPr>
      <w:hyperlink w:anchor="_Toc210982899" w:history="1">
        <w:r w:rsidRPr="00071C7F">
          <w:rPr>
            <w:rStyle w:val="Hyperlink"/>
            <w:rFonts w:ascii="Times New Roman" w:hAnsi="Times New Roman" w:cs="Times New Roman"/>
            <w:noProof/>
          </w:rPr>
          <w:t>II.32</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12.00 – </w:t>
        </w:r>
        <w:r w:rsidRPr="00071C7F">
          <w:rPr>
            <w:rStyle w:val="Hyperlink"/>
            <w:rFonts w:ascii="Times New Roman" w:eastAsia="Cambria" w:hAnsi="Times New Roman" w:cs="Times New Roman"/>
            <w:noProof/>
          </w:rPr>
          <w:t xml:space="preserve">Értékpapírok (beleértve a CET1, AT1 és járulékos tőkeinstrumentumokat; csoporton belüli kivételével) </w:t>
        </w:r>
        <w:r w:rsidRPr="00071C7F">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_Toc210982899 \h </w:instrText>
        </w:r>
        <w:r>
          <w:rPr>
            <w:noProof/>
            <w:webHidden/>
          </w:rPr>
        </w:r>
        <w:r>
          <w:rPr>
            <w:noProof/>
            <w:webHidden/>
          </w:rPr>
          <w:fldChar w:fldCharType="separate"/>
        </w:r>
        <w:r>
          <w:rPr>
            <w:noProof/>
            <w:webHidden/>
          </w:rPr>
          <w:t>91</w:t>
        </w:r>
        <w:r>
          <w:rPr>
            <w:noProof/>
            <w:webHidden/>
          </w:rPr>
          <w:fldChar w:fldCharType="end"/>
        </w:r>
      </w:hyperlink>
    </w:p>
    <w:p w14:paraId="6317470C" w14:textId="47BF97A1" w:rsidR="00BE227F" w:rsidRDefault="00BE227F">
      <w:pPr>
        <w:pStyle w:val="TOC2"/>
        <w:rPr>
          <w:noProof/>
          <w:kern w:val="2"/>
          <w:sz w:val="24"/>
          <w:szCs w:val="24"/>
          <w:lang w:val="hu-HU" w:eastAsia="hu-HU"/>
          <w14:ligatures w14:val="standardContextual"/>
        </w:rPr>
      </w:pPr>
      <w:hyperlink w:anchor="_Toc210982900" w:history="1">
        <w:r w:rsidRPr="00071C7F">
          <w:rPr>
            <w:rStyle w:val="Hyperlink"/>
            <w:rFonts w:ascii="Times New Roman" w:hAnsi="Times New Roman" w:cs="Times New Roman"/>
            <w:noProof/>
          </w:rPr>
          <w:t>II.33</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13.00 – Összes betét (a csoporton belüli kivételével) </w:t>
        </w:r>
        <w:r w:rsidRPr="00071C7F">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_Toc210982900 \h </w:instrText>
        </w:r>
        <w:r>
          <w:rPr>
            <w:noProof/>
            <w:webHidden/>
          </w:rPr>
        </w:r>
        <w:r>
          <w:rPr>
            <w:noProof/>
            <w:webHidden/>
          </w:rPr>
          <w:fldChar w:fldCharType="separate"/>
        </w:r>
        <w:r>
          <w:rPr>
            <w:noProof/>
            <w:webHidden/>
          </w:rPr>
          <w:t>96</w:t>
        </w:r>
        <w:r>
          <w:rPr>
            <w:noProof/>
            <w:webHidden/>
          </w:rPr>
          <w:fldChar w:fldCharType="end"/>
        </w:r>
      </w:hyperlink>
    </w:p>
    <w:p w14:paraId="0F0D7399" w14:textId="5EBED219" w:rsidR="00BE227F" w:rsidRDefault="00BE227F">
      <w:pPr>
        <w:pStyle w:val="TOC2"/>
        <w:rPr>
          <w:noProof/>
          <w:kern w:val="2"/>
          <w:sz w:val="24"/>
          <w:szCs w:val="24"/>
          <w:lang w:val="hu-HU" w:eastAsia="hu-HU"/>
          <w14:ligatures w14:val="standardContextual"/>
        </w:rPr>
      </w:pPr>
      <w:hyperlink w:anchor="_Toc210982901" w:history="1">
        <w:r w:rsidRPr="00071C7F">
          <w:rPr>
            <w:rStyle w:val="Hyperlink"/>
            <w:rFonts w:ascii="Times New Roman" w:hAnsi="Times New Roman" w:cs="Times New Roman"/>
            <w:noProof/>
          </w:rPr>
          <w:t>II.34</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14.00 – Egyéb pénzügyi kötelezettségek (nem szerepelnek más füleken, kivéve a csoporton belüli kötelezettségek) </w:t>
        </w:r>
        <w:r w:rsidRPr="00071C7F">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_Toc210982901 \h </w:instrText>
        </w:r>
        <w:r>
          <w:rPr>
            <w:noProof/>
            <w:webHidden/>
          </w:rPr>
        </w:r>
        <w:r>
          <w:rPr>
            <w:noProof/>
            <w:webHidden/>
          </w:rPr>
          <w:fldChar w:fldCharType="separate"/>
        </w:r>
        <w:r>
          <w:rPr>
            <w:noProof/>
            <w:webHidden/>
          </w:rPr>
          <w:t>98</w:t>
        </w:r>
        <w:r>
          <w:rPr>
            <w:noProof/>
            <w:webHidden/>
          </w:rPr>
          <w:fldChar w:fldCharType="end"/>
        </w:r>
      </w:hyperlink>
    </w:p>
    <w:p w14:paraId="12187F10" w14:textId="1D99DA78" w:rsidR="00BE227F" w:rsidRDefault="00BE227F">
      <w:pPr>
        <w:pStyle w:val="TOC2"/>
        <w:rPr>
          <w:noProof/>
          <w:kern w:val="2"/>
          <w:sz w:val="24"/>
          <w:szCs w:val="24"/>
          <w:lang w:val="hu-HU" w:eastAsia="hu-HU"/>
          <w14:ligatures w14:val="standardContextual"/>
        </w:rPr>
      </w:pPr>
      <w:hyperlink w:anchor="_Toc210982902" w:history="1">
        <w:r w:rsidRPr="00071C7F">
          <w:rPr>
            <w:rStyle w:val="Hyperlink"/>
            <w:rFonts w:ascii="Times New Roman" w:hAnsi="Times New Roman" w:cs="Times New Roman"/>
            <w:noProof/>
          </w:rPr>
          <w:t>II.35</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15.00 – Származtatott ügyletek </w:t>
        </w:r>
        <w:r w:rsidRPr="00071C7F">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_Toc210982902 \h </w:instrText>
        </w:r>
        <w:r>
          <w:rPr>
            <w:noProof/>
            <w:webHidden/>
          </w:rPr>
        </w:r>
        <w:r>
          <w:rPr>
            <w:noProof/>
            <w:webHidden/>
          </w:rPr>
          <w:fldChar w:fldCharType="separate"/>
        </w:r>
        <w:r>
          <w:rPr>
            <w:noProof/>
            <w:webHidden/>
          </w:rPr>
          <w:t>101</w:t>
        </w:r>
        <w:r>
          <w:rPr>
            <w:noProof/>
            <w:webHidden/>
          </w:rPr>
          <w:fldChar w:fldCharType="end"/>
        </w:r>
      </w:hyperlink>
    </w:p>
    <w:p w14:paraId="50CF516B" w14:textId="14AA9862" w:rsidR="00BE227F" w:rsidRDefault="00BE227F">
      <w:pPr>
        <w:pStyle w:val="TOC2"/>
        <w:rPr>
          <w:noProof/>
          <w:kern w:val="2"/>
          <w:sz w:val="24"/>
          <w:szCs w:val="24"/>
          <w:lang w:val="hu-HU" w:eastAsia="hu-HU"/>
          <w14:ligatures w14:val="standardContextual"/>
        </w:rPr>
      </w:pPr>
      <w:hyperlink w:anchor="_Toc210982903" w:history="1">
        <w:r w:rsidRPr="00071C7F">
          <w:rPr>
            <w:rStyle w:val="Hyperlink"/>
            <w:rFonts w:ascii="Times New Roman" w:hAnsi="Times New Roman" w:cs="Times New Roman"/>
            <w:noProof/>
          </w:rPr>
          <w:t>II.36</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16.00 – Fedezett finanszírozási tranzakciók a csoporton belüliek kivételével </w:t>
        </w:r>
        <w:r w:rsidRPr="00071C7F">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_Toc210982903 \h </w:instrText>
        </w:r>
        <w:r>
          <w:rPr>
            <w:noProof/>
            <w:webHidden/>
          </w:rPr>
        </w:r>
        <w:r>
          <w:rPr>
            <w:noProof/>
            <w:webHidden/>
          </w:rPr>
          <w:fldChar w:fldCharType="separate"/>
        </w:r>
        <w:r>
          <w:rPr>
            <w:noProof/>
            <w:webHidden/>
          </w:rPr>
          <w:t>103</w:t>
        </w:r>
        <w:r>
          <w:rPr>
            <w:noProof/>
            <w:webHidden/>
          </w:rPr>
          <w:fldChar w:fldCharType="end"/>
        </w:r>
      </w:hyperlink>
    </w:p>
    <w:p w14:paraId="3C735016" w14:textId="11D30E87" w:rsidR="00BE227F" w:rsidRDefault="00BE227F">
      <w:pPr>
        <w:pStyle w:val="TOC2"/>
        <w:rPr>
          <w:noProof/>
          <w:kern w:val="2"/>
          <w:sz w:val="24"/>
          <w:szCs w:val="24"/>
          <w:lang w:val="hu-HU" w:eastAsia="hu-HU"/>
          <w14:ligatures w14:val="standardContextual"/>
        </w:rPr>
      </w:pPr>
      <w:hyperlink w:anchor="_Toc210982904" w:history="1">
        <w:r w:rsidRPr="00071C7F">
          <w:rPr>
            <w:rStyle w:val="Hyperlink"/>
            <w:rFonts w:ascii="Times New Roman" w:hAnsi="Times New Roman" w:cs="Times New Roman"/>
            <w:noProof/>
          </w:rPr>
          <w:t>II.37</w:t>
        </w:r>
        <w:r>
          <w:rPr>
            <w:noProof/>
            <w:kern w:val="2"/>
            <w:sz w:val="24"/>
            <w:szCs w:val="24"/>
            <w:lang w:val="hu-HU" w:eastAsia="hu-HU"/>
            <w14:ligatures w14:val="standardContextual"/>
          </w:rPr>
          <w:tab/>
        </w:r>
        <w:r w:rsidRPr="00071C7F">
          <w:rPr>
            <w:rStyle w:val="Hyperlink"/>
            <w:rFonts w:ascii="Times New Roman" w:hAnsi="Times New Roman" w:cs="Times New Roman"/>
            <w:noProof/>
          </w:rPr>
          <w:t xml:space="preserve">Z 17.00 – Egyéb nem pénzügyi kötelezettségek (nem szerepelnek más füleken, kivéve a csoporton belüli kötelezettségek) </w:t>
        </w:r>
        <w:r w:rsidRPr="00071C7F">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_Toc210982904 \h </w:instrText>
        </w:r>
        <w:r>
          <w:rPr>
            <w:noProof/>
            <w:webHidden/>
          </w:rPr>
        </w:r>
        <w:r>
          <w:rPr>
            <w:noProof/>
            <w:webHidden/>
          </w:rPr>
          <w:fldChar w:fldCharType="separate"/>
        </w:r>
        <w:r>
          <w:rPr>
            <w:noProof/>
            <w:webHidden/>
          </w:rPr>
          <w:t>104</w:t>
        </w:r>
        <w:r>
          <w:rPr>
            <w:noProof/>
            <w:webHidden/>
          </w:rPr>
          <w:fldChar w:fldCharType="end"/>
        </w:r>
      </w:hyperlink>
    </w:p>
    <w:p w14:paraId="2ED42A25" w14:textId="4AC0F552" w:rsidR="00BE227F" w:rsidRDefault="00BE227F">
      <w:pPr>
        <w:pStyle w:val="TOC2"/>
        <w:rPr>
          <w:noProof/>
          <w:kern w:val="2"/>
          <w:sz w:val="24"/>
          <w:szCs w:val="24"/>
          <w:lang w:val="hu-HU" w:eastAsia="hu-HU"/>
          <w14:ligatures w14:val="standardContextual"/>
        </w:rPr>
      </w:pPr>
      <w:hyperlink w:anchor="_Toc210982905" w:history="1">
        <w:r w:rsidRPr="00071C7F">
          <w:rPr>
            <w:rStyle w:val="Hyperlink"/>
            <w:noProof/>
          </w:rPr>
          <w:t>II.38</w:t>
        </w:r>
        <w:r>
          <w:rPr>
            <w:noProof/>
            <w:kern w:val="2"/>
            <w:sz w:val="24"/>
            <w:szCs w:val="24"/>
            <w:lang w:val="hu-HU" w:eastAsia="hu-HU"/>
            <w14:ligatures w14:val="standardContextual"/>
          </w:rPr>
          <w:tab/>
        </w:r>
        <w:r w:rsidRPr="00071C7F">
          <w:rPr>
            <w:rStyle w:val="Hyperlink"/>
            <w:noProof/>
          </w:rPr>
          <w:t>I. melléklet – A Z 09.01–c0050 esetében használandó FMI-k jegyzéke</w:t>
        </w:r>
        <w:r>
          <w:rPr>
            <w:noProof/>
            <w:webHidden/>
          </w:rPr>
          <w:tab/>
        </w:r>
        <w:r>
          <w:rPr>
            <w:noProof/>
            <w:webHidden/>
          </w:rPr>
          <w:fldChar w:fldCharType="begin"/>
        </w:r>
        <w:r>
          <w:rPr>
            <w:noProof/>
            <w:webHidden/>
          </w:rPr>
          <w:instrText xml:space="preserve"> PAGEREF _Toc210982905 \h </w:instrText>
        </w:r>
        <w:r>
          <w:rPr>
            <w:noProof/>
            <w:webHidden/>
          </w:rPr>
        </w:r>
        <w:r>
          <w:rPr>
            <w:noProof/>
            <w:webHidden/>
          </w:rPr>
          <w:fldChar w:fldCharType="separate"/>
        </w:r>
        <w:r>
          <w:rPr>
            <w:noProof/>
            <w:webHidden/>
          </w:rPr>
          <w:t>107</w:t>
        </w:r>
        <w:r>
          <w:rPr>
            <w:noProof/>
            <w:webHidden/>
          </w:rPr>
          <w:fldChar w:fldCharType="end"/>
        </w:r>
      </w:hyperlink>
    </w:p>
    <w:p w14:paraId="7FE1B2E2" w14:textId="1C61923A" w:rsidR="00896468" w:rsidRDefault="00B31E50">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896468" w:rsidRDefault="00896468">
      <w:pPr>
        <w:rPr>
          <w:rFonts w:ascii="Times New Roman" w:hAnsi="Times New Roman" w:cs="Times New Roman"/>
          <w:b/>
          <w:color w:val="000000" w:themeColor="text1"/>
          <w:sz w:val="20"/>
          <w:szCs w:val="20"/>
        </w:rPr>
      </w:pPr>
    </w:p>
    <w:p w14:paraId="7FE1B2E4" w14:textId="77777777" w:rsidR="00896468" w:rsidRDefault="00896468">
      <w:pPr>
        <w:pStyle w:val="ListParagraph"/>
        <w:rPr>
          <w:rFonts w:ascii="Times New Roman" w:hAnsi="Times New Roman"/>
          <w:b/>
          <w:color w:val="000000" w:themeColor="text1"/>
          <w:sz w:val="20"/>
          <w:szCs w:val="20"/>
        </w:rPr>
      </w:pPr>
    </w:p>
    <w:p w14:paraId="7FE1B2E5" w14:textId="77777777" w:rsidR="00896468" w:rsidRDefault="00B31E50">
      <w:pPr>
        <w:pStyle w:val="P68B1DB1-Normal3"/>
        <w:spacing w:after="200" w:line="276" w:lineRule="auto"/>
        <w:rPr>
          <w:rFonts w:eastAsiaTheme="majorEastAsia"/>
          <w:kern w:val="28"/>
        </w:rPr>
      </w:pPr>
      <w:bookmarkStart w:id="0" w:name="_Toc492542318"/>
      <w:r>
        <w:br w:type="page"/>
      </w:r>
    </w:p>
    <w:p w14:paraId="7FE1B2E6" w14:textId="77777777" w:rsidR="00896468" w:rsidRDefault="00B31E50">
      <w:pPr>
        <w:pStyle w:val="P68B1DB1-Instructionsberschrift24"/>
        <w:numPr>
          <w:ilvl w:val="0"/>
          <w:numId w:val="49"/>
        </w:numPr>
        <w:ind w:left="357" w:hanging="357"/>
      </w:pPr>
      <w:bookmarkStart w:id="1" w:name="_Toc81454170"/>
      <w:bookmarkStart w:id="2" w:name="_Toc210982857"/>
      <w:r>
        <w:lastRenderedPageBreak/>
        <w:t>Általános útmutatások</w:t>
      </w:r>
      <w:bookmarkEnd w:id="0"/>
      <w:bookmarkEnd w:id="1"/>
      <w:bookmarkEnd w:id="2"/>
    </w:p>
    <w:p w14:paraId="7FE1B2E7" w14:textId="77777777" w:rsidR="00896468" w:rsidRDefault="00B31E50">
      <w:pPr>
        <w:pStyle w:val="P68B1DB1-Instructionsberschrift25"/>
        <w:numPr>
          <w:ilvl w:val="1"/>
          <w:numId w:val="49"/>
        </w:numPr>
        <w:ind w:left="357" w:hanging="357"/>
      </w:pPr>
      <w:bookmarkStart w:id="3" w:name="_Toc81454171"/>
      <w:bookmarkStart w:id="4" w:name="_Toc210982858"/>
      <w:r>
        <w:t>Szerkezet</w:t>
      </w:r>
      <w:bookmarkEnd w:id="3"/>
      <w:bookmarkEnd w:id="4"/>
    </w:p>
    <w:p w14:paraId="7FE1B2E8" w14:textId="261F32BB" w:rsidR="00896468" w:rsidRDefault="00B31E50">
      <w:pPr>
        <w:pStyle w:val="P68B1DB1-InstructionsText26"/>
        <w:numPr>
          <w:ilvl w:val="0"/>
          <w:numId w:val="71"/>
        </w:numPr>
        <w:spacing w:before="0"/>
        <w:ind w:left="714" w:hanging="357"/>
      </w:pPr>
      <w:r>
        <w:t>A keret 29 táblából áll, amelyek 6 blokkot alkotnak:</w:t>
      </w:r>
    </w:p>
    <w:p w14:paraId="7FE1B2EA" w14:textId="237D93C6" w:rsidR="00896468" w:rsidRDefault="00B31E50">
      <w:pPr>
        <w:pStyle w:val="P68B1DB1-body7"/>
        <w:numPr>
          <w:ilvl w:val="0"/>
          <w:numId w:val="61"/>
        </w:numPr>
      </w:pPr>
      <w:r>
        <w:t xml:space="preserve">Az „Általános információk” blokk áttekintést nyújt egy csoport és annak szervezetei szervezeti felépítéséről, az eszközök megoszlásáról és a kockázati kitettségértékek összegéről. Ez a blokk </w:t>
      </w:r>
      <w:r w:rsidR="006A5553">
        <w:t xml:space="preserve">az alábbi táblákból áll: </w:t>
      </w:r>
    </w:p>
    <w:p w14:paraId="7FE1B2EB" w14:textId="0DD14AE2" w:rsidR="00896468" w:rsidRDefault="00B31E50">
      <w:pPr>
        <w:pStyle w:val="P68B1DB1-body7"/>
        <w:numPr>
          <w:ilvl w:val="1"/>
          <w:numId w:val="207"/>
        </w:numPr>
      </w:pPr>
      <w:r>
        <w:t>Z 01.01 – Jog</w:t>
      </w:r>
      <w:r w:rsidR="006A5553">
        <w:t xml:space="preserve">i </w:t>
      </w:r>
      <w:r>
        <w:t>személyek (ORG 1)</w:t>
      </w:r>
      <w:r w:rsidR="008370B3">
        <w:t xml:space="preserve"> </w:t>
      </w:r>
    </w:p>
    <w:p w14:paraId="7FE1B2EC" w14:textId="77777777" w:rsidR="00896468" w:rsidRDefault="00B31E50">
      <w:pPr>
        <w:pStyle w:val="P68B1DB1-body7"/>
        <w:numPr>
          <w:ilvl w:val="1"/>
          <w:numId w:val="207"/>
        </w:numPr>
      </w:pPr>
      <w:r>
        <w:t>Z 01.02 – Tulajdonosi szerkezet (ORG 2)</w:t>
      </w:r>
    </w:p>
    <w:p w14:paraId="7FE1B2ED" w14:textId="239ADFA9" w:rsidR="00896468" w:rsidRDefault="00B31E50">
      <w:pPr>
        <w:pStyle w:val="P68B1DB1-body7"/>
        <w:numPr>
          <w:ilvl w:val="0"/>
          <w:numId w:val="61"/>
        </w:numPr>
      </w:pPr>
      <w:r>
        <w:t xml:space="preserve">„A mérlegen belüli és a mérlegen kívüli tételekre vonatkozó </w:t>
      </w:r>
      <w:r w:rsidR="00190653">
        <w:t>aggregált adatok</w:t>
      </w:r>
      <w:r>
        <w:t>” blokk a kötelezettségek, a szavatoló</w:t>
      </w:r>
      <w:r w:rsidR="00082480">
        <w:t xml:space="preserve"> </w:t>
      </w:r>
      <w:r>
        <w:t>tőke, a csoporthoz tartozó vállalkozások közötti pénzügyi kapcsolatok, a fő partnerekkel szembeni kötelezettségek és a fő partnerektől kapott mérlegen kívüli tételek, valamint a betétbiztosítás tekintetében nyújt pénzügyi információkat. Ez a blokk 7 táblából áll:</w:t>
      </w:r>
    </w:p>
    <w:p w14:paraId="7FE1B2EE" w14:textId="77777777" w:rsidR="00896468" w:rsidRDefault="00B31E50">
      <w:pPr>
        <w:pStyle w:val="P68B1DB1-body7"/>
        <w:numPr>
          <w:ilvl w:val="0"/>
          <w:numId w:val="208"/>
        </w:numPr>
      </w:pPr>
      <w:r>
        <w:t>„Z 02.00 – Kötelezettségek szerkezete (LIAB 1)”;</w:t>
      </w:r>
    </w:p>
    <w:p w14:paraId="7FE1B2EF" w14:textId="078309E0" w:rsidR="00896468" w:rsidRDefault="00B31E50">
      <w:pPr>
        <w:pStyle w:val="P68B1DB1-body7"/>
        <w:numPr>
          <w:ilvl w:val="0"/>
          <w:numId w:val="208"/>
        </w:numPr>
      </w:pPr>
      <w:r>
        <w:t xml:space="preserve">„Z 03.01 – Szavatolótőke-követelmények </w:t>
      </w:r>
      <w:r w:rsidR="004E56F0">
        <w:t xml:space="preserve">– </w:t>
      </w:r>
      <w:r>
        <w:t>hitelintézetek (LIAB 2)”;</w:t>
      </w:r>
    </w:p>
    <w:p w14:paraId="7FE1B2F0" w14:textId="3261EFF7" w:rsidR="00896468" w:rsidRDefault="00B31E50">
      <w:pPr>
        <w:pStyle w:val="P68B1DB1-body7"/>
        <w:numPr>
          <w:ilvl w:val="0"/>
          <w:numId w:val="208"/>
        </w:numPr>
      </w:pPr>
      <w:r>
        <w:t xml:space="preserve">„Z 03.02 – Szavatolótőke-követelmények </w:t>
      </w:r>
      <w:r w:rsidR="004E56F0">
        <w:t xml:space="preserve">– </w:t>
      </w:r>
      <w:r>
        <w:t xml:space="preserve">befektetési </w:t>
      </w:r>
      <w:r w:rsidR="00F7227C">
        <w:t>vállalkozások</w:t>
      </w:r>
      <w:r>
        <w:t xml:space="preserve"> (LIAB 3)”;</w:t>
      </w:r>
    </w:p>
    <w:p w14:paraId="7FE1B2F2" w14:textId="77777777" w:rsidR="00896468" w:rsidRDefault="00B31E50">
      <w:pPr>
        <w:pStyle w:val="P68B1DB1-body7"/>
        <w:numPr>
          <w:ilvl w:val="0"/>
          <w:numId w:val="208"/>
        </w:numPr>
      </w:pPr>
      <w:r>
        <w:t>„Z 04.00 – Csoporton belüli pénzügyi kapcsolódások (LIAB 4)”;</w:t>
      </w:r>
    </w:p>
    <w:p w14:paraId="7FE1B2F3" w14:textId="723FA4F4" w:rsidR="00896468" w:rsidRDefault="00B31E50">
      <w:pPr>
        <w:pStyle w:val="P68B1DB1-body7"/>
        <w:numPr>
          <w:ilvl w:val="0"/>
          <w:numId w:val="208"/>
        </w:numPr>
      </w:pPr>
      <w:r>
        <w:t xml:space="preserve">„Z 05.01 – </w:t>
      </w:r>
      <w:r w:rsidR="004E56F0" w:rsidRPr="004E56F0">
        <w:t xml:space="preserve">Fő partnerek (kötelezettségek tekintetében) </w:t>
      </w:r>
      <w:r>
        <w:t>(LIAB 5)”;</w:t>
      </w:r>
    </w:p>
    <w:p w14:paraId="7FE1B2F4" w14:textId="0EA816C2" w:rsidR="00896468" w:rsidRDefault="00B31E50">
      <w:pPr>
        <w:pStyle w:val="P68B1DB1-body7"/>
        <w:numPr>
          <w:ilvl w:val="0"/>
          <w:numId w:val="208"/>
        </w:numPr>
      </w:pPr>
      <w:r>
        <w:t xml:space="preserve">’Z 05.02 – Fő partnerek (mérlegen kívüli tételek </w:t>
      </w:r>
      <w:r w:rsidR="004E56F0">
        <w:t>tekintetében</w:t>
      </w:r>
      <w:r>
        <w:t>) (LIAB 6)’;</w:t>
      </w:r>
    </w:p>
    <w:p w14:paraId="7FE1B2F5" w14:textId="762695F7" w:rsidR="00896468" w:rsidRDefault="00B31E50">
      <w:pPr>
        <w:pStyle w:val="P68B1DB1-body7"/>
        <w:numPr>
          <w:ilvl w:val="0"/>
          <w:numId w:val="208"/>
        </w:numPr>
      </w:pPr>
      <w:r>
        <w:t>„Z 06.00 – Betétbiztosítás (LIAB 7)”.</w:t>
      </w:r>
    </w:p>
    <w:p w14:paraId="7FE1B2F6" w14:textId="2A9B71E0" w:rsidR="00896468" w:rsidRDefault="00B31E50">
      <w:pPr>
        <w:pStyle w:val="P68B1DB1-body7"/>
        <w:numPr>
          <w:ilvl w:val="0"/>
          <w:numId w:val="61"/>
        </w:numPr>
      </w:pPr>
      <w:r>
        <w:t>A „Kritikus funkciók” blokk áttekintést nyújt a kritikus funkciókról és azok szervezetek</w:t>
      </w:r>
      <w:r w:rsidR="00190653">
        <w:t xml:space="preserve"> és</w:t>
      </w:r>
      <w:r>
        <w:t xml:space="preserve"> fő üzletágak szerinti elrendeződéséről. Ez a blokk 4 táblából áll:</w:t>
      </w:r>
    </w:p>
    <w:p w14:paraId="7FE1B2F7" w14:textId="433A5E71" w:rsidR="00896468" w:rsidRDefault="00B31E50">
      <w:pPr>
        <w:pStyle w:val="P68B1DB1-body7"/>
        <w:numPr>
          <w:ilvl w:val="1"/>
          <w:numId w:val="209"/>
        </w:numPr>
      </w:pPr>
      <w:r>
        <w:t xml:space="preserve">Z 07.01 – A gazdasági funkciók kritikusságának értékelése (FUNC 1) </w:t>
      </w:r>
    </w:p>
    <w:p w14:paraId="7FE1B2F8" w14:textId="286C65EF" w:rsidR="00896468" w:rsidRDefault="00B31E50">
      <w:pPr>
        <w:pStyle w:val="P68B1DB1-body7"/>
        <w:numPr>
          <w:ilvl w:val="1"/>
          <w:numId w:val="209"/>
        </w:numPr>
      </w:pPr>
      <w:r>
        <w:t xml:space="preserve">Z 07.02 – A </w:t>
      </w:r>
      <w:r w:rsidR="004E56F0">
        <w:t xml:space="preserve">gazdasági </w:t>
      </w:r>
      <w:r>
        <w:t xml:space="preserve">funkciók szervezetekhez való hozzárendelése (FUNC 2) </w:t>
      </w:r>
    </w:p>
    <w:p w14:paraId="7FE1B2F9" w14:textId="1FE59149" w:rsidR="00896468" w:rsidRDefault="00B31E50">
      <w:pPr>
        <w:pStyle w:val="P68B1DB1-body7"/>
        <w:numPr>
          <w:ilvl w:val="1"/>
          <w:numId w:val="209"/>
        </w:numPr>
      </w:pPr>
      <w:r>
        <w:t xml:space="preserve">Z 07.03 – A fő üzletágak szervezetekhez való hozzárendelése (FUNC 3) </w:t>
      </w:r>
    </w:p>
    <w:p w14:paraId="7FE1B2FB" w14:textId="04808BD4" w:rsidR="00896468" w:rsidRDefault="00B31E50">
      <w:pPr>
        <w:pStyle w:val="P68B1DB1-body7"/>
        <w:ind w:left="1794"/>
      </w:pPr>
      <w:r>
        <w:t>Z 07.04 – A kritikus funkciók fő üzletágakhoz való hozzárendelése (FUNC 4)</w:t>
      </w:r>
    </w:p>
    <w:p w14:paraId="7FE1B2FC" w14:textId="618F4735" w:rsidR="00896468" w:rsidRDefault="00B31E50">
      <w:pPr>
        <w:pStyle w:val="P68B1DB1-body7"/>
        <w:numPr>
          <w:ilvl w:val="0"/>
          <w:numId w:val="61"/>
        </w:numPr>
      </w:pPr>
      <w:bookmarkStart w:id="5" w:name="_Hlk160696385"/>
      <w:r>
        <w:t xml:space="preserve">Szolgáltatások és szervezetek, amelyek a felhasználók és a szolgáltatók bontását tartalmazzák, és a gazdasági funkciókhoz és üzletágakhoz </w:t>
      </w:r>
      <w:r w:rsidR="00BE227F">
        <w:t xml:space="preserve">rendelik </w:t>
      </w:r>
      <w:r>
        <w:t>őket</w:t>
      </w:r>
      <w:bookmarkEnd w:id="5"/>
      <w:r>
        <w:t>:</w:t>
      </w:r>
    </w:p>
    <w:p w14:paraId="7FE1B2FD" w14:textId="66F0AA7E" w:rsidR="00896468" w:rsidRDefault="00B31E50">
      <w:pPr>
        <w:pStyle w:val="P68B1DB1-body7"/>
        <w:numPr>
          <w:ilvl w:val="1"/>
          <w:numId w:val="210"/>
        </w:numPr>
      </w:pPr>
      <w:r>
        <w:t>Z 08.01 – Releváns szolgáltatások (SERV 1)</w:t>
      </w:r>
    </w:p>
    <w:p w14:paraId="7FE1B2FE" w14:textId="3793CB88" w:rsidR="00896468" w:rsidRDefault="00B31E50">
      <w:pPr>
        <w:pStyle w:val="P68B1DB1-body7"/>
        <w:numPr>
          <w:ilvl w:val="1"/>
          <w:numId w:val="210"/>
        </w:numPr>
      </w:pPr>
      <w:r>
        <w:t xml:space="preserve">Z 08.02 – </w:t>
      </w:r>
      <w:r w:rsidR="007D541C">
        <w:t xml:space="preserve">Releváns </w:t>
      </w:r>
      <w:r>
        <w:t>szolgáltatások – Eszközökhöz való hozzárendelés (SERV 2)</w:t>
      </w:r>
    </w:p>
    <w:p w14:paraId="7FE1B2FF" w14:textId="3BF3F8E6" w:rsidR="00896468" w:rsidRDefault="00B31E50">
      <w:pPr>
        <w:pStyle w:val="P68B1DB1-body7"/>
        <w:numPr>
          <w:ilvl w:val="1"/>
          <w:numId w:val="210"/>
        </w:numPr>
      </w:pPr>
      <w:r>
        <w:t xml:space="preserve">Z 08.03 – </w:t>
      </w:r>
      <w:r w:rsidR="007D541C">
        <w:t xml:space="preserve">Releváns </w:t>
      </w:r>
      <w:r>
        <w:t>szolgáltatások – A szerepek hozzárendelése (SERV 3)</w:t>
      </w:r>
    </w:p>
    <w:p w14:paraId="7FE1B300" w14:textId="19A056E4" w:rsidR="00896468" w:rsidRDefault="00B31E50">
      <w:pPr>
        <w:pStyle w:val="P68B1DB1-body7"/>
        <w:numPr>
          <w:ilvl w:val="1"/>
          <w:numId w:val="210"/>
        </w:numPr>
      </w:pPr>
      <w:r>
        <w:t xml:space="preserve">Z 08.04 – </w:t>
      </w:r>
      <w:r w:rsidR="00BE227F">
        <w:t>Kritikus</w:t>
      </w:r>
      <w:r w:rsidR="007D541C">
        <w:t xml:space="preserve"> </w:t>
      </w:r>
      <w:r>
        <w:t>szolgáltatások – A kritikus funkciókhoz való hozzárendelés (SERV 4)</w:t>
      </w:r>
    </w:p>
    <w:p w14:paraId="7FE1B301" w14:textId="3732194F" w:rsidR="00896468" w:rsidRDefault="00B31E50">
      <w:pPr>
        <w:pStyle w:val="P68B1DB1-body7"/>
        <w:numPr>
          <w:ilvl w:val="1"/>
          <w:numId w:val="210"/>
        </w:numPr>
      </w:pPr>
      <w:r>
        <w:lastRenderedPageBreak/>
        <w:t xml:space="preserve">Z 08.05 – </w:t>
      </w:r>
      <w:r w:rsidR="00BE227F">
        <w:t>Alapvető</w:t>
      </w:r>
      <w:r w:rsidR="007D541C">
        <w:t xml:space="preserve"> </w:t>
      </w:r>
      <w:r>
        <w:t>szolgáltatások – A fő üzletágakhoz való hozzárendelés (SERV 5)</w:t>
      </w:r>
    </w:p>
    <w:p w14:paraId="7FE1B303" w14:textId="397A4C74" w:rsidR="00896468" w:rsidRDefault="00B31E50">
      <w:pPr>
        <w:pStyle w:val="P68B1DB1-body7"/>
        <w:numPr>
          <w:ilvl w:val="0"/>
          <w:numId w:val="61"/>
        </w:numPr>
      </w:pPr>
      <w:r>
        <w:t>Jelentéstétel az FMI-szolgáltatásokról</w:t>
      </w:r>
    </w:p>
    <w:p w14:paraId="7FE1B304" w14:textId="110EA9FD" w:rsidR="00896468" w:rsidRDefault="00B31E50">
      <w:pPr>
        <w:pStyle w:val="P68B1DB1-body7"/>
        <w:numPr>
          <w:ilvl w:val="1"/>
          <w:numId w:val="211"/>
        </w:numPr>
      </w:pPr>
      <w:r>
        <w:t>Z 09.01 – Pénzügyi piaci infrastrukturális szolgáltatások – Szolgáltatók és felhasználók (FMI 1)</w:t>
      </w:r>
    </w:p>
    <w:p w14:paraId="7FE1B305" w14:textId="1443D07E" w:rsidR="00896468" w:rsidRDefault="00B31E50">
      <w:pPr>
        <w:pStyle w:val="P68B1DB1-body7"/>
        <w:numPr>
          <w:ilvl w:val="1"/>
          <w:numId w:val="211"/>
        </w:numPr>
      </w:pPr>
      <w:r>
        <w:t xml:space="preserve">Z 09.02 – </w:t>
      </w:r>
      <w:r w:rsidR="00C26C0E" w:rsidRPr="00C26C0E">
        <w:t xml:space="preserve">Pénzügyi piaci infrastrukturális szolgáltatások </w:t>
      </w:r>
      <w:r>
        <w:t xml:space="preserve">– A kritikus és alapvető </w:t>
      </w:r>
      <w:r w:rsidR="00C26C0E">
        <w:t>pénzügyi piaci infrastruktúrák</w:t>
      </w:r>
      <w:r>
        <w:t xml:space="preserve"> feltérképezése (2. FMI)</w:t>
      </w:r>
    </w:p>
    <w:p w14:paraId="7FE1B306" w14:textId="513F259E" w:rsidR="00896468" w:rsidRDefault="00B31E50">
      <w:pPr>
        <w:pStyle w:val="P68B1DB1-body7"/>
        <w:numPr>
          <w:ilvl w:val="1"/>
          <w:numId w:val="211"/>
        </w:numPr>
      </w:pPr>
      <w:r>
        <w:t xml:space="preserve">Z 09.03 – </w:t>
      </w:r>
      <w:r w:rsidR="00C26C0E" w:rsidRPr="00C26C0E">
        <w:t xml:space="preserve">Pénzügyi piaci infrastrukturális szolgáltatások </w:t>
      </w:r>
      <w:r>
        <w:t xml:space="preserve">– </w:t>
      </w:r>
      <w:r w:rsidR="00D75732">
        <w:t xml:space="preserve">Kulcsmutatók </w:t>
      </w:r>
      <w:r>
        <w:t>(3. FMI)</w:t>
      </w:r>
    </w:p>
    <w:p w14:paraId="7FE1B307" w14:textId="67FF25AF" w:rsidR="00896468" w:rsidRDefault="00B31E50">
      <w:pPr>
        <w:pStyle w:val="P68B1DB1-body7"/>
        <w:numPr>
          <w:ilvl w:val="1"/>
          <w:numId w:val="211"/>
        </w:numPr>
      </w:pPr>
      <w:r>
        <w:t xml:space="preserve">Z 09.04 – </w:t>
      </w:r>
      <w:r w:rsidR="00C26C0E" w:rsidRPr="00C26C0E">
        <w:t xml:space="preserve">Pénzügyi piaci infrastrukturális szolgáltatások </w:t>
      </w:r>
      <w:r>
        <w:t xml:space="preserve">– </w:t>
      </w:r>
      <w:r w:rsidR="00B279C2">
        <w:t xml:space="preserve">Központi szerződő felek </w:t>
      </w:r>
      <w:r>
        <w:t>– Alternatív szolgáltatók (FMI 4)</w:t>
      </w:r>
    </w:p>
    <w:p w14:paraId="6F5700CD" w14:textId="670D596F" w:rsidR="00BE227F" w:rsidRPr="00BE227F" w:rsidRDefault="00C26C0E" w:rsidP="00BE227F">
      <w:pPr>
        <w:pStyle w:val="ListParagraph"/>
        <w:numPr>
          <w:ilvl w:val="0"/>
          <w:numId w:val="61"/>
        </w:numPr>
        <w:rPr>
          <w:rFonts w:ascii="Times New Roman" w:eastAsiaTheme="minorEastAsia" w:hAnsi="Times New Roman"/>
          <w:color w:val="000000" w:themeColor="text1"/>
          <w:sz w:val="20"/>
          <w:szCs w:val="20"/>
        </w:rPr>
      </w:pPr>
      <w:r w:rsidRPr="00BE227F">
        <w:rPr>
          <w:rFonts w:ascii="Times New Roman" w:hAnsi="Times New Roman"/>
          <w:sz w:val="20"/>
          <w:szCs w:val="20"/>
        </w:rPr>
        <w:t>Kötelezettségek</w:t>
      </w:r>
      <w:r w:rsidR="00BE227F" w:rsidRPr="00BE227F">
        <w:t xml:space="preserve"> </w:t>
      </w:r>
      <w:r w:rsidR="00BE227F" w:rsidRPr="00BE227F">
        <w:rPr>
          <w:rFonts w:ascii="Times New Roman" w:eastAsiaTheme="minorEastAsia" w:hAnsi="Times New Roman"/>
          <w:color w:val="000000" w:themeColor="text1"/>
          <w:sz w:val="20"/>
          <w:szCs w:val="20"/>
        </w:rPr>
        <w:t xml:space="preserve"> szerkezete a hitelezői feltőkésítéshez</w:t>
      </w:r>
    </w:p>
    <w:p w14:paraId="7FE1B30C" w14:textId="6ACC8549" w:rsidR="00896468" w:rsidRDefault="00B31E50">
      <w:pPr>
        <w:pStyle w:val="P68B1DB1-body7"/>
        <w:numPr>
          <w:ilvl w:val="0"/>
          <w:numId w:val="217"/>
        </w:numPr>
      </w:pPr>
      <w:r>
        <w:t>Z 11.00 – Csoporton belüli kötelezettségek (a származtatott ügyletek kivételével) (LIAB-G-1)</w:t>
      </w:r>
    </w:p>
    <w:p w14:paraId="7FE1B30D" w14:textId="140BB302" w:rsidR="00896468" w:rsidRDefault="00B31E50">
      <w:pPr>
        <w:pStyle w:val="P68B1DB1-body7"/>
        <w:numPr>
          <w:ilvl w:val="0"/>
          <w:numId w:val="217"/>
        </w:numPr>
      </w:pPr>
      <w:r>
        <w:t>Z 12.00 – Értékpapírok (beleértve a CET1, AT1 és járulékos tőkeinstrumentumokat, a csoporton belüliek kivételével) (LIAB-G-2)</w:t>
      </w:r>
    </w:p>
    <w:p w14:paraId="7FE1B30E" w14:textId="062CEDA4" w:rsidR="00896468" w:rsidRDefault="00B31E50">
      <w:pPr>
        <w:pStyle w:val="P68B1DB1-body7"/>
        <w:numPr>
          <w:ilvl w:val="0"/>
          <w:numId w:val="217"/>
        </w:numPr>
      </w:pPr>
      <w:r>
        <w:t xml:space="preserve">Z 13.00 – </w:t>
      </w:r>
      <w:r w:rsidR="00B279C2">
        <w:t xml:space="preserve">Összes </w:t>
      </w:r>
      <w:r>
        <w:t>betét (a csoporton belüli kivételével) (LIAB-G-3)</w:t>
      </w:r>
    </w:p>
    <w:p w14:paraId="7FE1B30F" w14:textId="2D8F046E" w:rsidR="00896468" w:rsidRDefault="00B31E50">
      <w:pPr>
        <w:pStyle w:val="P68B1DB1-body7"/>
        <w:numPr>
          <w:ilvl w:val="0"/>
          <w:numId w:val="217"/>
        </w:numPr>
      </w:pPr>
      <w:r>
        <w:t>Z 14.00 – Egyéb pénzügyi kötelezettségek (LIAB-G-4)</w:t>
      </w:r>
    </w:p>
    <w:p w14:paraId="7FE1B310" w14:textId="564BF74D" w:rsidR="00896468" w:rsidRDefault="00B31E50">
      <w:pPr>
        <w:pStyle w:val="P68B1DB1-body7"/>
        <w:numPr>
          <w:ilvl w:val="1"/>
          <w:numId w:val="211"/>
        </w:numPr>
      </w:pPr>
      <w:r>
        <w:t xml:space="preserve">Z 15.00 – Származtatott </w:t>
      </w:r>
      <w:r w:rsidR="00BE227F">
        <w:t xml:space="preserve">ügyletek </w:t>
      </w:r>
      <w:r>
        <w:t>(LIAB-G-5)</w:t>
      </w:r>
    </w:p>
    <w:p w14:paraId="7FE1B311" w14:textId="3B5B2E79" w:rsidR="00896468" w:rsidRDefault="00B31E50">
      <w:pPr>
        <w:pStyle w:val="P68B1DB1-body7"/>
        <w:numPr>
          <w:ilvl w:val="1"/>
          <w:numId w:val="211"/>
        </w:numPr>
      </w:pPr>
      <w:r>
        <w:t xml:space="preserve">Z 16.00 – </w:t>
      </w:r>
      <w:r w:rsidR="00C26C0E">
        <w:t xml:space="preserve">Fedezett </w:t>
      </w:r>
      <w:r>
        <w:t>finanszírozás, a csoporton belüli</w:t>
      </w:r>
      <w:r w:rsidR="00B279C2">
        <w:t>ek</w:t>
      </w:r>
      <w:r>
        <w:t xml:space="preserve"> kivételével (LIAB-G-6)</w:t>
      </w:r>
    </w:p>
    <w:p w14:paraId="7FE1B312" w14:textId="77742066" w:rsidR="00896468" w:rsidRDefault="00B31E50">
      <w:pPr>
        <w:pStyle w:val="P68B1DB1-body7"/>
        <w:numPr>
          <w:ilvl w:val="1"/>
          <w:numId w:val="211"/>
        </w:numPr>
      </w:pPr>
      <w:r>
        <w:t>Z 17.00 – Egyéb nem pénzügyi kötelezettségek (LIAB-G-7)</w:t>
      </w:r>
    </w:p>
    <w:p w14:paraId="7FE1B313" w14:textId="77777777" w:rsidR="00896468" w:rsidRDefault="00896468">
      <w:pPr>
        <w:pStyle w:val="body"/>
        <w:ind w:left="426"/>
        <w:rPr>
          <w:rFonts w:ascii="Times New Roman" w:hAnsi="Times New Roman" w:cs="Times New Roman"/>
          <w:color w:val="000000" w:themeColor="text1"/>
          <w:sz w:val="20"/>
          <w:szCs w:val="20"/>
        </w:rPr>
      </w:pPr>
    </w:p>
    <w:p w14:paraId="7FE1B314" w14:textId="77777777" w:rsidR="00896468" w:rsidRDefault="00B31E50">
      <w:pPr>
        <w:pStyle w:val="P68B1DB1-Instructionsberschrift25"/>
        <w:numPr>
          <w:ilvl w:val="1"/>
          <w:numId w:val="49"/>
        </w:numPr>
        <w:ind w:left="357" w:hanging="357"/>
      </w:pPr>
      <w:bookmarkStart w:id="6" w:name="_Toc81454172"/>
      <w:bookmarkStart w:id="7" w:name="_Toc210982859"/>
      <w:r>
        <w:t>Hivatkozások</w:t>
      </w:r>
      <w:bookmarkEnd w:id="6"/>
      <w:bookmarkEnd w:id="7"/>
    </w:p>
    <w:p w14:paraId="7FE1B315" w14:textId="77777777" w:rsidR="00896468" w:rsidRDefault="00B31E50">
      <w:pPr>
        <w:pStyle w:val="P68B1DB1-InstructionsText26"/>
        <w:numPr>
          <w:ilvl w:val="0"/>
          <w:numId w:val="225"/>
        </w:numPr>
        <w:spacing w:before="0"/>
      </w:pPr>
      <w:r>
        <w:t>E melléklet alkalmazásában:</w:t>
      </w:r>
    </w:p>
    <w:p w14:paraId="7FE1B317" w14:textId="77777777" w:rsidR="00896468" w:rsidRDefault="00B31E50">
      <w:pPr>
        <w:pStyle w:val="P68B1DB1-ListParagraph8"/>
        <w:numPr>
          <w:ilvl w:val="0"/>
          <w:numId w:val="60"/>
        </w:numPr>
        <w:ind w:left="1074"/>
        <w:jc w:val="both"/>
      </w:pPr>
      <w:r>
        <w:t>„CPMI”: a Nemzetközi Fizetések Bankjának Fizetési és Piaci Infrastruktúra Bizottsága;</w:t>
      </w:r>
    </w:p>
    <w:p w14:paraId="7FE1B318" w14:textId="36318AB0" w:rsidR="00896468" w:rsidRDefault="00B31E50">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az (EU) 2024/3117 bizottsági végrehajtási rendelet I. mellékletében felsorolt FINREP táblák</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7C4A1E56" w:rsidR="00896468" w:rsidRDefault="00B31E50">
      <w:pPr>
        <w:pStyle w:val="P68B1DB1-ListParagraph8"/>
        <w:numPr>
          <w:ilvl w:val="0"/>
          <w:numId w:val="60"/>
        </w:numPr>
        <w:ind w:left="1074"/>
        <w:jc w:val="both"/>
      </w:pPr>
      <w:r>
        <w:t>„COREP (OF)”: az (EU) 2024/3117 bizottsági végrehajtási rendelet I. melléklet</w:t>
      </w:r>
      <w:r w:rsidR="00B57EA8">
        <w:t>ében felsorolt</w:t>
      </w:r>
      <w:r>
        <w:t xml:space="preserve"> </w:t>
      </w:r>
      <w:r w:rsidR="00B57EA8">
        <w:t xml:space="preserve">COREP (OF) </w:t>
      </w:r>
      <w:r>
        <w:t>táblák;</w:t>
      </w:r>
    </w:p>
    <w:p w14:paraId="7FE1B31A" w14:textId="473FABA9" w:rsidR="00896468" w:rsidRDefault="00B31E50">
      <w:pPr>
        <w:pStyle w:val="P68B1DB1-ListParagraph8"/>
        <w:numPr>
          <w:ilvl w:val="0"/>
          <w:numId w:val="60"/>
        </w:numPr>
        <w:ind w:left="1074"/>
        <w:jc w:val="both"/>
      </w:pPr>
      <w:r>
        <w:t>„COREP (LR)”: az (EU) 2024/3117 bizottsági végrehajtási rendelet I. melléklet</w:t>
      </w:r>
      <w:r w:rsidR="00B57EA8">
        <w:t>ében felsorolt</w:t>
      </w:r>
      <w:r>
        <w:t xml:space="preserve"> </w:t>
      </w:r>
      <w:r w:rsidR="00B57EA8">
        <w:t xml:space="preserve">COREP (LR) </w:t>
      </w:r>
      <w:r>
        <w:t>táblák;</w:t>
      </w:r>
    </w:p>
    <w:p w14:paraId="7FE1B31B" w14:textId="77777777" w:rsidR="00896468" w:rsidRDefault="00B31E50">
      <w:pPr>
        <w:pStyle w:val="P68B1DB1-ListParagraph8"/>
        <w:numPr>
          <w:ilvl w:val="0"/>
          <w:numId w:val="60"/>
        </w:numPr>
        <w:ind w:left="1074"/>
        <w:jc w:val="both"/>
      </w:pPr>
      <w:r>
        <w:t>„FSB”: Pénzügyi Stabilitási Tanács;</w:t>
      </w:r>
    </w:p>
    <w:p w14:paraId="7FE1B31C" w14:textId="77777777" w:rsidR="00896468" w:rsidRDefault="00B31E50">
      <w:pPr>
        <w:pStyle w:val="P68B1DB1-ListParagraph9"/>
        <w:numPr>
          <w:ilvl w:val="0"/>
          <w:numId w:val="60"/>
        </w:numPr>
        <w:ind w:left="1074"/>
        <w:jc w:val="both"/>
        <w:rPr>
          <w:color w:val="000000" w:themeColor="text1"/>
          <w:sz w:val="20"/>
          <w:szCs w:val="20"/>
        </w:rPr>
      </w:pPr>
      <w:r>
        <w:rPr>
          <w:color w:val="000000" w:themeColor="text1"/>
          <w:sz w:val="20"/>
          <w:szCs w:val="20"/>
        </w:rPr>
        <w:t>„IAS”: az 1606/2002/EK európai parlamenti és tanácsi rendelet 2. cikkében meghatározott nemzetközi számviteli standardok</w:t>
      </w:r>
      <w:r w:rsidRPr="00C46908">
        <w:rPr>
          <w:vertAlign w:val="superscript"/>
        </w:rPr>
        <w:footnoteReference w:id="3"/>
      </w:r>
      <w:r>
        <w:rPr>
          <w:color w:val="000000" w:themeColor="text1"/>
          <w:sz w:val="20"/>
          <w:szCs w:val="20"/>
        </w:rPr>
        <w:t>;</w:t>
      </w:r>
    </w:p>
    <w:p w14:paraId="7FE1B31D" w14:textId="77777777" w:rsidR="00896468" w:rsidRDefault="00B31E50">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„IFRS”:az 1606/2002/EK rendelet 2. cikkében meghatározott nemzetközi pénzügyi beszámolási standardok</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896468" w:rsidRDefault="00B31E50">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„LEI-kód”: jogalany-azonosító kód, amelynek célja, hogy a Pénzügyi Stabilitási Tanács (FSB) által javasolt és a G20-ak által jóváhagyott pénzügyi tranzakciókban részt vevő felek egyedi és világméretű azonosítását biztosítsa. A globális LEI-rendszer teljes körű bevezetéséig a tranzakciós partnerekhez előzetes LEI kódot rendel a Szabályozói Felügyeleti Bizottság (ROC) által jóváhagyott Helyi Operatív Egység (LOU) (részletes információk a következő weboldalon találhatók: </w:t>
      </w:r>
      <w:r>
        <w:fldChar w:fldCharType="begin"/>
      </w:r>
      <w:r>
        <w:instrText>HYPERLINK "http://www.leiroc.org"</w:instrText>
      </w:r>
      <w:r>
        <w:fldChar w:fldCharType="separate"/>
      </w:r>
      <w:r>
        <w:rPr>
          <w:rStyle w:val="Hyperlink"/>
          <w:rFonts w:ascii="Times New Roman" w:hAnsi="Times New Roman"/>
          <w:color w:val="000000" w:themeColor="text1"/>
          <w:sz w:val="20"/>
          <w:szCs w:val="20"/>
        </w:rPr>
        <w:t>www.leiroc.org)</w:t>
      </w:r>
      <w:r>
        <w:fldChar w:fldCharType="end"/>
      </w:r>
      <w:r>
        <w:rPr>
          <w:rFonts w:ascii="Times New Roman" w:hAnsi="Times New Roman"/>
          <w:color w:val="000000" w:themeColor="text1"/>
          <w:sz w:val="20"/>
          <w:szCs w:val="20"/>
        </w:rPr>
        <w:t>. Ha egy adott partner rendelkezik LEI-kóddal, akkor ezt a kódot kell feltüntetni a partner azonosítására.</w:t>
      </w:r>
    </w:p>
    <w:p w14:paraId="7FE1B31F" w14:textId="34CF2B95" w:rsidR="00896468" w:rsidRDefault="00B31E50">
      <w:pPr>
        <w:pStyle w:val="P68B1DB1-ListParagraph8"/>
        <w:numPr>
          <w:ilvl w:val="0"/>
          <w:numId w:val="60"/>
        </w:numPr>
        <w:ind w:left="1074"/>
        <w:jc w:val="both"/>
      </w:pPr>
      <w:r>
        <w:t>Az „MPI ID” vagy „Monetary Financial Institution” azonosító az MPI-knek az EKB által a hitelintézetek és a monetáris pénzügyi intézmények szektorának mérlegtételeiről szóló, 2021. január 22-i (EU) 2021/379 európai központi banki rendelettel (átdolgozás) (EKB/2021/2) összhangban statisztikai célból fenntartott és közzétett jegyzékében szereplő MPI-k egyedi azonosító kódja, amelyet akkor kell jelenteni, ha még nem létezik LEI-kód.</w:t>
      </w:r>
    </w:p>
    <w:p w14:paraId="7FE1B320" w14:textId="0AC7C627" w:rsidR="00896468" w:rsidRDefault="00B31E50">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vagy „általánosan elfogadott nemzeti számviteli elvek”:a 86/635/EGK irányelv alapján kidolgozott nemzeti számviteli szabályozás</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0C0077A3" w:rsidR="00896468" w:rsidRDefault="00B31E50">
      <w:pPr>
        <w:pStyle w:val="P68B1DB1-ListParagraph8"/>
        <w:numPr>
          <w:ilvl w:val="0"/>
          <w:numId w:val="60"/>
        </w:numPr>
        <w:ind w:left="1074"/>
        <w:jc w:val="both"/>
      </w:pPr>
      <w:r>
        <w:t>„Működési eszköz”: olyan eszköz, amely nem pénzügyi eszköz, és amely releváns szolgáltatások</w:t>
      </w:r>
      <w:r w:rsidR="006A290F">
        <w:t xml:space="preserve"> nyújtásához szükséges, például </w:t>
      </w:r>
      <w:r>
        <w:t xml:space="preserve"> ingatlan szellemi tulajdon, beleértve a védjegyeket, szabadalmakat és szoftvereket; hardver; Informatikai rendszerek és alkalmazások; valamint adatraktárak. Az operatív eszközök akkor kritikusak/alapvető fontosságúak, ha az azokhoz való hozzáférés kritikus/alapvető szolgáltatás nyújtásához szükséges;</w:t>
      </w:r>
    </w:p>
    <w:p w14:paraId="7FE1B322" w14:textId="77777777" w:rsidR="00896468" w:rsidRDefault="00B31E50">
      <w:pPr>
        <w:pStyle w:val="P68B1DB1-ListParagraph8"/>
        <w:numPr>
          <w:ilvl w:val="0"/>
          <w:numId w:val="60"/>
        </w:numPr>
        <w:ind w:left="1074"/>
        <w:jc w:val="both"/>
      </w:pPr>
      <w:r>
        <w:t>„Releváns szolgáltatások”: olyan szolgáltatások, amelyek i. a bank gazdaság szempontjából kritikus funkcióit (kritikus szolgáltatások) és ii. azon fő üzletágakat (alapvető szolgáltatások) támasztják alá, amelyek folytonossága szükséges a szanálási stratégia hatékony végrehajtásához. Ezek a kategóriák átfedésben lehetnek. Ez hasonlóan vonatkozik a működési eszközökre és a személyzetre is.</w:t>
      </w:r>
    </w:p>
    <w:p w14:paraId="7FE1B323" w14:textId="5021E3E6" w:rsidR="00896468" w:rsidRDefault="00B31E50">
      <w:pPr>
        <w:pStyle w:val="P68B1DB1-ListParagraph8"/>
        <w:numPr>
          <w:ilvl w:val="0"/>
          <w:numId w:val="60"/>
        </w:numPr>
        <w:ind w:left="1074"/>
        <w:jc w:val="both"/>
      </w:pPr>
      <w:r>
        <w:t xml:space="preserve">„Releváns szerepkörök”: olyan munkakörök, amelyek </w:t>
      </w:r>
      <w:r w:rsidR="00BE227F">
        <w:t>szükségesek</w:t>
      </w:r>
      <w:r>
        <w:t xml:space="preserve"> a szanálás során a kritikus funkciók </w:t>
      </w:r>
      <w:r w:rsidR="00BE227F">
        <w:t xml:space="preserve">és fő üzletágak folytonosságának fenntartásához </w:t>
      </w:r>
      <w:r>
        <w:t>és a szanálási stratégia hatékony végrehajtásához és az azt követő szerkezetátalakításhoz.</w:t>
      </w:r>
    </w:p>
    <w:p w14:paraId="7FE1B324" w14:textId="77777777" w:rsidR="00896468" w:rsidRDefault="00896468">
      <w:pPr>
        <w:pStyle w:val="ListParagraph"/>
        <w:ind w:left="1074"/>
        <w:rPr>
          <w:rFonts w:ascii="Times New Roman" w:hAnsi="Times New Roman"/>
          <w:color w:val="000000" w:themeColor="text1"/>
          <w:sz w:val="20"/>
          <w:szCs w:val="20"/>
        </w:rPr>
      </w:pPr>
    </w:p>
    <w:p w14:paraId="7FE1B325" w14:textId="77777777" w:rsidR="00896468" w:rsidRDefault="00B31E50">
      <w:pPr>
        <w:pStyle w:val="P68B1DB1-Instructionsberschrift25"/>
        <w:numPr>
          <w:ilvl w:val="1"/>
          <w:numId w:val="49"/>
        </w:numPr>
        <w:ind w:left="357" w:hanging="357"/>
      </w:pPr>
      <w:bookmarkStart w:id="8" w:name="_Toc81454173"/>
      <w:bookmarkStart w:id="9" w:name="_Toc210982860"/>
      <w:r>
        <w:t>Számviteli standardok</w:t>
      </w:r>
      <w:bookmarkEnd w:id="8"/>
      <w:bookmarkEnd w:id="9"/>
    </w:p>
    <w:p w14:paraId="7FE1B326" w14:textId="6C573E68" w:rsidR="00896468" w:rsidRDefault="00B31E50">
      <w:pPr>
        <w:pStyle w:val="P68B1DB1-InstructionsText26"/>
        <w:numPr>
          <w:ilvl w:val="0"/>
          <w:numId w:val="71"/>
        </w:numPr>
        <w:spacing w:before="0"/>
        <w:ind w:left="714" w:hanging="357"/>
      </w:pPr>
      <w:r>
        <w:t xml:space="preserve">Amennyiben ezen útmutató másképp nem rendelkezik, az intézményeknek a (EU) 2024/3117 végrehajtási rendelet 9–11. cikkével összhangban a pénzügyi információk jelentéséhez használt számviteli szabályozás szerinti összegekről kell adatot szolgáltatniuk. Azoknak az intézményeknek, amelyek nem kötelesek a (EU) 2024/3117 végrehajtási rendeletnek megfelelően jelenteni a pénzügyi információkat, a rájuk vonatkozó számviteli szabályokat kell alkalmazniuk. </w:t>
      </w:r>
    </w:p>
    <w:p w14:paraId="7FE1B327" w14:textId="77777777" w:rsidR="00896468" w:rsidRDefault="00B31E50">
      <w:pPr>
        <w:pStyle w:val="P68B1DB1-InstructionsText26"/>
        <w:numPr>
          <w:ilvl w:val="0"/>
          <w:numId w:val="227"/>
        </w:numPr>
        <w:spacing w:before="0"/>
      </w:pPr>
      <w:r>
        <w:t>Az IFRS szerint jelentést tevő intézmények számára feltüntettük a vonatkozó IFRS-hivatkozásokat.</w:t>
      </w:r>
    </w:p>
    <w:p w14:paraId="7FE1B328" w14:textId="77777777" w:rsidR="00896468" w:rsidRDefault="00B31E50">
      <w:pPr>
        <w:pStyle w:val="P68B1DB1-Instructionsberschrift25"/>
        <w:numPr>
          <w:ilvl w:val="1"/>
          <w:numId w:val="49"/>
        </w:numPr>
        <w:ind w:left="357" w:hanging="357"/>
      </w:pPr>
      <w:bookmarkStart w:id="10" w:name="_Toc210982861"/>
      <w:bookmarkStart w:id="11" w:name="_Hlk167181695"/>
      <w:bookmarkStart w:id="12" w:name="_Toc81454174"/>
      <w:r>
        <w:t>A felügyeleti adatok jelentése</w:t>
      </w:r>
      <w:bookmarkEnd w:id="10"/>
    </w:p>
    <w:p w14:paraId="7FE1B329" w14:textId="5994FAD2" w:rsidR="00896468" w:rsidRDefault="00B31E50">
      <w:pPr>
        <w:pStyle w:val="P68B1DB1-Instructionsberschrift310"/>
        <w:numPr>
          <w:ilvl w:val="4"/>
          <w:numId w:val="49"/>
        </w:numPr>
      </w:pPr>
      <w:r>
        <w:t>Amennyiben az adatszolgáltató szervezet a szanálási tervezéshez kért referencia időpontban az 575/2013/EU rendelet</w:t>
      </w:r>
      <w:r w:rsidR="00745019" w:rsidRPr="00D351CF">
        <w:rPr>
          <w:vertAlign w:val="superscript"/>
        </w:rPr>
        <w:footnoteReference w:id="6"/>
      </w:r>
      <w:r>
        <w:t xml:space="preserve"> szerinti összevont vagy egyedi szintű felügyeleti adatszolgáltatás hatálya alá tartozik, a szervezetnek nem kell jelentenie a már jelentett adatpontokat. A szanálási hatóságok ezeket az adatpontokat közvetlenül az adatszolgáltató szervezet által már </w:t>
      </w:r>
      <w:r w:rsidR="00745019">
        <w:t xml:space="preserve">benyújtott </w:t>
      </w:r>
      <w:r>
        <w:t>felügyeleti jelentésekből szerzik be.</w:t>
      </w:r>
    </w:p>
    <w:p w14:paraId="7FE1B32A" w14:textId="436728C6" w:rsidR="00896468" w:rsidRDefault="00B31E50">
      <w:pPr>
        <w:pStyle w:val="Instructionsberschrift3"/>
        <w:numPr>
          <w:ilvl w:val="4"/>
          <w:numId w:val="49"/>
        </w:numPr>
      </w:pPr>
      <w:r>
        <w:rPr>
          <w:u w:val="none"/>
        </w:rPr>
        <w:lastRenderedPageBreak/>
        <w:t xml:space="preserve">Amennyiben a szervezet az adott vonatkozási időpontban nem tartozik felügyeleti adatszolgáltatás hatálya alá, a szervezetnek ezeket az adatpontokat az (EU) 20XX </w:t>
      </w:r>
      <w:r>
        <w:rPr>
          <w:highlight w:val="yellow"/>
          <w:u w:val="none"/>
        </w:rPr>
        <w:t>/XXX</w:t>
      </w:r>
      <w:r>
        <w:rPr>
          <w:u w:val="none"/>
        </w:rPr>
        <w:t>végrehajtási rendelettel összhangban kell jelentenie</w:t>
      </w:r>
      <w:r>
        <w:t xml:space="preserve">. </w:t>
      </w:r>
      <w:r>
        <w:rPr>
          <w:u w:val="none"/>
        </w:rPr>
        <w:t>.</w:t>
      </w:r>
    </w:p>
    <w:p w14:paraId="7FE1B32B" w14:textId="77777777" w:rsidR="00896468" w:rsidRDefault="00B31E50">
      <w:pPr>
        <w:pStyle w:val="P68B1DB1-Instructionsberschrift25"/>
        <w:numPr>
          <w:ilvl w:val="1"/>
          <w:numId w:val="49"/>
        </w:numPr>
        <w:ind w:left="357" w:hanging="357"/>
      </w:pPr>
      <w:bookmarkStart w:id="13" w:name="_Toc210982862"/>
      <w:bookmarkEnd w:id="11"/>
      <w:r>
        <w:t>A konszolidáció terjedelme</w:t>
      </w:r>
      <w:bookmarkEnd w:id="12"/>
      <w:bookmarkEnd w:id="13"/>
    </w:p>
    <w:p w14:paraId="7FE1B32C" w14:textId="77777777" w:rsidR="00896468" w:rsidRDefault="00B31E50">
      <w:pPr>
        <w:pStyle w:val="P68B1DB1-InstructionsText26"/>
        <w:numPr>
          <w:ilvl w:val="0"/>
          <w:numId w:val="228"/>
        </w:numPr>
        <w:spacing w:before="0"/>
      </w:pPr>
      <w:r>
        <w:t>Ez a keret az adott táblától függően a következőkre vonatkozik:</w:t>
      </w:r>
    </w:p>
    <w:p w14:paraId="7FE1B32D" w14:textId="77777777" w:rsidR="00896468" w:rsidRDefault="00B31E50">
      <w:pPr>
        <w:pStyle w:val="P68B1DB1-numberedparagraph11"/>
        <w:numPr>
          <w:ilvl w:val="0"/>
          <w:numId w:val="81"/>
        </w:numPr>
        <w:rPr>
          <w:rFonts w:eastAsiaTheme="majorEastAsia"/>
        </w:rPr>
      </w:pPr>
      <w:r>
        <w:t>konszolidálás a számviteli konszolidáció alapján (az alkalmazandó számviteli szabályozás szerinti konszolidált pénzügyi kimutatásokban szereplő gazdálkodó egységek);</w:t>
      </w:r>
    </w:p>
    <w:p w14:paraId="7FE1B32E" w14:textId="179BBDC6" w:rsidR="00896468" w:rsidRDefault="00B31E50">
      <w:pPr>
        <w:pStyle w:val="P68B1DB1-numberedparagraph11"/>
        <w:numPr>
          <w:ilvl w:val="0"/>
          <w:numId w:val="81"/>
        </w:numPr>
        <w:rPr>
          <w:rFonts w:eastAsiaTheme="majorEastAsia"/>
        </w:rPr>
      </w:pPr>
      <w:r>
        <w:t xml:space="preserve">prudenciális konszolidáció (az 575/2013/EU európai parlamenti és tanácsi rendelet első része II. címének 2. fejezete szerinti konszolidáció hatókörébe tartozó szervezetek) az EU-szintű anyavállalat szintjén; </w:t>
      </w:r>
    </w:p>
    <w:p w14:paraId="7FE1B32F" w14:textId="77D58B4C" w:rsidR="00896468" w:rsidRDefault="00B31E50">
      <w:pPr>
        <w:pStyle w:val="P68B1DB1-numberedparagraph11"/>
        <w:numPr>
          <w:ilvl w:val="0"/>
          <w:numId w:val="81"/>
        </w:numPr>
        <w:rPr>
          <w:rFonts w:eastAsiaTheme="majorEastAsia"/>
        </w:rPr>
      </w:pPr>
      <w:r>
        <w:t>konszolidálás a szanál</w:t>
      </w:r>
      <w:r w:rsidR="00745019">
        <w:t>ás alá vonható</w:t>
      </w:r>
      <w:r>
        <w:t xml:space="preserve"> csoport szanál</w:t>
      </w:r>
      <w:r w:rsidR="00745019">
        <w:t>ás alá vonható</w:t>
      </w:r>
      <w:r>
        <w:t xml:space="preserve"> szervezetének szintjén.</w:t>
      </w:r>
    </w:p>
    <w:p w14:paraId="7FE1B330" w14:textId="72F06A25" w:rsidR="00896468" w:rsidRDefault="00B31E50">
      <w:pPr>
        <w:pStyle w:val="InstructionsText2"/>
        <w:numPr>
          <w:ilvl w:val="0"/>
          <w:numId w:val="229"/>
        </w:numPr>
        <w:spacing w:before="0"/>
        <w:rPr>
          <w:rFonts w:ascii="Times New Roman" w:hAnsi="Times New Roman" w:cs="Times New Roman"/>
          <w:sz w:val="20"/>
          <w:szCs w:val="20"/>
        </w:rPr>
      </w:pPr>
      <w:r>
        <w:rPr>
          <w:highlight w:val="yellow"/>
        </w:rPr>
        <w:t xml:space="preserve">Az </w:t>
      </w:r>
      <w:r>
        <w:rPr>
          <w:rFonts w:ascii="Times New Roman" w:hAnsi="Times New Roman" w:cs="Times New Roman"/>
          <w:sz w:val="20"/>
          <w:szCs w:val="20"/>
        </w:rPr>
        <w:t xml:space="preserve">intézményeknek minden tábla esetében az (EU) </w:t>
      </w:r>
      <w:r>
        <w:rPr>
          <w:rFonts w:ascii="Times New Roman" w:hAnsi="Times New Roman" w:cs="Times New Roman"/>
          <w:sz w:val="20"/>
          <w:szCs w:val="20"/>
          <w:highlight w:val="yellow"/>
        </w:rPr>
        <w:t>20</w:t>
      </w:r>
      <w:r>
        <w:rPr>
          <w:rFonts w:ascii="Times New Roman" w:hAnsi="Times New Roman" w:cs="Times New Roman"/>
          <w:sz w:val="20"/>
          <w:szCs w:val="20"/>
        </w:rPr>
        <w:t>XX/XXX végrehajtási rendelet 2–5. cikke szerint alkalmazandó konszolidációs alapot vagy alapokat</w:t>
      </w:r>
      <w:r w:rsidR="00745019">
        <w:rPr>
          <w:rFonts w:ascii="Times New Roman" w:hAnsi="Times New Roman" w:cs="Times New Roman"/>
          <w:sz w:val="20"/>
          <w:szCs w:val="20"/>
        </w:rPr>
        <w:t xml:space="preserve"> </w:t>
      </w:r>
      <w:r>
        <w:rPr>
          <w:rFonts w:ascii="Times New Roman" w:hAnsi="Times New Roman" w:cs="Times New Roman"/>
          <w:sz w:val="20"/>
          <w:szCs w:val="20"/>
          <w:highlight w:val="yellow"/>
        </w:rPr>
        <w:t>kell</w:t>
      </w:r>
      <w:r w:rsidR="00745019">
        <w:rPr>
          <w:rFonts w:ascii="Times New Roman" w:hAnsi="Times New Roman" w:cs="Times New Roman"/>
          <w:sz w:val="20"/>
          <w:szCs w:val="20"/>
        </w:rPr>
        <w:t xml:space="preserve"> </w:t>
      </w:r>
      <w:r>
        <w:rPr>
          <w:rFonts w:ascii="Times New Roman" w:hAnsi="Times New Roman" w:cs="Times New Roman"/>
          <w:sz w:val="20"/>
          <w:szCs w:val="20"/>
        </w:rPr>
        <w:t>követniük.</w:t>
      </w:r>
    </w:p>
    <w:p w14:paraId="7FE1B331" w14:textId="77777777" w:rsidR="00896468" w:rsidRDefault="00B31E50">
      <w:pPr>
        <w:pStyle w:val="P68B1DB1-Instructionsberschrift25"/>
        <w:numPr>
          <w:ilvl w:val="1"/>
          <w:numId w:val="49"/>
        </w:numPr>
        <w:ind w:left="357" w:hanging="357"/>
      </w:pPr>
      <w:bookmarkStart w:id="14" w:name="_Toc81454175"/>
      <w:bookmarkStart w:id="15" w:name="_Toc210982863"/>
      <w:r>
        <w:t>Számozási és egyéb szabályok</w:t>
      </w:r>
      <w:bookmarkEnd w:id="14"/>
      <w:bookmarkEnd w:id="15"/>
    </w:p>
    <w:p w14:paraId="7FE1B332" w14:textId="639ED14D" w:rsidR="00896468" w:rsidRDefault="00B31E50">
      <w:pPr>
        <w:pStyle w:val="P68B1DB1-InstructionsText26"/>
        <w:numPr>
          <w:ilvl w:val="0"/>
          <w:numId w:val="230"/>
        </w:numPr>
        <w:spacing w:before="0"/>
      </w:pPr>
      <w:r>
        <w:t>Ezek az utasítások a táblák oszlopaira, soraira és celláira való hivatkozáskor az alábbiakban meghatározott jelölési szabályokat követik. Ezeket a numerikus kódokat kimerítően használják a validálási szabályok.</w:t>
      </w:r>
    </w:p>
    <w:p w14:paraId="7FE1B333" w14:textId="24776AD5" w:rsidR="00896468" w:rsidRDefault="00B31E50">
      <w:pPr>
        <w:pStyle w:val="P68B1DB1-InstructionsText26"/>
        <w:numPr>
          <w:ilvl w:val="0"/>
          <w:numId w:val="230"/>
        </w:numPr>
        <w:spacing w:before="0"/>
      </w:pPr>
      <w:r>
        <w:t>A táblák oszlopaira, soraira és celláira való hivatkozáskor az útmutató a következő általános jelölési szabályokat követi: {Tábla;Sor;Oszlop}.</w:t>
      </w:r>
    </w:p>
    <w:p w14:paraId="7FE1B334" w14:textId="144A32B1" w:rsidR="00896468" w:rsidRDefault="00B31E50">
      <w:pPr>
        <w:pStyle w:val="P68B1DB1-InstructionsText26"/>
        <w:numPr>
          <w:ilvl w:val="0"/>
          <w:numId w:val="230"/>
        </w:numPr>
        <w:spacing w:before="0"/>
      </w:pPr>
      <w:r>
        <w:t>Olyan táblán belüli validálás esetén, amelynél az adott táblából csak adatpontokat használunk, a jelölés nem hivatkozik a táblára: {Sor;Oszlop}.</w:t>
      </w:r>
    </w:p>
    <w:p w14:paraId="7FE1B335" w14:textId="77777777" w:rsidR="00896468" w:rsidRDefault="00B31E50">
      <w:pPr>
        <w:pStyle w:val="P68B1DB1-InstructionsText26"/>
        <w:numPr>
          <w:ilvl w:val="0"/>
          <w:numId w:val="230"/>
        </w:numPr>
        <w:spacing w:before="0"/>
      </w:pPr>
      <w:r>
        <w:t>Az olyan táblák esetében, amelyek csak egy oszlopot tartalmaznak, a jelölés csak a sorokra hivatkozik: {Tábla;Sor}.</w:t>
      </w:r>
    </w:p>
    <w:p w14:paraId="7FE1B336" w14:textId="77777777" w:rsidR="00896468" w:rsidRDefault="00B31E50">
      <w:pPr>
        <w:pStyle w:val="P68B1DB1-InstructionsText26"/>
        <w:numPr>
          <w:ilvl w:val="0"/>
          <w:numId w:val="230"/>
        </w:numPr>
        <w:spacing w:before="0"/>
      </w:pPr>
      <w:r>
        <w:t>Csillag jelöli, hogy a validálás a korábban meghatározott sorra vagy oszlopra megtörtént.</w:t>
      </w:r>
    </w:p>
    <w:p w14:paraId="7FE1B337" w14:textId="77777777" w:rsidR="00896468" w:rsidRDefault="00B31E50">
      <w:pPr>
        <w:pStyle w:val="P68B1DB1-InstructionsText26"/>
        <w:numPr>
          <w:ilvl w:val="0"/>
          <w:numId w:val="230"/>
        </w:numPr>
        <w:spacing w:before="0"/>
      </w:pPr>
      <w:r>
        <w:t>Amennyiben egy adatelem nem alkalmazandó azokra a szervezetekre, amelyekkel kapcsolatban az adatszolgáltatást benyújtották, a megfelelő mezőt üresen kell hagyni.</w:t>
      </w:r>
    </w:p>
    <w:p w14:paraId="7FE1B338" w14:textId="77777777" w:rsidR="00896468" w:rsidRDefault="00B31E50">
      <w:pPr>
        <w:pStyle w:val="P68B1DB1-InstructionsText26"/>
        <w:numPr>
          <w:ilvl w:val="0"/>
          <w:numId w:val="230"/>
        </w:numPr>
        <w:spacing w:before="0"/>
      </w:pPr>
      <w:r>
        <w:t>Ha az útmutató elsődleges kulcsra utal, ez egy olyan oszlopot vagy oszlopok olyan kombinációját jelenti, amely egyedileg azonosítja a tábla összes sorát. Az elsődleges kulcsnak egyedi értéket kell tartalmaznia a tábla minden sorára vonatkozóan. Nem tartalmazhat nulla értéket.</w:t>
      </w:r>
    </w:p>
    <w:p w14:paraId="7FE1B339" w14:textId="77777777" w:rsidR="00896468" w:rsidRDefault="00B31E50">
      <w:pPr>
        <w:pStyle w:val="P68B1DB1-Instructionsberschrift24"/>
        <w:numPr>
          <w:ilvl w:val="0"/>
          <w:numId w:val="49"/>
        </w:numPr>
        <w:ind w:left="357" w:hanging="357"/>
      </w:pPr>
      <w:bookmarkStart w:id="16" w:name="_Toc492542319"/>
      <w:bookmarkStart w:id="17" w:name="_Toc81454176"/>
      <w:bookmarkStart w:id="18" w:name="_Toc210982864"/>
      <w:r>
        <w:t>A táblákhoz kapcsolódó útmutató</w:t>
      </w:r>
      <w:bookmarkEnd w:id="16"/>
      <w:bookmarkEnd w:id="17"/>
      <w:bookmarkEnd w:id="18"/>
    </w:p>
    <w:p w14:paraId="7FE1B33A" w14:textId="4B159F8B" w:rsidR="00896468" w:rsidRDefault="00B31E50">
      <w:pPr>
        <w:pStyle w:val="P68B1DB1-Instructionsberschrift25"/>
        <w:numPr>
          <w:ilvl w:val="1"/>
          <w:numId w:val="49"/>
        </w:numPr>
        <w:ind w:left="357" w:hanging="357"/>
      </w:pPr>
      <w:bookmarkStart w:id="19" w:name="_Toc493236007"/>
      <w:bookmarkStart w:id="20" w:name="_Toc81454177"/>
      <w:bookmarkStart w:id="21" w:name="_Toc210982865"/>
      <w:bookmarkEnd w:id="19"/>
      <w:r>
        <w:t>Z 01.01 – Jog</w:t>
      </w:r>
      <w:r w:rsidR="006A5553">
        <w:t xml:space="preserve">i </w:t>
      </w:r>
      <w:r>
        <w:t>személyek (ORG 1)</w:t>
      </w:r>
      <w:bookmarkEnd w:id="20"/>
      <w:bookmarkEnd w:id="21"/>
    </w:p>
    <w:p w14:paraId="7FE1B33B" w14:textId="77777777" w:rsidR="00896468" w:rsidRDefault="00B31E50">
      <w:pPr>
        <w:pStyle w:val="Instructionsberschrift3"/>
      </w:pPr>
      <w:r>
        <w:t>Általános megjegyzések</w:t>
      </w:r>
    </w:p>
    <w:p w14:paraId="7FE1B33C" w14:textId="39C908EE" w:rsidR="00896468" w:rsidRDefault="00B31E50">
      <w:pPr>
        <w:pStyle w:val="P68B1DB1-InstructionsText26"/>
        <w:numPr>
          <w:ilvl w:val="0"/>
          <w:numId w:val="231"/>
        </w:numPr>
        <w:spacing w:before="0"/>
      </w:pPr>
      <w:r>
        <w:t xml:space="preserve">A számviteli konszolidáció körébe tartozó valamennyi csoporthoz tartozó </w:t>
      </w:r>
      <w:r w:rsidR="0013673A">
        <w:t xml:space="preserve">szervezetre </w:t>
      </w:r>
      <w:r>
        <w:t xml:space="preserve">vonatkozóan egyetlen táblát kell benyújtani. Ebben a táblában csak jogi személyek szerepelhetnek. </w:t>
      </w:r>
    </w:p>
    <w:p w14:paraId="7FE1B33D" w14:textId="48C6FEBF" w:rsidR="00896468" w:rsidRDefault="00B31E50">
      <w:pPr>
        <w:pStyle w:val="P68B1DB1-InstructionsText26"/>
        <w:numPr>
          <w:ilvl w:val="0"/>
          <w:numId w:val="231"/>
        </w:numPr>
        <w:spacing w:before="0"/>
      </w:pPr>
      <w:r>
        <w:t>Az érintett jog</w:t>
      </w:r>
      <w:r w:rsidR="0013673A">
        <w:t>i személyek</w:t>
      </w:r>
      <w:r>
        <w:t xml:space="preserve"> fogalma nem korlátozódik kizárólag a banki műveletekre, hanem magában foglal más olyan jog</w:t>
      </w:r>
      <w:r w:rsidR="0013673A">
        <w:t>i személyeket</w:t>
      </w:r>
      <w:r>
        <w:t xml:space="preserve"> is, amelyekre a bankcsoport </w:t>
      </w:r>
      <w:r>
        <w:lastRenderedPageBreak/>
        <w:t>műveleteinek jelentős mértékű támogatásához van szükség. Ide tartoznak a kritikus funkciók</w:t>
      </w:r>
      <w:r w:rsidR="00CB3B50">
        <w:t>hoz</w:t>
      </w:r>
      <w:r>
        <w:t xml:space="preserve"> és/vagy </w:t>
      </w:r>
      <w:r w:rsidR="004268F4">
        <w:t xml:space="preserve">fő </w:t>
      </w:r>
      <w:r>
        <w:t>üzletágak</w:t>
      </w:r>
      <w:r w:rsidR="00CB3B50">
        <w:t>hoz kapcsolódó</w:t>
      </w:r>
      <w:r>
        <w:t xml:space="preserve"> szolgáltatók, a finanszírozást nyújtó szervezetek és a csoporttal (gazdaságilag) szorosan összefonódó egyéb szervezetek. E további szervezetek </w:t>
      </w:r>
      <w:r w:rsidR="0013673A">
        <w:t xml:space="preserve">azonosítása </w:t>
      </w:r>
      <w:r>
        <w:t xml:space="preserve">várhatóan a szanálási stratégia szanálási hatóságok által meghatározott követelményei </w:t>
      </w:r>
      <w:r w:rsidR="0013673A">
        <w:t>alapján fog történni</w:t>
      </w:r>
      <w:r>
        <w:t>.</w:t>
      </w:r>
    </w:p>
    <w:p w14:paraId="7FE1B33E" w14:textId="77777777" w:rsidR="00896468" w:rsidRDefault="00B31E50">
      <w:pPr>
        <w:pStyle w:val="P68B1DB1-Instructionsberschrift312"/>
      </w:pPr>
      <w:r>
        <w:t>A táblák egyes részeire vonatkozó útmutatások</w:t>
      </w:r>
    </w:p>
    <w:p w14:paraId="7FE1B33F" w14:textId="77777777" w:rsidR="00896468" w:rsidRDefault="00896468">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90"/>
        <w:gridCol w:w="8136"/>
      </w:tblGrid>
      <w:tr w:rsidR="00896468"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896468" w:rsidRDefault="00B31E50">
            <w:pPr>
              <w:pStyle w:val="P68B1DB1-TableParagraph13"/>
              <w:spacing w:before="66"/>
              <w:rPr>
                <w:rFonts w:eastAsia="Cambria"/>
              </w:rPr>
            </w:pPr>
            <w:r>
              <w:t>Oszlopok</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896468" w:rsidRDefault="00B31E50">
            <w:pPr>
              <w:pStyle w:val="P68B1DB1-TableParagraph13"/>
              <w:spacing w:before="66"/>
              <w:ind w:right="1"/>
              <w:jc w:val="center"/>
              <w:rPr>
                <w:rFonts w:eastAsia="Cambria"/>
              </w:rPr>
            </w:pPr>
            <w:r>
              <w:t>Útmutató</w:t>
            </w:r>
          </w:p>
        </w:tc>
      </w:tr>
      <w:tr w:rsidR="00896468"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896468" w:rsidRDefault="00B31E50">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896468" w:rsidRDefault="00B31E50">
            <w:pPr>
              <w:pStyle w:val="P68B1DB1-TableParagraph14"/>
              <w:spacing w:before="108"/>
              <w:ind w:left="85"/>
            </w:pPr>
            <w:r>
              <w:t>Megnevezés</w:t>
            </w:r>
          </w:p>
          <w:p w14:paraId="7FE1B348" w14:textId="3D2D6D6A" w:rsidR="00896468" w:rsidRDefault="00B31E50">
            <w:pPr>
              <w:pStyle w:val="P68B1DB1-TableParagraph15"/>
              <w:spacing w:before="108"/>
              <w:ind w:left="85"/>
            </w:pPr>
            <w:r>
              <w:t>A szervezet neve. A társasági jogi aktusokban szereplő hivatalos név, beleértve a jogi forma megjelölését is.</w:t>
            </w:r>
          </w:p>
        </w:tc>
      </w:tr>
      <w:tr w:rsidR="00896468"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896468" w:rsidRDefault="00B31E50">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896468" w:rsidRDefault="00B31E50">
            <w:pPr>
              <w:pStyle w:val="P68B1DB1-TableParagraph14"/>
              <w:spacing w:before="108"/>
              <w:ind w:left="85"/>
            </w:pPr>
            <w:r>
              <w:t>Kód</w:t>
            </w:r>
          </w:p>
          <w:p w14:paraId="7FE1B34C" w14:textId="1527D2B6" w:rsidR="00896468" w:rsidRDefault="00B31E50">
            <w:pPr>
              <w:pStyle w:val="P68B1DB1-TableParagraph13"/>
              <w:spacing w:before="108"/>
              <w:ind w:left="85"/>
            </w:pPr>
            <w:r>
              <w:t>A szervezet kódja. Intézmények esetében a kód a 20 jegyű, alfanumerikus LEI-kód. Más szervezetek esetében a kód a 20 jegyű, alfanumerikus LEI-kód, vagy ha nem áll rendelkezésre, az M</w:t>
            </w:r>
            <w:r w:rsidR="00CB3B50">
              <w:t>P</w:t>
            </w:r>
            <w:r>
              <w:t>I azonosító vagy az Unióban alkalmazandó egységes kódrendszer szerinti kód.</w:t>
            </w:r>
          </w:p>
          <w:p w14:paraId="7FE1B34D" w14:textId="77777777" w:rsidR="00896468" w:rsidRDefault="00B31E50">
            <w:pPr>
              <w:pStyle w:val="P68B1DB1-TableParagraph13"/>
              <w:spacing w:before="108"/>
              <w:ind w:left="85"/>
            </w:pPr>
            <w:r>
              <w:t>A kódnak egyedinek kell lennie, és azt valamennyi táblán következetesen kell használni. A kódnak mindig valamely értéket kell tartalmaznia.</w:t>
            </w:r>
          </w:p>
        </w:tc>
      </w:tr>
      <w:tr w:rsidR="00896468"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896468" w:rsidRDefault="00B31E50">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896468" w:rsidRDefault="00B31E50">
            <w:pPr>
              <w:pStyle w:val="P68B1DB1-TableParagraph14"/>
              <w:spacing w:before="108"/>
              <w:ind w:left="85"/>
              <w:jc w:val="both"/>
            </w:pPr>
            <w:r>
              <w:t>Kódok típusa</w:t>
            </w:r>
          </w:p>
          <w:p w14:paraId="7FE1B352" w14:textId="7C9FB737" w:rsidR="00896468" w:rsidRDefault="00B31E50">
            <w:pPr>
              <w:pStyle w:val="P68B1DB1-TableParagraph13"/>
              <w:spacing w:before="108"/>
            </w:pPr>
            <w:r>
              <w:t>A következő listából választandó: „LEI-kód”, „MPI-kód” vagy „Az azonosító típusa, a LEI- vagy MPI-kód kivételével.</w:t>
            </w:r>
          </w:p>
          <w:p w14:paraId="7FE1B353" w14:textId="33CB441E" w:rsidR="00896468" w:rsidRDefault="00B31E50">
            <w:pPr>
              <w:pStyle w:val="P68B1DB1-TableParagraph13"/>
              <w:spacing w:before="108"/>
              <w:ind w:left="85"/>
              <w:jc w:val="both"/>
              <w:rPr>
                <w:b/>
              </w:rPr>
            </w:pPr>
            <w:r>
              <w:t xml:space="preserve">A </w:t>
            </w:r>
            <w:r w:rsidR="00CB3B50">
              <w:t>szervezetek</w:t>
            </w:r>
            <w:r>
              <w:t xml:space="preserve"> azonosítását a táblákban következetesen kell elvégezni.</w:t>
            </w:r>
          </w:p>
        </w:tc>
      </w:tr>
      <w:tr w:rsidR="00896468"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896468" w:rsidRDefault="00B31E50">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896468" w:rsidRDefault="00B31E50">
            <w:pPr>
              <w:pStyle w:val="P68B1DB1-TableParagraph14"/>
              <w:spacing w:before="108"/>
              <w:ind w:left="85"/>
            </w:pPr>
            <w:r>
              <w:t>A szervezet típusa</w:t>
            </w:r>
          </w:p>
          <w:p w14:paraId="7FE1B35B" w14:textId="77777777" w:rsidR="00896468" w:rsidRDefault="00B31E50">
            <w:pPr>
              <w:pStyle w:val="P68B1DB1-TableParagraph13"/>
              <w:spacing w:before="108"/>
              <w:ind w:left="85"/>
            </w:pPr>
            <w:r>
              <w:t>A szervezet típusa – fontossági sorrendben – a következők egyike lehet:</w:t>
            </w:r>
          </w:p>
          <w:p w14:paraId="7FE1B35C" w14:textId="77777777" w:rsidR="00896468" w:rsidRDefault="00B31E50">
            <w:pPr>
              <w:pStyle w:val="P68B1DB1-TableParagraph13"/>
              <w:numPr>
                <w:ilvl w:val="0"/>
                <w:numId w:val="67"/>
              </w:numPr>
              <w:spacing w:before="108"/>
            </w:pPr>
            <w:r>
              <w:t>„Hitelintézet”</w:t>
            </w:r>
          </w:p>
          <w:p w14:paraId="7FE1B35D" w14:textId="00D45FCC" w:rsidR="00896468" w:rsidRDefault="00B31E50">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Ide</w:t>
            </w:r>
            <w:r w:rsidR="00CB3B5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tartozik az 575/2013/EU rendelet 4. cikke (1) bekezdésének 1. pontjában meghatározott hitelintézet, kivéve a 2013/36/EU irányelv 2. cikkének (5) bekezdésében meghatározott szervezeteket</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896468" w:rsidRDefault="00B31E50">
            <w:pPr>
              <w:pStyle w:val="P68B1DB1-TableParagraph13"/>
              <w:numPr>
                <w:ilvl w:val="0"/>
                <w:numId w:val="67"/>
              </w:numPr>
              <w:spacing w:before="108"/>
            </w:pPr>
            <w:r>
              <w:t>A (EU) 2019/2034 irányelv 9. cikkének (1) bekezdésében meghatározott indulótőke-követelmény hatálya alá tartozó befektetési vállalkozás</w:t>
            </w:r>
          </w:p>
          <w:p w14:paraId="7FE1B35F" w14:textId="5C8BE28D" w:rsidR="00896468" w:rsidRDefault="00B31E50">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Ide</w:t>
            </w:r>
            <w:r w:rsidR="00CB3B5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tartozik az (EU) 2019/2033 rendelet 4. cikke (1) bekezdésének 22. pontjában meghatározott, a (EU) 2019/2034 irányelv 9. cikkének (1) bekezdésében megállapított indulótőke-követelmény</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hatálya alá tartozó befektetési vállalkozás</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896468" w:rsidRDefault="00B31E50">
            <w:pPr>
              <w:pStyle w:val="P68B1DB1-TableParagraph13"/>
              <w:numPr>
                <w:ilvl w:val="0"/>
                <w:numId w:val="67"/>
              </w:numPr>
              <w:spacing w:before="108"/>
            </w:pPr>
            <w:r>
              <w:t>A (EU) 2019/2034 irányelv 9. cikkének (1) bekezdésében meghatározott indulótőke-követelmény hatálya alá nem tartozó befektetési vállalkozás</w:t>
            </w:r>
          </w:p>
          <w:p w14:paraId="7FE1B361" w14:textId="77777777" w:rsidR="00896468" w:rsidRDefault="00B31E50">
            <w:pPr>
              <w:pStyle w:val="P68B1DB1-TableParagraph13"/>
              <w:numPr>
                <w:ilvl w:val="0"/>
                <w:numId w:val="67"/>
              </w:numPr>
              <w:spacing w:before="108"/>
            </w:pPr>
            <w:r>
              <w:t>Pénzügyi vállalkozás</w:t>
            </w:r>
          </w:p>
          <w:p w14:paraId="7FE1B362" w14:textId="12ED448C" w:rsidR="00896468" w:rsidRDefault="00B31E50">
            <w:pPr>
              <w:pStyle w:val="P68B1DB1-TableParagraph13"/>
              <w:spacing w:before="108"/>
              <w:ind w:left="445"/>
            </w:pPr>
            <w:r>
              <w:t>Ide</w:t>
            </w:r>
            <w:r w:rsidR="00CB3B50">
              <w:t xml:space="preserve"> </w:t>
            </w:r>
            <w:r>
              <w:t xml:space="preserve">tartozik az 575/2013/EU rendelet 4. cikke (1) bekezdésének 26. pontjában meghatározott </w:t>
            </w:r>
            <w:r>
              <w:lastRenderedPageBreak/>
              <w:t>pénzügyi vállalkozás, kivéve az alábbi e) pontban meghatározott „holdingtársaságnak” minősülő pénzügyi vállalkozás;</w:t>
            </w:r>
          </w:p>
          <w:p w14:paraId="7FE1B363" w14:textId="77777777" w:rsidR="00896468" w:rsidRDefault="00B31E50">
            <w:pPr>
              <w:pStyle w:val="P68B1DB1-TableParagraph13"/>
              <w:numPr>
                <w:ilvl w:val="0"/>
                <w:numId w:val="67"/>
              </w:numPr>
              <w:spacing w:before="108"/>
            </w:pPr>
            <w:r>
              <w:t>„Holdingtársaság”</w:t>
            </w:r>
          </w:p>
          <w:p w14:paraId="7FE1B364" w14:textId="77777777" w:rsidR="00896468" w:rsidRDefault="00B31E50">
            <w:pPr>
              <w:pStyle w:val="P68B1DB1-TableParagraph13"/>
              <w:spacing w:before="108"/>
              <w:ind w:left="445"/>
            </w:pPr>
            <w:r>
              <w:t>Ebbe a kategóriába tartoznak a következők:</w:t>
            </w:r>
          </w:p>
          <w:p w14:paraId="7FE1B365" w14:textId="77777777" w:rsidR="00896468" w:rsidRDefault="00B31E50">
            <w:pPr>
              <w:pStyle w:val="P68B1DB1-TableParagraph13"/>
              <w:numPr>
                <w:ilvl w:val="0"/>
                <w:numId w:val="68"/>
              </w:numPr>
              <w:spacing w:before="108"/>
            </w:pPr>
            <w:r>
              <w:t>Az 575/2013/EU rendelet 4. cikke (1) bekezdésének 20. pontjában meghatározott pénzügyi holdingtársaság;</w:t>
            </w:r>
          </w:p>
          <w:p w14:paraId="7FE1B366" w14:textId="77777777" w:rsidR="00896468" w:rsidRDefault="00B31E50">
            <w:pPr>
              <w:pStyle w:val="P68B1DB1-TableParagraph13"/>
              <w:numPr>
                <w:ilvl w:val="0"/>
                <w:numId w:val="68"/>
              </w:numPr>
              <w:spacing w:before="108"/>
            </w:pPr>
            <w:r>
              <w:t>Az 575/2013/EU rendelet 4. cikke (1) bekezdésének 21. pontjában meghatározott vegyes pénzügyi holdingtársaság;</w:t>
            </w:r>
          </w:p>
          <w:p w14:paraId="7FE1B367" w14:textId="77777777" w:rsidR="00896468" w:rsidRDefault="00B31E50">
            <w:pPr>
              <w:pStyle w:val="P68B1DB1-TableParagraph13"/>
              <w:numPr>
                <w:ilvl w:val="0"/>
                <w:numId w:val="68"/>
              </w:numPr>
              <w:spacing w:before="108"/>
            </w:pPr>
            <w:r>
              <w:t>Az 575/2013/EU rendelet 4. cikke (1) bekezdésének 22. pontjában meghatározott vegyes tevékenységű holdingtársaság;</w:t>
            </w:r>
          </w:p>
          <w:p w14:paraId="7FE1B368" w14:textId="77777777" w:rsidR="00896468" w:rsidRDefault="00B31E50">
            <w:pPr>
              <w:pStyle w:val="P68B1DB1-TableParagraph13"/>
              <w:numPr>
                <w:ilvl w:val="0"/>
                <w:numId w:val="68"/>
              </w:numPr>
              <w:spacing w:before="108"/>
            </w:pPr>
            <w:r>
              <w:t>Az 575/2013/EU rendelet 4. cikke (1) bekezdésének 30. pontjában meghatározott pénzügyi holdingtársaság anyavállalat;</w:t>
            </w:r>
          </w:p>
          <w:p w14:paraId="7FE1B369" w14:textId="77777777" w:rsidR="00896468" w:rsidRDefault="00B31E50">
            <w:pPr>
              <w:pStyle w:val="P68B1DB1-TableParagraph13"/>
              <w:numPr>
                <w:ilvl w:val="0"/>
                <w:numId w:val="68"/>
              </w:numPr>
              <w:spacing w:before="108"/>
            </w:pPr>
            <w:r>
              <w:t>Az 575/2013/EU rendelet 4. cikke (1) bekezdésének 31. pontjában meghatározott EU-szintű pénzügyi holdingtársaság anyavállalat;</w:t>
            </w:r>
          </w:p>
          <w:p w14:paraId="7FE1B36A" w14:textId="77777777" w:rsidR="00896468" w:rsidRDefault="00B31E50">
            <w:pPr>
              <w:pStyle w:val="P68B1DB1-TableParagraph13"/>
              <w:numPr>
                <w:ilvl w:val="0"/>
                <w:numId w:val="68"/>
              </w:numPr>
              <w:spacing w:before="108"/>
            </w:pPr>
            <w:r>
              <w:t>Az 575/2013/EU rendelet 4. cikke (1) bekezdésének 32. pontjában meghatározott tagállami vegyes pénzügyi holdingtársaság anyavállalat;</w:t>
            </w:r>
          </w:p>
          <w:p w14:paraId="7FE1B36B" w14:textId="77777777" w:rsidR="00896468" w:rsidRDefault="00B31E50">
            <w:pPr>
              <w:pStyle w:val="P68B1DB1-TableParagraph13"/>
              <w:numPr>
                <w:ilvl w:val="0"/>
                <w:numId w:val="68"/>
              </w:numPr>
              <w:spacing w:before="108"/>
            </w:pPr>
            <w:r>
              <w:t>Az 575/2013/EU rendelet 4. cikke (1) bekezdésének 33. pontjában meghatározott EU-szintű vegyes pénzügyi holdingtársaság anyavállalat;</w:t>
            </w:r>
          </w:p>
          <w:p w14:paraId="7FE1B36C" w14:textId="0F68F780" w:rsidR="00896468" w:rsidRDefault="00B31E50">
            <w:pPr>
              <w:pStyle w:val="P68B1DB1-TableParagraph13"/>
              <w:numPr>
                <w:ilvl w:val="0"/>
                <w:numId w:val="67"/>
              </w:numPr>
              <w:spacing w:before="108"/>
            </w:pPr>
            <w:r>
              <w:t>Biztosító</w:t>
            </w:r>
          </w:p>
          <w:p w14:paraId="7FE1B36D" w14:textId="77777777" w:rsidR="00896468" w:rsidRDefault="00B31E50">
            <w:pPr>
              <w:pStyle w:val="P68B1DB1-TableParagraph16"/>
              <w:numPr>
                <w:ilvl w:val="0"/>
                <w:numId w:val="68"/>
              </w:numPr>
              <w:spacing w:before="108"/>
              <w:rPr>
                <w:color w:val="000000" w:themeColor="text1"/>
                <w:sz w:val="20"/>
                <w:szCs w:val="20"/>
              </w:rPr>
            </w:pPr>
            <w:r>
              <w:rPr>
                <w:color w:val="000000" w:themeColor="text1"/>
                <w:sz w:val="20"/>
                <w:szCs w:val="20"/>
              </w:rPr>
              <w:t>Idetartozik a 2009/138/EK európai parlamenti és tanácsi irányelv 13. cikkében meghatározott biztosító</w:t>
            </w:r>
            <w:r w:rsidRPr="00C46908">
              <w:rPr>
                <w:vertAlign w:val="superscript"/>
              </w:rPr>
              <w:footnoteReference w:id="10"/>
            </w:r>
            <w:r w:rsidRPr="00C46908">
              <w:rPr>
                <w:color w:val="000000" w:themeColor="text1"/>
                <w:sz w:val="20"/>
                <w:szCs w:val="20"/>
                <w:vertAlign w:val="superscript"/>
              </w:rPr>
              <w:t>;</w:t>
            </w:r>
          </w:p>
          <w:p w14:paraId="7FE1B36E" w14:textId="18010EFD" w:rsidR="00896468" w:rsidRDefault="00B31E50">
            <w:pPr>
              <w:pStyle w:val="P68B1DB1-TableParagraph13"/>
              <w:numPr>
                <w:ilvl w:val="0"/>
                <w:numId w:val="67"/>
              </w:numPr>
              <w:spacing w:before="108"/>
            </w:pPr>
            <w:r>
              <w:t>A csoporton belüli, kritikus funkciókhoz és/vagy jelentős gazdasági műveletekhez kapcsolódó „</w:t>
            </w:r>
            <w:r w:rsidR="004268F4">
              <w:t>releváns</w:t>
            </w:r>
            <w:r w:rsidR="00A54A93">
              <w:t xml:space="preserve"> </w:t>
            </w:r>
            <w:r>
              <w:t>szolgáltató”.</w:t>
            </w:r>
          </w:p>
          <w:p w14:paraId="7FE1B370" w14:textId="77777777" w:rsidR="00896468" w:rsidRDefault="00896468">
            <w:pPr>
              <w:pStyle w:val="TableParagraph"/>
              <w:spacing w:before="108"/>
              <w:rPr>
                <w:rFonts w:ascii="Times New Roman" w:hAnsi="Times New Roman" w:cs="Times New Roman"/>
                <w:color w:val="000000" w:themeColor="text1"/>
                <w:sz w:val="20"/>
                <w:szCs w:val="20"/>
              </w:rPr>
            </w:pPr>
          </w:p>
          <w:p w14:paraId="7FE1B371" w14:textId="5EDE8973" w:rsidR="00896468" w:rsidRDefault="00B31E50">
            <w:pPr>
              <w:pStyle w:val="P68B1DB1-TableParagraph16"/>
              <w:numPr>
                <w:ilvl w:val="0"/>
                <w:numId w:val="67"/>
              </w:numPr>
              <w:spacing w:before="108"/>
              <w:rPr>
                <w:color w:val="000000" w:themeColor="text1"/>
                <w:sz w:val="20"/>
                <w:szCs w:val="20"/>
              </w:rPr>
            </w:pPr>
            <w:r>
              <w:rPr>
                <w:color w:val="000000" w:themeColor="text1"/>
                <w:sz w:val="20"/>
                <w:szCs w:val="20"/>
              </w:rPr>
              <w:t xml:space="preserve">Egyéb szervezettípus, amennyiben a </w:t>
            </w:r>
            <w:r w:rsidR="00CB3B50">
              <w:rPr>
                <w:color w:val="000000" w:themeColor="text1"/>
                <w:sz w:val="20"/>
                <w:szCs w:val="20"/>
              </w:rPr>
              <w:t>szervezet</w:t>
            </w:r>
            <w:r>
              <w:rPr>
                <w:color w:val="000000" w:themeColor="text1"/>
                <w:sz w:val="20"/>
                <w:szCs w:val="20"/>
              </w:rPr>
              <w:t xml:space="preserve"> nem tartozik a fent említett kategóriák egyikébe sem.</w:t>
            </w:r>
            <w:r>
              <w:br/>
            </w:r>
            <w:r>
              <w:rPr>
                <w:color w:val="000000" w:themeColor="text1"/>
                <w:sz w:val="20"/>
                <w:szCs w:val="20"/>
              </w:rPr>
              <w:t>(</w:t>
            </w:r>
            <w:r w:rsidR="00A54A93">
              <w:rPr>
                <w:color w:val="000000" w:themeColor="text1"/>
                <w:sz w:val="20"/>
                <w:szCs w:val="20"/>
              </w:rPr>
              <w:t>például</w:t>
            </w:r>
            <w:r>
              <w:rPr>
                <w:color w:val="000000" w:themeColor="text1"/>
                <w:sz w:val="20"/>
                <w:szCs w:val="20"/>
              </w:rPr>
              <w:t xml:space="preserve"> </w:t>
            </w:r>
            <w:r w:rsidR="00A54A93">
              <w:rPr>
                <w:color w:val="000000" w:themeColor="text1"/>
                <w:sz w:val="20"/>
                <w:szCs w:val="20"/>
              </w:rPr>
              <w:t xml:space="preserve">jelentős </w:t>
            </w:r>
            <w:r>
              <w:rPr>
                <w:color w:val="000000" w:themeColor="text1"/>
                <w:sz w:val="20"/>
                <w:szCs w:val="20"/>
              </w:rPr>
              <w:t>finanszírozó)</w:t>
            </w:r>
          </w:p>
        </w:tc>
      </w:tr>
      <w:tr w:rsidR="00896468"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896468" w:rsidRDefault="00B31E50">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896468" w:rsidRDefault="00B31E50">
            <w:pPr>
              <w:pStyle w:val="P68B1DB1-TableParagraph14"/>
              <w:spacing w:before="108"/>
              <w:ind w:left="85"/>
            </w:pPr>
            <w:r>
              <w:t>Ország</w:t>
            </w:r>
          </w:p>
          <w:p w14:paraId="7FE1B375" w14:textId="77777777" w:rsidR="00896468" w:rsidRDefault="00B31E50">
            <w:pPr>
              <w:pStyle w:val="P68B1DB1-TableParagraph13"/>
              <w:spacing w:before="108"/>
              <w:ind w:left="85"/>
              <w:jc w:val="both"/>
            </w:pPr>
            <w:r>
              <w:t>A szervezet bejegyzése szerinti ország – egy tagállam vagy egy harmadik ország – ISO 3166–1-alpha-2 kódja.</w:t>
            </w:r>
          </w:p>
        </w:tc>
      </w:tr>
      <w:tr w:rsidR="00896468"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896468" w:rsidRDefault="00B31E50">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6B67CD0F" w:rsidR="00896468" w:rsidRDefault="00B31E50">
            <w:pPr>
              <w:pStyle w:val="P68B1DB1-TableParagraph14"/>
              <w:spacing w:before="108"/>
              <w:ind w:left="85"/>
            </w:pPr>
            <w:r>
              <w:t>A szanálás</w:t>
            </w:r>
            <w:r w:rsidR="00A54A93">
              <w:t xml:space="preserve"> alá vonható</w:t>
            </w:r>
            <w:r>
              <w:t xml:space="preserve"> csoport </w:t>
            </w:r>
            <w:r w:rsidR="00A54A93">
              <w:t>belépési pontjának (point of entry)</w:t>
            </w:r>
            <w:r>
              <w:t xml:space="preserve"> jogalany-azonosítója</w:t>
            </w:r>
            <w:r w:rsidR="00A54A93">
              <w:t xml:space="preserve"> (LEI)</w:t>
            </w:r>
          </w:p>
          <w:p w14:paraId="7FE1B379" w14:textId="77777777" w:rsidR="00896468" w:rsidRDefault="00B31E50">
            <w:pPr>
              <w:pStyle w:val="P68B1DB1-TableParagraph13"/>
              <w:spacing w:before="108"/>
              <w:ind w:left="85"/>
              <w:rPr>
                <w:bCs/>
              </w:rPr>
            </w:pPr>
            <w:r>
              <w:t>Azon szanálás alá vonható csoport belépési pontját azonosító LEI-kód, amelyhez a 0010-ben azonosított szervezet tartozik.</w:t>
            </w:r>
          </w:p>
        </w:tc>
      </w:tr>
      <w:tr w:rsidR="00896468"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896468" w:rsidRDefault="00B31E50">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896468" w:rsidRDefault="00B31E50">
            <w:pPr>
              <w:pStyle w:val="P68B1DB1-TableParagraph14"/>
              <w:spacing w:before="108"/>
              <w:ind w:left="85"/>
              <w:jc w:val="both"/>
              <w:rPr>
                <w:bCs/>
              </w:rPr>
            </w:pPr>
            <w:r>
              <w:t>A CRR 7. cikke szerinti mentesség</w:t>
            </w:r>
          </w:p>
          <w:p w14:paraId="7FE1B383" w14:textId="77777777" w:rsidR="00896468" w:rsidRDefault="00B31E50">
            <w:pPr>
              <w:pStyle w:val="P68B1DB1-TableParagraph13"/>
              <w:spacing w:before="108"/>
              <w:ind w:left="85"/>
              <w:jc w:val="both"/>
            </w:pPr>
            <w:r>
              <w:t>A következő rövidítéseket kell megadni:</w:t>
            </w:r>
          </w:p>
          <w:p w14:paraId="7FE1B384" w14:textId="6DF8D995" w:rsidR="00896468" w:rsidRDefault="00B31E50">
            <w:pPr>
              <w:pStyle w:val="P68B1DB1-TableParagraph13"/>
              <w:spacing w:before="108"/>
              <w:ind w:left="85"/>
              <w:jc w:val="both"/>
            </w:pPr>
            <w:r>
              <w:t>Igen – ha az illetékes hatóság az 575/2013/EU rendelet 7. cikkének megfelelően lemondott az 575/2013/EU rendelet 6. cikke (1) bekezdésének alkalmazásáról;</w:t>
            </w:r>
          </w:p>
          <w:p w14:paraId="7FE1B385" w14:textId="5A2F6338" w:rsidR="00896468" w:rsidRDefault="00B31E50">
            <w:pPr>
              <w:pStyle w:val="P68B1DB1-TableParagraph13"/>
              <w:spacing w:before="108"/>
              <w:ind w:left="85"/>
              <w:jc w:val="both"/>
              <w:rPr>
                <w:b/>
              </w:rPr>
            </w:pPr>
            <w:r>
              <w:t>N</w:t>
            </w:r>
            <w:r w:rsidR="001056B9">
              <w:t>em</w:t>
            </w:r>
            <w:r>
              <w:t xml:space="preserve"> – egyébként.</w:t>
            </w:r>
          </w:p>
        </w:tc>
      </w:tr>
      <w:tr w:rsidR="00896468"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896468" w:rsidRDefault="00B31E50">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896468" w:rsidRDefault="00B31E50">
            <w:pPr>
              <w:pStyle w:val="P68B1DB1-TableParagraph14"/>
              <w:jc w:val="both"/>
              <w:rPr>
                <w:bCs/>
              </w:rPr>
            </w:pPr>
            <w:r>
              <w:t>A CRR 8. cikke szerinti mentesség</w:t>
            </w:r>
          </w:p>
          <w:p w14:paraId="7FE1B389" w14:textId="77777777" w:rsidR="00896468" w:rsidRDefault="00896468">
            <w:pPr>
              <w:pStyle w:val="TableParagraph"/>
              <w:jc w:val="both"/>
              <w:rPr>
                <w:rFonts w:ascii="Times New Roman" w:hAnsi="Times New Roman" w:cs="Times New Roman"/>
                <w:b/>
                <w:bCs/>
                <w:color w:val="000000" w:themeColor="text1"/>
                <w:sz w:val="20"/>
                <w:szCs w:val="20"/>
              </w:rPr>
            </w:pPr>
          </w:p>
          <w:p w14:paraId="7FE1B38A" w14:textId="77777777" w:rsidR="00896468" w:rsidRDefault="00B31E50">
            <w:pPr>
              <w:pStyle w:val="P68B1DB1-TableParagraph13"/>
              <w:spacing w:before="108"/>
              <w:ind w:left="85"/>
              <w:jc w:val="both"/>
            </w:pPr>
            <w:r>
              <w:lastRenderedPageBreak/>
              <w:t>A következő rövidítéseket kell megadni:</w:t>
            </w:r>
          </w:p>
          <w:p w14:paraId="7FE1B38B" w14:textId="0832AB8B" w:rsidR="00896468" w:rsidRDefault="00B31E50">
            <w:pPr>
              <w:pStyle w:val="P68B1DB1-TableParagraph13"/>
              <w:spacing w:before="108"/>
              <w:ind w:left="85"/>
              <w:jc w:val="both"/>
            </w:pPr>
            <w:r>
              <w:t>I</w:t>
            </w:r>
            <w:r w:rsidR="001056B9">
              <w:t>gen</w:t>
            </w:r>
            <w:r>
              <w:t xml:space="preserve"> – ha az illetékes hatóság az 575/2013/EU rendelet 8. cikkének megfelelően lemondott az 575/2013/EU rendelet 6. </w:t>
            </w:r>
            <w:r w:rsidR="001056B9">
              <w:t xml:space="preserve">részének </w:t>
            </w:r>
            <w:r>
              <w:t>alkalmazásáról;</w:t>
            </w:r>
          </w:p>
          <w:p w14:paraId="7FE1B38C" w14:textId="7DAF81B9" w:rsidR="00896468" w:rsidRDefault="00B31E50">
            <w:pPr>
              <w:pStyle w:val="P68B1DB1-TableParagraph13"/>
              <w:jc w:val="both"/>
              <w:rPr>
                <w:b/>
                <w:bCs/>
              </w:rPr>
            </w:pPr>
            <w:r>
              <w:t>N</w:t>
            </w:r>
            <w:r w:rsidR="001056B9">
              <w:t>em</w:t>
            </w:r>
            <w:r>
              <w:t xml:space="preserve"> – egyébként.</w:t>
            </w:r>
          </w:p>
        </w:tc>
      </w:tr>
      <w:tr w:rsidR="00896468"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896468" w:rsidRDefault="00B31E50">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1AEBA6F9" w:rsidR="00896468" w:rsidRDefault="00B31E50">
            <w:pPr>
              <w:pStyle w:val="P68B1DB1-TableParagraph14"/>
              <w:jc w:val="both"/>
              <w:rPr>
                <w:bCs/>
              </w:rPr>
            </w:pPr>
            <w:r>
              <w:t>A CRR 9. cikk</w:t>
            </w:r>
            <w:r w:rsidR="001056B9">
              <w:t xml:space="preserve"> alkalmazása</w:t>
            </w:r>
          </w:p>
          <w:p w14:paraId="7FE1B390" w14:textId="77777777" w:rsidR="00896468" w:rsidRDefault="00896468">
            <w:pPr>
              <w:pStyle w:val="TableParagraph"/>
              <w:jc w:val="both"/>
              <w:rPr>
                <w:rFonts w:ascii="Times New Roman" w:hAnsi="Times New Roman" w:cs="Times New Roman"/>
                <w:b/>
                <w:bCs/>
                <w:color w:val="000000" w:themeColor="text1"/>
                <w:sz w:val="20"/>
                <w:szCs w:val="20"/>
              </w:rPr>
            </w:pPr>
          </w:p>
          <w:p w14:paraId="7FE1B391" w14:textId="77777777" w:rsidR="00896468" w:rsidRDefault="00B31E50">
            <w:pPr>
              <w:pStyle w:val="P68B1DB1-TableParagraph13"/>
              <w:spacing w:before="108"/>
              <w:ind w:left="85"/>
              <w:jc w:val="both"/>
            </w:pPr>
            <w:r>
              <w:t>A következő rövidítéseket kell megadni:</w:t>
            </w:r>
          </w:p>
          <w:p w14:paraId="7FE1B392" w14:textId="42750677" w:rsidR="00896468" w:rsidRDefault="00B31E50">
            <w:pPr>
              <w:pStyle w:val="P68B1DB1-TableParagraph13"/>
              <w:spacing w:before="108"/>
              <w:ind w:left="85"/>
              <w:jc w:val="both"/>
            </w:pPr>
            <w:r>
              <w:t xml:space="preserve">Igen – ha a szervezet teljesíti a 7. cikk (1) bekezdésének c) és d) pontjában meghatározott feltételeket, és </w:t>
            </w:r>
            <w:r w:rsidR="00C9505D">
              <w:t xml:space="preserve">jelentősnek minősülő </w:t>
            </w:r>
            <w:r>
              <w:t xml:space="preserve">kitettségei vagy </w:t>
            </w:r>
            <w:r w:rsidR="00C9505D" w:rsidRPr="00C9505D">
              <w:t>jelentősnek minősülő</w:t>
            </w:r>
            <w:r>
              <w:t xml:space="preserve"> kötelezettségei az 575/2013/EU rendelet 8. cikke szerint az anyaintézmén</w:t>
            </w:r>
            <w:r w:rsidR="00672E82">
              <w:t>n</w:t>
            </w:r>
            <w:r>
              <w:t>yel szemben állnak fenn, és ezért azokat figyelembe veszik az anyaintézményre vonatkozó, a 6. cikk (1) bekezdése szerinti követelmény kiszámításakor.</w:t>
            </w:r>
          </w:p>
          <w:p w14:paraId="7FE1B393" w14:textId="553DD6E8" w:rsidR="00896468" w:rsidRDefault="00B31E50">
            <w:pPr>
              <w:pStyle w:val="P68B1DB1-TableParagraph13"/>
              <w:jc w:val="both"/>
              <w:rPr>
                <w:b/>
                <w:bCs/>
              </w:rPr>
            </w:pPr>
            <w:r>
              <w:t>N</w:t>
            </w:r>
            <w:r w:rsidR="001056B9">
              <w:t>em</w:t>
            </w:r>
            <w:r>
              <w:t xml:space="preserve"> – egyébként.</w:t>
            </w:r>
          </w:p>
          <w:p w14:paraId="7FE1B394" w14:textId="77777777" w:rsidR="00896468" w:rsidRDefault="00896468">
            <w:pPr>
              <w:pStyle w:val="TableParagraph"/>
              <w:jc w:val="both"/>
              <w:rPr>
                <w:rFonts w:ascii="Times New Roman" w:hAnsi="Times New Roman" w:cs="Times New Roman"/>
                <w:b/>
                <w:bCs/>
                <w:color w:val="000000" w:themeColor="text1"/>
                <w:sz w:val="20"/>
                <w:szCs w:val="20"/>
              </w:rPr>
            </w:pPr>
          </w:p>
        </w:tc>
      </w:tr>
      <w:tr w:rsidR="00896468"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896468" w:rsidRDefault="00B31E50">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896468" w:rsidRDefault="00B31E50">
            <w:pPr>
              <w:pStyle w:val="P68B1DB1-TableParagraph14"/>
              <w:spacing w:before="108"/>
              <w:ind w:left="85"/>
              <w:jc w:val="both"/>
            </w:pPr>
            <w:r>
              <w:t>A CRR 10. cikke szerinti mentesség</w:t>
            </w:r>
          </w:p>
          <w:p w14:paraId="7FE1B398" w14:textId="77777777" w:rsidR="00896468" w:rsidRDefault="00B31E50">
            <w:pPr>
              <w:pStyle w:val="P68B1DB1-TableParagraph13"/>
              <w:spacing w:before="108"/>
              <w:ind w:left="85"/>
              <w:jc w:val="both"/>
            </w:pPr>
            <w:r>
              <w:t>A következő rövidítéseket kell megadni:</w:t>
            </w:r>
          </w:p>
          <w:p w14:paraId="7FE1B399" w14:textId="249CB221" w:rsidR="00896468" w:rsidRDefault="00B31E50">
            <w:pPr>
              <w:pStyle w:val="P68B1DB1-TableParagraph13"/>
              <w:spacing w:before="108"/>
              <w:ind w:left="85"/>
              <w:jc w:val="both"/>
            </w:pPr>
            <w:r>
              <w:t>Igen – ha az illetékes hatóság alkalmazza az 575/2013/EU rendelet 10. cikke szerinti mentességet.</w:t>
            </w:r>
          </w:p>
          <w:p w14:paraId="7FE1B39A" w14:textId="086DA61E" w:rsidR="00896468" w:rsidRDefault="00B31E50">
            <w:pPr>
              <w:pStyle w:val="P68B1DB1-TableParagraph13"/>
              <w:spacing w:before="108"/>
              <w:ind w:left="85"/>
              <w:jc w:val="both"/>
              <w:rPr>
                <w:b/>
              </w:rPr>
            </w:pPr>
            <w:r>
              <w:t>N</w:t>
            </w:r>
            <w:r w:rsidR="00C9505D">
              <w:t>em</w:t>
            </w:r>
            <w:r>
              <w:t xml:space="preserve"> – egyébként.</w:t>
            </w:r>
          </w:p>
        </w:tc>
      </w:tr>
      <w:tr w:rsidR="00896468"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896468" w:rsidRDefault="00B31E50">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896468" w:rsidRDefault="00B31E50">
            <w:pPr>
              <w:pStyle w:val="P68B1DB1-TableParagraph14"/>
              <w:spacing w:before="108"/>
              <w:jc w:val="both"/>
            </w:pPr>
            <w:r>
              <w:t>Eszközök összesen</w:t>
            </w:r>
          </w:p>
          <w:p w14:paraId="7FE1B39E" w14:textId="77777777" w:rsidR="00896468" w:rsidRDefault="00B31E50">
            <w:pPr>
              <w:pStyle w:val="P68B1DB1-TableParagraph13"/>
              <w:spacing w:before="108"/>
              <w:jc w:val="both"/>
              <w:rPr>
                <w:b/>
              </w:rPr>
            </w:pPr>
            <w:r>
              <w:t>Eszközök összesen, a FINREP F 01.01; 380,010 szerint.</w:t>
            </w:r>
          </w:p>
        </w:tc>
      </w:tr>
      <w:tr w:rsidR="00896468"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896468" w:rsidRDefault="00B31E50">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896468" w:rsidRDefault="00B31E50">
            <w:pPr>
              <w:pStyle w:val="P68B1DB1-TableParagraph14"/>
              <w:spacing w:before="108"/>
              <w:jc w:val="both"/>
            </w:pPr>
            <w:r>
              <w:t>Teljes kockázati kitettségérték</w:t>
            </w:r>
          </w:p>
          <w:p w14:paraId="7FE1B3AB" w14:textId="0E626587" w:rsidR="00896468" w:rsidRDefault="00B31E50">
            <w:pPr>
              <w:pStyle w:val="P68B1DB1-TableParagraph13"/>
              <w:spacing w:before="108"/>
              <w:jc w:val="both"/>
              <w:rPr>
                <w:b/>
              </w:rPr>
            </w:pPr>
            <w:r>
              <w:t>A COREP-re (OF) meghatározott teljes kockázati kitettségérték: C 02.00;010;010</w:t>
            </w:r>
            <w:r w:rsidR="00C9505D">
              <w:t xml:space="preserve">. </w:t>
            </w:r>
            <w:r>
              <w:t>Ezt a tételt nem kell jelenteni azon szervezetek esetében, amelyek nem tartoznak az 575/2013/EU rendelet 7. cikke vagy 10. cikke szerinti mentességben részesülő intézmények és szervezetek közé.</w:t>
            </w:r>
          </w:p>
        </w:tc>
      </w:tr>
      <w:tr w:rsidR="00896468"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896468" w:rsidRDefault="00B31E50">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896468" w:rsidRDefault="00B31E50">
            <w:pPr>
              <w:pStyle w:val="P68B1DB1-TableParagraph14"/>
              <w:spacing w:before="108"/>
              <w:ind w:left="85"/>
              <w:jc w:val="both"/>
            </w:pPr>
            <w:r>
              <w:t>Teljes kitettségi mérték</w:t>
            </w:r>
          </w:p>
          <w:p w14:paraId="7FE1B3B0" w14:textId="254BB6D5" w:rsidR="00896468" w:rsidRDefault="00B31E50">
            <w:pPr>
              <w:pStyle w:val="P68B1DB1-TableParagraph13"/>
              <w:spacing w:before="108"/>
              <w:ind w:left="85"/>
              <w:jc w:val="both"/>
            </w:pPr>
            <w:r>
              <w:t>A tőkeáttételi mutató COREP-re (LR) meghatározott teljes kitettségértéke: C 47.00;0290;0010</w:t>
            </w:r>
            <w:r w:rsidR="00C9505D">
              <w:t xml:space="preserve">. </w:t>
            </w:r>
            <w:r>
              <w:t>Ezt a tételt nem kell jelenteni azon szervezetek esetében, amelyek nem tartoznak az 575/2013/EU rendelet 7. cikke vagy 10. cikke szerinti mentességben részesülő intézmények és szervezetek közé.</w:t>
            </w:r>
          </w:p>
        </w:tc>
      </w:tr>
      <w:tr w:rsidR="00896468"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896468" w:rsidRDefault="00B31E50">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64B1DF05" w:rsidR="00896468" w:rsidRDefault="00C9505D">
            <w:pPr>
              <w:pStyle w:val="P68B1DB1-TableParagraph14"/>
              <w:jc w:val="both"/>
              <w:rPr>
                <w:bCs/>
              </w:rPr>
            </w:pPr>
            <w:r>
              <w:t>Működési bevétel</w:t>
            </w:r>
            <w:r w:rsidR="00B31E50">
              <w:t xml:space="preserve"> összesen</w:t>
            </w:r>
          </w:p>
          <w:p w14:paraId="7FE1B3B4" w14:textId="77777777" w:rsidR="00896468" w:rsidRDefault="00896468">
            <w:pPr>
              <w:pStyle w:val="TableParagraph"/>
              <w:jc w:val="both"/>
              <w:rPr>
                <w:rFonts w:ascii="Times New Roman" w:hAnsi="Times New Roman" w:cs="Times New Roman"/>
                <w:b/>
                <w:bCs/>
                <w:color w:val="000000" w:themeColor="text1"/>
                <w:sz w:val="20"/>
                <w:szCs w:val="20"/>
              </w:rPr>
            </w:pPr>
          </w:p>
          <w:p w14:paraId="7FE1B3B5" w14:textId="16C5B443" w:rsidR="00896468" w:rsidRDefault="00B31E50">
            <w:pPr>
              <w:pStyle w:val="P68B1DB1-TableParagraph13"/>
              <w:jc w:val="both"/>
            </w:pPr>
            <w:r>
              <w:t>Teljes működési bevétel a FINREP-ben meghatározottak szerint: F 02.00;355;010</w:t>
            </w:r>
          </w:p>
          <w:p w14:paraId="7FE1B3B6" w14:textId="77777777" w:rsidR="00896468" w:rsidRDefault="00896468">
            <w:pPr>
              <w:pStyle w:val="TableParagraph"/>
              <w:jc w:val="both"/>
              <w:rPr>
                <w:rFonts w:ascii="Times New Roman" w:hAnsi="Times New Roman" w:cs="Times New Roman"/>
                <w:b/>
                <w:bCs/>
                <w:color w:val="000000" w:themeColor="text1"/>
                <w:sz w:val="20"/>
                <w:szCs w:val="20"/>
              </w:rPr>
            </w:pPr>
          </w:p>
        </w:tc>
      </w:tr>
      <w:tr w:rsidR="00896468"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896468" w:rsidRDefault="00B31E50">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896468" w:rsidRDefault="00B31E50">
            <w:pPr>
              <w:pStyle w:val="P68B1DB1-TableParagraph14"/>
              <w:spacing w:before="108"/>
              <w:jc w:val="both"/>
            </w:pPr>
            <w:r>
              <w:t>Számviteli szabályok</w:t>
            </w:r>
          </w:p>
          <w:p w14:paraId="7FE1B3BF" w14:textId="77777777" w:rsidR="00896468" w:rsidRDefault="00B31E50">
            <w:pPr>
              <w:pStyle w:val="P68B1DB1-TableParagraph13"/>
              <w:spacing w:before="108"/>
              <w:jc w:val="both"/>
            </w:pPr>
            <w:r>
              <w:t>A szervezet által alkalmazott számviteli standard. A következő rövidítéseket kell megadni:</w:t>
            </w:r>
          </w:p>
          <w:p w14:paraId="7FE1B3C0" w14:textId="77777777" w:rsidR="00896468" w:rsidRDefault="00B31E50">
            <w:pPr>
              <w:pStyle w:val="P68B1DB1-TableParagraph13"/>
              <w:numPr>
                <w:ilvl w:val="0"/>
                <w:numId w:val="68"/>
              </w:numPr>
              <w:spacing w:before="108"/>
              <w:jc w:val="both"/>
            </w:pPr>
            <w:r>
              <w:t>IFRS</w:t>
            </w:r>
          </w:p>
          <w:p w14:paraId="7FE1B3C1" w14:textId="77777777" w:rsidR="00896468" w:rsidRDefault="00B31E50">
            <w:pPr>
              <w:pStyle w:val="P68B1DB1-TableParagraph13"/>
              <w:numPr>
                <w:ilvl w:val="0"/>
                <w:numId w:val="68"/>
              </w:numPr>
              <w:spacing w:before="108"/>
              <w:jc w:val="both"/>
            </w:pPr>
            <w:r>
              <w:t>nGAAP</w:t>
            </w:r>
          </w:p>
        </w:tc>
      </w:tr>
      <w:tr w:rsidR="00896468"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896468" w:rsidRDefault="00B31E50">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896468" w:rsidRDefault="00B31E50">
            <w:pPr>
              <w:pStyle w:val="P68B1DB1-TableParagraph14"/>
              <w:spacing w:before="108"/>
              <w:jc w:val="both"/>
            </w:pPr>
            <w:r>
              <w:t xml:space="preserve">Hozzájárulás a konszolidált teljes kockázati kitettségértékhez </w:t>
            </w:r>
          </w:p>
          <w:p w14:paraId="7FE1B3D5" w14:textId="77777777" w:rsidR="00896468" w:rsidRDefault="00B31E50">
            <w:pPr>
              <w:pStyle w:val="P68B1DB1-TableParagraph13"/>
              <w:spacing w:before="108"/>
              <w:jc w:val="both"/>
              <w:rPr>
                <w:b/>
              </w:rPr>
            </w:pPr>
            <w:r>
              <w:t xml:space="preserve">Azon összeg, amellyel a szervezet hozzájárul az adatszolgáltatás tárgyát képező csoport teljes konszolidált kockázati kitettségértékéhez. </w:t>
            </w:r>
          </w:p>
        </w:tc>
      </w:tr>
      <w:tr w:rsidR="00896468"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896468" w:rsidRDefault="00B31E50">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896468" w:rsidRDefault="00B31E50">
            <w:pPr>
              <w:pStyle w:val="P68B1DB1-TableParagraph14"/>
              <w:spacing w:before="108"/>
              <w:ind w:left="85"/>
              <w:jc w:val="both"/>
            </w:pPr>
            <w:r>
              <w:t>Hozzájárulás a konszolidált teljes kitettségi mértékhez</w:t>
            </w:r>
          </w:p>
          <w:p w14:paraId="7FE1B3D9" w14:textId="39A121F7" w:rsidR="00896468" w:rsidRDefault="00B31E50">
            <w:pPr>
              <w:pStyle w:val="P68B1DB1-TableParagraph13"/>
              <w:spacing w:before="108"/>
              <w:ind w:left="85"/>
              <w:jc w:val="both"/>
              <w:rPr>
                <w:b/>
              </w:rPr>
            </w:pPr>
            <w:r>
              <w:t xml:space="preserve">Azon összeg, amellyel a szervezet hozzájárul az adatszolgáltatás tárgyát képező csoport teljes konszolidált </w:t>
            </w:r>
            <w:r w:rsidR="00A420CA">
              <w:t>kitettségi mértékéhez</w:t>
            </w:r>
            <w:r>
              <w:t>.</w:t>
            </w:r>
          </w:p>
        </w:tc>
      </w:tr>
      <w:tr w:rsidR="00896468"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896468" w:rsidRDefault="00B31E50">
            <w:pPr>
              <w:pStyle w:val="P68B1DB1-TableParagraph13"/>
            </w:pPr>
            <w:r>
              <w:lastRenderedPageBreak/>
              <w:t>0280</w:t>
            </w:r>
          </w:p>
        </w:tc>
        <w:tc>
          <w:tcPr>
            <w:tcW w:w="7962" w:type="dxa"/>
            <w:tcBorders>
              <w:top w:val="single" w:sz="4" w:space="0" w:color="1A171C"/>
              <w:left w:val="single" w:sz="4" w:space="0" w:color="1A171C"/>
              <w:bottom w:val="single" w:sz="4" w:space="0" w:color="1A171C"/>
              <w:right w:val="nil"/>
            </w:tcBorders>
          </w:tcPr>
          <w:p w14:paraId="7FE1B3DC" w14:textId="75821A54" w:rsidR="00896468" w:rsidRDefault="00B31E50">
            <w:pPr>
              <w:pStyle w:val="P68B1DB1-TableParagraph14"/>
              <w:jc w:val="both"/>
              <w:rPr>
                <w:bCs/>
              </w:rPr>
            </w:pPr>
            <w:r>
              <w:t>Hozzájárulás a konszolidált működési bevételhez</w:t>
            </w:r>
          </w:p>
          <w:p w14:paraId="7FE1B3DD" w14:textId="77777777" w:rsidR="00896468" w:rsidRDefault="00896468">
            <w:pPr>
              <w:pStyle w:val="TableParagraph"/>
              <w:jc w:val="both"/>
              <w:rPr>
                <w:rFonts w:ascii="Times New Roman" w:hAnsi="Times New Roman" w:cs="Times New Roman"/>
                <w:color w:val="000000" w:themeColor="text1"/>
                <w:sz w:val="20"/>
                <w:szCs w:val="20"/>
              </w:rPr>
            </w:pPr>
          </w:p>
          <w:p w14:paraId="7FE1B3DE" w14:textId="75A0E056" w:rsidR="00896468" w:rsidRDefault="00B31E50">
            <w:pPr>
              <w:pStyle w:val="P68B1DB1-TableParagraph13"/>
              <w:jc w:val="both"/>
            </w:pPr>
            <w:r>
              <w:t xml:space="preserve">Azon összeg, amellyel a szervezet hozzájárul az adatszolgáltatás tárgyát képező csoport teljes konszolidált </w:t>
            </w:r>
            <w:r w:rsidR="00A420CA">
              <w:t>működési bevételéhez</w:t>
            </w:r>
            <w:r>
              <w:t>.</w:t>
            </w:r>
          </w:p>
        </w:tc>
      </w:tr>
      <w:tr w:rsidR="00896468"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896468" w:rsidRDefault="00B31E50">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896468" w:rsidRDefault="00B31E50">
            <w:pPr>
              <w:pStyle w:val="P68B1DB1-TableParagraph14"/>
              <w:spacing w:before="108"/>
              <w:ind w:left="85"/>
              <w:jc w:val="both"/>
              <w:rPr>
                <w:bCs/>
              </w:rPr>
            </w:pPr>
            <w:r>
              <w:t>Releváns szervezet</w:t>
            </w:r>
          </w:p>
          <w:p w14:paraId="7FE1B3F1" w14:textId="75C7B029" w:rsidR="00896468" w:rsidRDefault="00B31E50">
            <w:pPr>
              <w:pStyle w:val="P68B1DB1-TableParagraph13"/>
              <w:spacing w:before="108"/>
              <w:jc w:val="both"/>
            </w:pPr>
            <w:r>
              <w:t>Annak megjelölése, hogy a szervezet az e rendelet 1. cikkében szereplő fogalommeghatározás értelmében releváns szervezetnek minősül-e.</w:t>
            </w:r>
          </w:p>
          <w:p w14:paraId="7FE1B3F2" w14:textId="0E42CD28" w:rsidR="00896468" w:rsidRDefault="00896468">
            <w:pPr>
              <w:pStyle w:val="TableParagraph"/>
              <w:spacing w:before="108"/>
              <w:jc w:val="both"/>
              <w:rPr>
                <w:rFonts w:ascii="Times New Roman" w:hAnsi="Times New Roman" w:cs="Times New Roman"/>
                <w:color w:val="000000" w:themeColor="text1"/>
                <w:sz w:val="20"/>
                <w:szCs w:val="20"/>
              </w:rPr>
            </w:pPr>
          </w:p>
        </w:tc>
      </w:tr>
    </w:tbl>
    <w:p w14:paraId="7FE1B491" w14:textId="77777777" w:rsidR="00896468" w:rsidRDefault="00896468">
      <w:pPr>
        <w:rPr>
          <w:rFonts w:ascii="Times New Roman" w:hAnsi="Times New Roman" w:cs="Times New Roman"/>
        </w:rPr>
      </w:pPr>
    </w:p>
    <w:p w14:paraId="7FE1B492" w14:textId="77777777" w:rsidR="00896468" w:rsidRDefault="00B31E50">
      <w:pPr>
        <w:pStyle w:val="P68B1DB1-Instructionsberschrift25"/>
        <w:numPr>
          <w:ilvl w:val="1"/>
          <w:numId w:val="49"/>
        </w:numPr>
        <w:ind w:left="357" w:hanging="357"/>
      </w:pPr>
      <w:bookmarkStart w:id="22" w:name="_Toc81454178"/>
      <w:bookmarkStart w:id="23" w:name="_Toc210982866"/>
      <w:r>
        <w:t>Z 01.02 – Tulajdonosi szerkezet (ORG 2)</w:t>
      </w:r>
      <w:bookmarkEnd w:id="22"/>
      <w:bookmarkEnd w:id="23"/>
    </w:p>
    <w:p w14:paraId="7FE1B493" w14:textId="77777777" w:rsidR="00896468" w:rsidRDefault="00B31E50">
      <w:pPr>
        <w:pStyle w:val="Instructionsberschrift3"/>
      </w:pPr>
      <w:r>
        <w:t>Általános megjegyzések</w:t>
      </w:r>
    </w:p>
    <w:p w14:paraId="50A00AA9" w14:textId="37CB3AC1" w:rsidR="00896468" w:rsidRDefault="00B31E50">
      <w:pPr>
        <w:pStyle w:val="P68B1DB1-InstructionsText26"/>
        <w:numPr>
          <w:ilvl w:val="0"/>
          <w:numId w:val="234"/>
        </w:numPr>
        <w:spacing w:before="0"/>
      </w:pPr>
      <w:r>
        <w:t xml:space="preserve">Ez a tábla a csoport jogi és tulajdonosi szerkezetéről nyújt áttekintést. A számviteli konszolidáció körébe tartozó valamennyi csoporthoz tartozó </w:t>
      </w:r>
      <w:r w:rsidR="00DA7691">
        <w:t xml:space="preserve">szervezetre </w:t>
      </w:r>
      <w:r>
        <w:t xml:space="preserve">vonatkozóan egyetlen táblát kell benyújtani. </w:t>
      </w:r>
    </w:p>
    <w:p w14:paraId="7FE1B494" w14:textId="4F13F62B" w:rsidR="00896468" w:rsidRDefault="00237E2A">
      <w:pPr>
        <w:pStyle w:val="P68B1DB1-InstructionsText26"/>
        <w:numPr>
          <w:ilvl w:val="0"/>
          <w:numId w:val="234"/>
        </w:numPr>
        <w:spacing w:before="0"/>
      </w:pPr>
      <w:r>
        <w:t xml:space="preserve">Olyan szanálás alá vonható szervezeteknek, amelyek nem tartoznak </w:t>
      </w:r>
      <w:r w:rsidR="00B31E50">
        <w:t>összevont alapú felügyelet hatálya alá tartozó csoporthoz</w:t>
      </w:r>
      <w:r>
        <w:t>,</w:t>
      </w:r>
      <w:r w:rsidR="00B31E50">
        <w:t xml:space="preserve"> szintén be kell nyújtaniuk ezt a jelentést. </w:t>
      </w:r>
    </w:p>
    <w:p w14:paraId="7FE1B496" w14:textId="529431FD" w:rsidR="00896468" w:rsidRDefault="00B31E50">
      <w:pPr>
        <w:pStyle w:val="P68B1DB1-InstructionsText26"/>
        <w:numPr>
          <w:ilvl w:val="0"/>
          <w:numId w:val="234"/>
        </w:numPr>
        <w:spacing w:before="0"/>
      </w:pPr>
      <w:r>
        <w:t>Ebben a táblában fel kell sorolni a csoport</w:t>
      </w:r>
      <w:r w:rsidR="00A86F61">
        <w:t xml:space="preserve"> szervezeteinek</w:t>
      </w:r>
      <w:r>
        <w:t xml:space="preserve"> </w:t>
      </w:r>
      <w:r w:rsidR="00E61406">
        <w:t xml:space="preserve">összes olyan részvényesét (vagy annak megfelelőjét), amelyek </w:t>
      </w:r>
      <w:r>
        <w:t>több mint 2%-os részvénytőkével (vagy azzal egyenértékű részesedéssel) vagy szavazati joggal rendelkez</w:t>
      </w:r>
      <w:r w:rsidR="00E61406">
        <w:t>nek</w:t>
      </w:r>
      <w:r>
        <w:t xml:space="preserve">, valamint a csoporthoz tartozó </w:t>
      </w:r>
      <w:r w:rsidR="00A86F61">
        <w:t xml:space="preserve">szervezetek által tartott </w:t>
      </w:r>
      <w:r>
        <w:t>összes részesedést</w:t>
      </w:r>
      <w:r w:rsidR="00A86F61">
        <w:t xml:space="preserve"> (vagy annak megfelelőjét)</w:t>
      </w:r>
      <w:r>
        <w:t>.</w:t>
      </w:r>
    </w:p>
    <w:p w14:paraId="7FE1B497" w14:textId="77777777" w:rsidR="00896468" w:rsidRDefault="00B31E50">
      <w:pPr>
        <w:pStyle w:val="P68B1DB1-Instructionsberschrift312"/>
      </w:pPr>
      <w:r>
        <w:t>A táblák egyes részeire vonatkozó útmutatások</w:t>
      </w:r>
    </w:p>
    <w:tbl>
      <w:tblPr>
        <w:tblW w:w="0" w:type="auto"/>
        <w:tblCellMar>
          <w:top w:w="57" w:type="dxa"/>
          <w:left w:w="57" w:type="dxa"/>
          <w:bottom w:w="57" w:type="dxa"/>
          <w:right w:w="0" w:type="dxa"/>
        </w:tblCellMar>
        <w:tblLook w:val="01E0" w:firstRow="1" w:lastRow="1" w:firstColumn="1" w:lastColumn="1" w:noHBand="0" w:noVBand="0"/>
      </w:tblPr>
      <w:tblGrid>
        <w:gridCol w:w="867"/>
        <w:gridCol w:w="8159"/>
      </w:tblGrid>
      <w:tr w:rsidR="00896468"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896468" w:rsidRDefault="00B31E50">
            <w:pPr>
              <w:pStyle w:val="P68B1DB1-TableParagraph13"/>
              <w:spacing w:before="66"/>
              <w:rPr>
                <w:rFonts w:eastAsia="Cambria"/>
              </w:rPr>
            </w:pPr>
            <w:r>
              <w:t>Oszlopok</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896468" w:rsidRDefault="00B31E50">
            <w:pPr>
              <w:pStyle w:val="P68B1DB1-TableParagraph13"/>
              <w:spacing w:before="66"/>
              <w:ind w:right="1"/>
              <w:jc w:val="center"/>
              <w:rPr>
                <w:rFonts w:eastAsia="Cambria"/>
              </w:rPr>
            </w:pPr>
            <w:r>
              <w:t>Útmutató</w:t>
            </w:r>
          </w:p>
        </w:tc>
      </w:tr>
      <w:tr w:rsidR="00896468"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896468" w:rsidRDefault="00B31E50">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896468" w:rsidRDefault="00B31E50">
            <w:pPr>
              <w:pStyle w:val="P68B1DB1-TableParagraph14"/>
              <w:spacing w:before="108"/>
              <w:ind w:left="85"/>
            </w:pPr>
            <w:r>
              <w:t>Befektető</w:t>
            </w:r>
          </w:p>
        </w:tc>
      </w:tr>
      <w:tr w:rsidR="00896468"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896468" w:rsidRDefault="00B31E50">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896468" w:rsidRDefault="00B31E50">
            <w:pPr>
              <w:pStyle w:val="P68B1DB1-TableParagraph14"/>
              <w:spacing w:before="108"/>
              <w:ind w:left="85"/>
              <w:jc w:val="both"/>
              <w:rPr>
                <w:bCs/>
              </w:rPr>
            </w:pPr>
            <w:r>
              <w:t xml:space="preserve">Megnevezés </w:t>
            </w:r>
          </w:p>
          <w:p w14:paraId="7FE1B4A1" w14:textId="77777777" w:rsidR="00896468" w:rsidRDefault="00B31E50">
            <w:pPr>
              <w:pStyle w:val="P68B1DB1-TableParagraph17"/>
              <w:spacing w:before="108"/>
              <w:ind w:left="85"/>
              <w:rPr>
                <w:rFonts w:eastAsia="Book Antiqua"/>
              </w:rPr>
            </w:pPr>
            <w:r>
              <w:t>A befektető teljes neve vagy megnevezése.</w:t>
            </w:r>
          </w:p>
        </w:tc>
      </w:tr>
      <w:tr w:rsidR="00896468"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896468" w:rsidRDefault="00B31E50">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896468" w:rsidRDefault="00B31E50">
            <w:pPr>
              <w:pStyle w:val="P68B1DB1-TableParagraph14"/>
              <w:spacing w:before="108"/>
              <w:ind w:left="85"/>
              <w:jc w:val="both"/>
              <w:rPr>
                <w:bCs/>
              </w:rPr>
            </w:pPr>
            <w:r>
              <w:t xml:space="preserve">Kód </w:t>
            </w:r>
          </w:p>
          <w:p w14:paraId="7FE1B4A5" w14:textId="77777777" w:rsidR="00896468" w:rsidRDefault="00B31E50">
            <w:pPr>
              <w:pStyle w:val="P68B1DB1-TableParagraph17"/>
              <w:spacing w:before="108"/>
              <w:ind w:left="85"/>
            </w:pPr>
            <w:r>
              <w:t>A 0010. oszlopban feltüntetett szervezet vagy befektető egyedi azonosítója.</w:t>
            </w:r>
          </w:p>
          <w:p w14:paraId="7FE1B4A6" w14:textId="77777777" w:rsidR="00896468" w:rsidRDefault="00B31E50">
            <w:pPr>
              <w:pStyle w:val="P68B1DB1-TableParagraph17"/>
              <w:spacing w:before="108"/>
              <w:ind w:left="85"/>
            </w:pPr>
            <w:r>
              <w:t>Amennyiben a befektető csoporthoz tartozó vállalkozás, a kódnak meg kell egyeznie a Z 01.01 (ORG 1) táblában feltüntetett kóddal. Amennyiben az befektető nem a csoporthoz tartozó vállalkozás, a kód a következő:</w:t>
            </w:r>
          </w:p>
          <w:p w14:paraId="7FE1B4A7" w14:textId="77777777" w:rsidR="00896468" w:rsidRDefault="00B31E50">
            <w:pPr>
              <w:pStyle w:val="P68B1DB1-TableParagraph17"/>
              <w:numPr>
                <w:ilvl w:val="0"/>
                <w:numId w:val="64"/>
              </w:numPr>
              <w:spacing w:before="108"/>
            </w:pPr>
            <w:r>
              <w:t>jogalany-azonosítóval (LEI) rendelkező intézmények esetében a 20 jegyű alfanumerikus LEI-kód;</w:t>
            </w:r>
          </w:p>
          <w:p w14:paraId="7FE1B4A8" w14:textId="38C62A31" w:rsidR="00896468" w:rsidRDefault="00B31E50">
            <w:pPr>
              <w:pStyle w:val="P68B1DB1-TableParagraph17"/>
              <w:numPr>
                <w:ilvl w:val="0"/>
                <w:numId w:val="64"/>
              </w:numPr>
              <w:spacing w:before="108"/>
            </w:pPr>
            <w:r>
              <w:t>ha nem áll rendelkezésre, használja az MPI-kódot vagy az Unióban alkalmazandó egységes kódot.</w:t>
            </w:r>
          </w:p>
          <w:p w14:paraId="7FE1B4A9" w14:textId="608197A1" w:rsidR="00896468" w:rsidRDefault="00B31E50">
            <w:pPr>
              <w:pStyle w:val="P68B1DB1-TableParagraph17"/>
              <w:spacing w:before="108"/>
              <w:ind w:left="85"/>
            </w:pPr>
            <w:r>
              <w:t>Mindkét esetben a kód</w:t>
            </w:r>
            <w:r w:rsidR="00672E82">
              <w:t>nak</w:t>
            </w:r>
            <w:r>
              <w:t xml:space="preserve"> egyedinek kell lennie, és azt valamennyi táblá</w:t>
            </w:r>
            <w:r w:rsidR="00C12B02">
              <w:t>ba</w:t>
            </w:r>
            <w:r>
              <w:t>n következetesen kell használni.</w:t>
            </w:r>
          </w:p>
        </w:tc>
      </w:tr>
      <w:tr w:rsidR="00896468"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896468" w:rsidRDefault="00B31E50">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896468" w:rsidRDefault="00B31E50">
            <w:pPr>
              <w:pStyle w:val="P68B1DB1-TableParagraph14"/>
              <w:spacing w:before="108"/>
              <w:ind w:left="85"/>
              <w:jc w:val="both"/>
              <w:rPr>
                <w:bCs/>
              </w:rPr>
            </w:pPr>
            <w:r>
              <w:t>Kód típusa</w:t>
            </w:r>
          </w:p>
          <w:p w14:paraId="560AED27" w14:textId="77777777" w:rsidR="00896468" w:rsidRDefault="00B31E50">
            <w:pPr>
              <w:pStyle w:val="P68B1DB1-Normal18"/>
            </w:pPr>
            <w:r>
              <w:t xml:space="preserve">Amennyiben a befektető csoporthoz tartozó vállalkozás, a kódnak meg kell egyeznie a Z 01.01 (ORG 1) táblában feltüntetett kóddal. </w:t>
            </w:r>
          </w:p>
          <w:p w14:paraId="2DC78FBF" w14:textId="77777777" w:rsidR="00896468" w:rsidRDefault="00896468">
            <w:pPr>
              <w:rPr>
                <w:rFonts w:ascii="Times New Roman" w:hAnsi="Times New Roman" w:cs="Times New Roman"/>
                <w:sz w:val="20"/>
                <w:szCs w:val="20"/>
              </w:rPr>
            </w:pPr>
          </w:p>
          <w:p w14:paraId="3C91DA4D" w14:textId="535D128A" w:rsidR="00896468" w:rsidRDefault="00B31E50">
            <w:pPr>
              <w:pStyle w:val="P68B1DB1-Normal19"/>
              <w:rPr>
                <w:rFonts w:eastAsiaTheme="minorHAnsi"/>
              </w:rPr>
            </w:pPr>
            <w:r>
              <w:lastRenderedPageBreak/>
              <w:t>A következő listából választandó: „LEI-kód”, „MPI-kód” vagy „Az azonosító típusa, a LEI- vagy MPI-kód kivételével”.</w:t>
            </w:r>
          </w:p>
          <w:p w14:paraId="7FE1B4B2" w14:textId="55B76907" w:rsidR="00896468" w:rsidRDefault="00B31E50">
            <w:pPr>
              <w:pStyle w:val="P68B1DB1-TableParagraph17"/>
              <w:spacing w:before="108"/>
            </w:pPr>
            <w:r>
              <w:t xml:space="preserve">A szervezetek vagy befektetők azonosításához a táblákban a kód- és típuspárt </w:t>
            </w:r>
            <w:r w:rsidR="00C12B02">
              <w:t xml:space="preserve">következetesen </w:t>
            </w:r>
            <w:r>
              <w:t xml:space="preserve">kell </w:t>
            </w:r>
            <w:r w:rsidR="00F37D27">
              <w:t>alkalmazni</w:t>
            </w:r>
            <w:r>
              <w:t>.</w:t>
            </w:r>
          </w:p>
        </w:tc>
      </w:tr>
      <w:tr w:rsidR="00896468"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896468" w:rsidRDefault="00B31E50">
            <w:pPr>
              <w:pStyle w:val="P68B1DB1-TableParagraph13"/>
              <w:spacing w:before="106"/>
              <w:ind w:left="-1"/>
            </w:pPr>
            <w:r>
              <w:lastRenderedPageBreak/>
              <w:t>0040–070</w:t>
            </w:r>
          </w:p>
        </w:tc>
        <w:tc>
          <w:tcPr>
            <w:tcW w:w="0" w:type="auto"/>
            <w:tcBorders>
              <w:top w:val="single" w:sz="4" w:space="0" w:color="1A171C"/>
              <w:left w:val="single" w:sz="4" w:space="0" w:color="1A171C"/>
              <w:bottom w:val="single" w:sz="4" w:space="0" w:color="1A171C"/>
              <w:right w:val="nil"/>
            </w:tcBorders>
            <w:vAlign w:val="center"/>
          </w:tcPr>
          <w:p w14:paraId="7FE1B4B5" w14:textId="784527ED" w:rsidR="00896468" w:rsidRDefault="00B31E50">
            <w:pPr>
              <w:pStyle w:val="P68B1DB1-TableParagraph14"/>
              <w:spacing w:before="108"/>
              <w:ind w:left="85"/>
              <w:jc w:val="both"/>
              <w:rPr>
                <w:bCs/>
              </w:rPr>
            </w:pPr>
            <w:r>
              <w:t>Befektetés</w:t>
            </w:r>
            <w:r w:rsidR="00C12B02">
              <w:t xml:space="preserve"> tárgyát képező szervezet</w:t>
            </w:r>
          </w:p>
        </w:tc>
      </w:tr>
      <w:tr w:rsidR="00896468"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896468" w:rsidRDefault="00B31E50">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896468" w:rsidRDefault="00B31E50">
            <w:pPr>
              <w:pStyle w:val="P68B1DB1-TableParagraph14"/>
              <w:spacing w:before="108"/>
              <w:ind w:left="85"/>
              <w:jc w:val="both"/>
              <w:rPr>
                <w:bCs/>
              </w:rPr>
            </w:pPr>
            <w:r>
              <w:t xml:space="preserve">Megnevezés </w:t>
            </w:r>
          </w:p>
          <w:p w14:paraId="7FE1B4B9" w14:textId="1019AF01" w:rsidR="00896468" w:rsidRDefault="00B31E50">
            <w:pPr>
              <w:pStyle w:val="P68B1DB1-TableParagraph13"/>
              <w:spacing w:before="108"/>
              <w:ind w:left="85"/>
              <w:jc w:val="both"/>
              <w:rPr>
                <w:bCs/>
              </w:rPr>
            </w:pPr>
            <w:r>
              <w:t>A befektet</w:t>
            </w:r>
            <w:r w:rsidR="00C12B02">
              <w:t>és tárgyát képező szervezet</w:t>
            </w:r>
            <w:r>
              <w:t xml:space="preserve"> teljes neve vagy megnevezése.</w:t>
            </w:r>
          </w:p>
        </w:tc>
      </w:tr>
      <w:tr w:rsidR="00896468"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896468" w:rsidRDefault="00B31E50">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896468" w:rsidRDefault="00B31E50">
            <w:pPr>
              <w:pStyle w:val="P68B1DB1-TableParagraph14"/>
              <w:spacing w:before="108"/>
              <w:ind w:left="85"/>
              <w:jc w:val="both"/>
              <w:rPr>
                <w:bCs/>
              </w:rPr>
            </w:pPr>
            <w:r>
              <w:t xml:space="preserve">Kód </w:t>
            </w:r>
          </w:p>
          <w:p w14:paraId="7FE1B4BD" w14:textId="77777777" w:rsidR="00896468" w:rsidRDefault="00B31E50">
            <w:pPr>
              <w:pStyle w:val="P68B1DB1-TableParagraph13"/>
              <w:spacing w:before="108"/>
              <w:ind w:left="85"/>
              <w:jc w:val="both"/>
              <w:rPr>
                <w:bCs/>
              </w:rPr>
            </w:pPr>
            <w:r>
              <w:t>A 0010. oszlopban feltüntetett szervezet vagy befektető egyedi azonosítója.</w:t>
            </w:r>
          </w:p>
          <w:p w14:paraId="7FE1B4BE" w14:textId="02C741A5" w:rsidR="00896468" w:rsidRDefault="00B31E50">
            <w:pPr>
              <w:pStyle w:val="P68B1DB1-TableParagraph13"/>
              <w:spacing w:before="108"/>
              <w:ind w:left="85"/>
              <w:jc w:val="both"/>
              <w:rPr>
                <w:bCs/>
              </w:rPr>
            </w:pPr>
            <w:r>
              <w:t xml:space="preserve">Amennyiben a </w:t>
            </w:r>
            <w:r w:rsidR="00C12B02" w:rsidRPr="00C12B02">
              <w:t xml:space="preserve">befektetés tárgyát képező szervezet </w:t>
            </w:r>
            <w:r>
              <w:t xml:space="preserve">csoporthoz tartozó vállalkozás, a kódnak meg kell egyeznie a Z 01.01 (ORG 1) táblában feltüntetett kóddal. Amennyiben a </w:t>
            </w:r>
            <w:r w:rsidR="00C12B02" w:rsidRPr="00C12B02">
              <w:t xml:space="preserve">befektetés tárgyát képező szervezet </w:t>
            </w:r>
            <w:r>
              <w:t>nem a csoporthoz tartozó vállalkozás, a kód a következő:</w:t>
            </w:r>
          </w:p>
          <w:p w14:paraId="4B3351AF" w14:textId="77777777" w:rsidR="00896468" w:rsidRDefault="00B31E50">
            <w:pPr>
              <w:pStyle w:val="P68B1DB1-TableParagraph13"/>
              <w:numPr>
                <w:ilvl w:val="0"/>
                <w:numId w:val="64"/>
              </w:numPr>
              <w:spacing w:before="108"/>
              <w:rPr>
                <w:bCs/>
              </w:rPr>
            </w:pPr>
            <w:r>
              <w:t>jogalany-azonosítóval (LEI) rendelkező intézmények esetében a 20 jegyű alfanumerikus LEI-kód;</w:t>
            </w:r>
          </w:p>
          <w:p w14:paraId="7FE1B4C0" w14:textId="1326FF82" w:rsidR="00896468" w:rsidRDefault="00B31E50">
            <w:pPr>
              <w:pStyle w:val="P68B1DB1-TableParagraph13"/>
              <w:numPr>
                <w:ilvl w:val="0"/>
                <w:numId w:val="64"/>
              </w:numPr>
              <w:spacing w:before="108"/>
              <w:rPr>
                <w:bCs/>
              </w:rPr>
            </w:pPr>
            <w:r>
              <w:t>–</w:t>
            </w:r>
            <w:r>
              <w:tab/>
              <w:t>ha nem áll rendelkezésre, használja az MPI-kódot vagy az Unióban alkalmazandó egységes kódot.</w:t>
            </w:r>
          </w:p>
          <w:p w14:paraId="7FE1B4C1" w14:textId="312DF92F" w:rsidR="00896468" w:rsidRDefault="00C12B02">
            <w:pPr>
              <w:pStyle w:val="P68B1DB1-TableParagraph13"/>
              <w:spacing w:before="108"/>
              <w:ind w:left="85"/>
              <w:jc w:val="both"/>
              <w:rPr>
                <w:b/>
                <w:bCs/>
              </w:rPr>
            </w:pPr>
            <w:r w:rsidRPr="00C12B02">
              <w:t>Mindkét esetben a kódnak egyedinek kell lennie, és azt valamennyi táblában következetesen kell használni.</w:t>
            </w:r>
            <w:r w:rsidR="00B31E50">
              <w:t>.</w:t>
            </w:r>
          </w:p>
        </w:tc>
      </w:tr>
      <w:tr w:rsidR="00896468"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896468" w:rsidRDefault="00B31E50">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896468" w:rsidRDefault="00B31E50">
            <w:pPr>
              <w:pStyle w:val="P68B1DB1-TableParagraph14"/>
              <w:spacing w:before="108"/>
              <w:ind w:left="85"/>
              <w:jc w:val="both"/>
              <w:rPr>
                <w:bCs/>
              </w:rPr>
            </w:pPr>
            <w:r>
              <w:t>Kód típusa</w:t>
            </w:r>
          </w:p>
          <w:p w14:paraId="7FE1B4C5" w14:textId="4BBD5A4A" w:rsidR="00896468" w:rsidRDefault="00B31E50">
            <w:pPr>
              <w:pStyle w:val="P68B1DB1-TableParagraph13"/>
              <w:spacing w:before="108"/>
              <w:ind w:left="85"/>
              <w:jc w:val="both"/>
              <w:rPr>
                <w:bCs/>
              </w:rPr>
            </w:pPr>
            <w:r>
              <w:t xml:space="preserve">Amennyiben a </w:t>
            </w:r>
            <w:r w:rsidR="00C12B02" w:rsidRPr="00C12B02">
              <w:t xml:space="preserve">befektetés tárgyát képező szervezet </w:t>
            </w:r>
            <w:r>
              <w:t xml:space="preserve">csoporthoz tartozó vállalkozás, a kódnak meg kell egyeznie a Z 01.01 (ORG 1) táblában feltüntetett kóddal. </w:t>
            </w:r>
          </w:p>
          <w:p w14:paraId="783CEC76" w14:textId="13C64C21" w:rsidR="00896468" w:rsidRDefault="00B31E50">
            <w:pPr>
              <w:pStyle w:val="P68B1DB1-TableParagraph13"/>
              <w:spacing w:before="108"/>
              <w:ind w:left="85"/>
              <w:jc w:val="both"/>
              <w:rPr>
                <w:bCs/>
              </w:rPr>
            </w:pPr>
            <w:r>
              <w:t>A következő listából választandó: „LEI-kód”, „MPI-kód” vagy „Az azonosító típusa, a LEI- vagy MPI-kód kivételével”.</w:t>
            </w:r>
          </w:p>
          <w:p w14:paraId="7FE1B4CA" w14:textId="092DA599" w:rsidR="00896468" w:rsidRDefault="00B31E50">
            <w:pPr>
              <w:pStyle w:val="P68B1DB1-TableParagraph17"/>
              <w:spacing w:before="108"/>
            </w:pPr>
            <w:r>
              <w:t>A kód típusát mindig fel kell tüntetni.</w:t>
            </w:r>
          </w:p>
          <w:p w14:paraId="7FE1B4CB" w14:textId="3A3DAE09" w:rsidR="00896468" w:rsidRDefault="00C12B02">
            <w:pPr>
              <w:pStyle w:val="P68B1DB1-TableParagraph13"/>
              <w:spacing w:before="108"/>
              <w:ind w:left="85"/>
              <w:rPr>
                <w:b/>
                <w:bCs/>
              </w:rPr>
            </w:pPr>
            <w:r w:rsidRPr="00C12B02">
              <w:t>A szervezetek vagy befektetés tárgyát képező szervezet</w:t>
            </w:r>
            <w:r>
              <w:t>ek</w:t>
            </w:r>
            <w:r w:rsidRPr="00C12B02">
              <w:t xml:space="preserve"> azonosításához a táblákban a kód- és típuspárt következetesen kell </w:t>
            </w:r>
            <w:r w:rsidR="00F37D27">
              <w:t>alkalmazni</w:t>
            </w:r>
            <w:r w:rsidR="00B31E50">
              <w:t>.</w:t>
            </w:r>
          </w:p>
        </w:tc>
      </w:tr>
      <w:tr w:rsidR="00896468"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896468" w:rsidRDefault="00B31E50">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896468" w:rsidRDefault="00B31E50">
            <w:pPr>
              <w:pStyle w:val="P68B1DB1-TableParagraph14"/>
              <w:spacing w:before="108"/>
              <w:ind w:left="85"/>
            </w:pPr>
            <w:r>
              <w:t>Nemzetközi fiók</w:t>
            </w:r>
          </w:p>
          <w:p w14:paraId="7FE1B4CF" w14:textId="77777777" w:rsidR="00896468" w:rsidRDefault="00B31E50">
            <w:pPr>
              <w:pStyle w:val="P68B1DB1-TableParagraph13"/>
              <w:spacing w:before="108"/>
              <w:ind w:left="85"/>
              <w:jc w:val="both"/>
            </w:pPr>
            <w:r>
              <w:t>A következő rövidítéseket kell megadni:</w:t>
            </w:r>
          </w:p>
          <w:p w14:paraId="7FE1B4D0" w14:textId="5D003FD4" w:rsidR="00896468" w:rsidRDefault="00B31E50">
            <w:pPr>
              <w:pStyle w:val="P68B1DB1-TableParagraph13"/>
              <w:spacing w:before="108"/>
              <w:ind w:left="85"/>
              <w:jc w:val="both"/>
            </w:pPr>
            <w:r>
              <w:t xml:space="preserve">Igen – abban az esetben, ha a </w:t>
            </w:r>
            <w:r w:rsidR="00F37D27" w:rsidRPr="00F37D27">
              <w:t>befektetés tárgyát képező szervezet</w:t>
            </w:r>
            <w:r>
              <w:t xml:space="preserve"> a befektető nemzetközi fióktelepe.</w:t>
            </w:r>
          </w:p>
          <w:p w14:paraId="7FE1B4D1" w14:textId="303CCEBB" w:rsidR="00896468" w:rsidRDefault="00B31E50">
            <w:pPr>
              <w:pStyle w:val="P68B1DB1-TableParagraph13"/>
              <w:spacing w:before="108"/>
              <w:ind w:left="85"/>
              <w:jc w:val="both"/>
              <w:rPr>
                <w:b/>
                <w:bCs/>
              </w:rPr>
            </w:pPr>
            <w:r>
              <w:t>Nem – jogi személy esetében.</w:t>
            </w:r>
          </w:p>
        </w:tc>
      </w:tr>
      <w:tr w:rsidR="00896468"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896468" w:rsidRDefault="00B31E50">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896468" w:rsidRDefault="00B31E50">
            <w:pPr>
              <w:pStyle w:val="P68B1DB1-TableParagraph14"/>
              <w:spacing w:before="108"/>
              <w:ind w:left="85"/>
              <w:jc w:val="both"/>
              <w:rPr>
                <w:bCs/>
              </w:rPr>
            </w:pPr>
            <w:r>
              <w:t>Tulajdonjog</w:t>
            </w:r>
          </w:p>
        </w:tc>
      </w:tr>
      <w:tr w:rsidR="00896468"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896468" w:rsidRDefault="00B31E50">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896468" w:rsidRDefault="00B31E50">
            <w:pPr>
              <w:pStyle w:val="P68B1DB1-TableParagraph14"/>
              <w:spacing w:before="108"/>
              <w:ind w:left="85"/>
              <w:jc w:val="both"/>
            </w:pPr>
            <w:r>
              <w:t>Tőkerészesedés</w:t>
            </w:r>
          </w:p>
          <w:p w14:paraId="7FE1B4D8" w14:textId="77777777" w:rsidR="00896468" w:rsidRDefault="00B31E50">
            <w:pPr>
              <w:pStyle w:val="P68B1DB1-TableParagraph17"/>
              <w:spacing w:before="108"/>
              <w:ind w:left="85"/>
              <w:jc w:val="both"/>
            </w:pPr>
            <w:r>
              <w:t>A befektető által a szervezetben birtokolt tőkerészesedés összege a tartalékok kivételével. Nemzetközi fióktelep esetében a mezőt üresen kell hagyni.</w:t>
            </w:r>
          </w:p>
        </w:tc>
      </w:tr>
      <w:tr w:rsidR="00896468"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896468" w:rsidRDefault="00B31E50">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896468" w:rsidRDefault="00B31E50">
            <w:pPr>
              <w:pStyle w:val="P68B1DB1-TableParagraph14"/>
              <w:spacing w:before="108"/>
              <w:ind w:left="85"/>
              <w:rPr>
                <w:rFonts w:eastAsia="Book Antiqua"/>
              </w:rPr>
            </w:pPr>
            <w:r>
              <w:t>A szervezetben birtokolt szavazati jogok</w:t>
            </w:r>
          </w:p>
          <w:p w14:paraId="7FE1B4DC" w14:textId="77777777" w:rsidR="00896468" w:rsidRDefault="00B31E50">
            <w:pPr>
              <w:pStyle w:val="P68B1DB1-TableParagraph17"/>
              <w:spacing w:before="108"/>
              <w:ind w:left="85"/>
              <w:jc w:val="both"/>
              <w:rPr>
                <w:b/>
              </w:rPr>
            </w:pPr>
            <w:r>
              <w:t>A befektető szavazati jogainak százalékos aránya. Ezt az információt csak akkor kell megadni, ha egy részvény nem egyenlő egy szavazattal (azaz a szavazati részesedés nem azonos a tőkerészesedéssel). Nemzetközi fióktelep esetében a mezőt üresen kell hagyni.</w:t>
            </w:r>
          </w:p>
        </w:tc>
      </w:tr>
    </w:tbl>
    <w:p w14:paraId="7FE1B4DE" w14:textId="77777777" w:rsidR="00896468" w:rsidRDefault="00896468">
      <w:pPr>
        <w:rPr>
          <w:rFonts w:ascii="Times New Roman" w:hAnsi="Times New Roman" w:cs="Times New Roman"/>
        </w:rPr>
      </w:pPr>
    </w:p>
    <w:p w14:paraId="7FE1B4DF" w14:textId="77777777" w:rsidR="00896468" w:rsidRDefault="00896468">
      <w:pPr>
        <w:rPr>
          <w:rFonts w:ascii="Times New Roman" w:hAnsi="Times New Roman" w:cs="Times New Roman"/>
        </w:rPr>
      </w:pPr>
    </w:p>
    <w:p w14:paraId="7FE1B4E1" w14:textId="77777777" w:rsidR="00896468" w:rsidRDefault="00B31E50">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1098286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Z 02.00 – Kötelezettségek szerkezete (LIAB 1)</w:t>
      </w:r>
      <w:bookmarkEnd w:id="54"/>
      <w:bookmarkEnd w:id="55"/>
      <w:bookmarkEnd w:id="56"/>
    </w:p>
    <w:p w14:paraId="7FE1B4E2" w14:textId="77777777" w:rsidR="00896468" w:rsidRDefault="00B31E50">
      <w:pPr>
        <w:pStyle w:val="Instructionsberschrift3"/>
      </w:pPr>
      <w:r>
        <w:t>Általános megjegyzések</w:t>
      </w:r>
    </w:p>
    <w:p w14:paraId="7FE1B4E3" w14:textId="6D9D9F73" w:rsidR="00896468" w:rsidRDefault="00B31E50">
      <w:pPr>
        <w:pStyle w:val="P68B1DB1-InstructionsText26"/>
        <w:numPr>
          <w:ilvl w:val="0"/>
          <w:numId w:val="233"/>
        </w:numPr>
        <w:spacing w:before="0"/>
      </w:pPr>
      <w:r>
        <w:t xml:space="preserve">Ebben a táblában a szervezet vagy csoport forrásszerkezetére vonatkozó részletes információkat kell feltüntetni. A kötelezettségek a hitelezői feltőkésítésből kizárt kötelezettségek és a hitelezői feltőkésítésből ki nem zárt kötelezettségek szerinti bontásban szerepelnek. A további részletezés kötelezettségosztályok, partnertípusok és </w:t>
      </w:r>
      <w:r w:rsidR="00CD68F9">
        <w:t xml:space="preserve">hátralévő futamidő </w:t>
      </w:r>
      <w:r>
        <w:t>szerint történik.</w:t>
      </w:r>
    </w:p>
    <w:p w14:paraId="7FE1B4E4" w14:textId="712D07E5" w:rsidR="00896468" w:rsidRDefault="00B31E50">
      <w:pPr>
        <w:pStyle w:val="P68B1DB1-InstructionsText26"/>
        <w:numPr>
          <w:ilvl w:val="0"/>
          <w:numId w:val="233"/>
        </w:numPr>
        <w:spacing w:before="0"/>
      </w:pPr>
      <w:r>
        <w:t xml:space="preserve">Amennyiben a tábla lejárat szerinti bontást tartalmaz, a hátralévő futamidő a szerződés </w:t>
      </w:r>
      <w:r w:rsidR="00CD68F9">
        <w:t xml:space="preserve">szerinti </w:t>
      </w:r>
      <w:r>
        <w:t>lejáratáig hátralévő idő</w:t>
      </w:r>
      <w:r w:rsidR="00772B79">
        <w:t>.</w:t>
      </w:r>
      <w:r>
        <w:t xml:space="preserve"> Ettől eltérve:</w:t>
      </w:r>
    </w:p>
    <w:p w14:paraId="7FE1B4E5" w14:textId="77777777" w:rsidR="00896468" w:rsidRDefault="00B31E50">
      <w:pPr>
        <w:pStyle w:val="P68B1DB1-InstructionsText26"/>
        <w:numPr>
          <w:ilvl w:val="1"/>
          <w:numId w:val="233"/>
        </w:numPr>
        <w:spacing w:before="0"/>
      </w:pPr>
      <w:r>
        <w:t>amennyiben a kötelezettséginstrumentum az instrumentum eredeti megjelölt lejárata előtt az instrumentum tulajdonosa által lehívható visszaváltási opciót tartalmaz, az instrumentum lejárata az a lehető legkorábbi időpont, amikor a tulajdonos lehívhatja a visszaváltási opciót, és kérheti az instrumentum visszaváltását vagy visszafizetését;</w:t>
      </w:r>
    </w:p>
    <w:p w14:paraId="7FE1B4E6" w14:textId="283AB7AD" w:rsidR="00896468" w:rsidRDefault="00B31E50">
      <w:pPr>
        <w:pStyle w:val="P68B1DB1-InstructionsText26"/>
        <w:numPr>
          <w:ilvl w:val="1"/>
          <w:numId w:val="233"/>
        </w:numPr>
        <w:spacing w:before="0"/>
      </w:pPr>
      <w:r>
        <w:t>amennyiben a kötelezettséginstrumentum arra vonatkozó ösztönzőt tartalmaz, hogy a kibocsátó az instrumentum eredeti</w:t>
      </w:r>
      <w:r w:rsidR="00672E82">
        <w:t>leg</w:t>
      </w:r>
      <w:r>
        <w:t xml:space="preserve"> megjelölt lejárata előtt lehívja, visszaváltsa, visszafizesse vagy visszavásárolja az instrumentumot, az instrumentum lejárata az a lehető legkorábbi időpont, amikor a kibocsátó lehívhatja az opciót és kérheti az instrumentum visszaváltását vagy visszafizetését;</w:t>
      </w:r>
    </w:p>
    <w:p w14:paraId="7FE1B4E8" w14:textId="52FAED25" w:rsidR="00896468" w:rsidRDefault="00B31E50">
      <w:pPr>
        <w:pStyle w:val="P68B1DB1-InstructionsText26"/>
        <w:numPr>
          <w:ilvl w:val="0"/>
          <w:numId w:val="233"/>
        </w:numPr>
        <w:spacing w:before="0"/>
      </w:pPr>
      <w:r>
        <w:t xml:space="preserve">Időközi tőketörlesztés esetén a tőkeösszeget fel kell osztani és a megfelelő lejárati sávokba kell besorolni. Adott esetben a </w:t>
      </w:r>
      <w:r w:rsidR="00CD68F9">
        <w:t xml:space="preserve">lejáratot </w:t>
      </w:r>
      <w:r>
        <w:t>a tőkeösszeg és a felhalmozott kamat tekintetében külön-külön kell figyelembe venni.</w:t>
      </w:r>
    </w:p>
    <w:p w14:paraId="7FE1B4E9" w14:textId="7225004D" w:rsidR="00896468" w:rsidRDefault="00B31E50">
      <w:pPr>
        <w:pStyle w:val="P68B1DB1-InstructionsText26"/>
        <w:numPr>
          <w:ilvl w:val="0"/>
          <w:numId w:val="233"/>
        </w:numPr>
        <w:spacing w:before="0"/>
      </w:pPr>
      <w:r>
        <w:t>Egyes konkrét esetekben egy adott instrumentum lejárata olyan külső tényezőktől függ, amelyekre az intézménynek kevés vagy semmilyen befolyása nincs. Ilyen esetekben azt az időpontot kell a legkorábbi visszaváltási időpontnak tekinteni, amikor az ilyen események visszatérítéshez vezethetnek.</w:t>
      </w:r>
    </w:p>
    <w:p w14:paraId="7FE1B4EA" w14:textId="4422FB03" w:rsidR="00896468" w:rsidRDefault="00B31E50">
      <w:pPr>
        <w:pStyle w:val="P68B1DB1-InstructionsText26"/>
        <w:numPr>
          <w:ilvl w:val="0"/>
          <w:numId w:val="233"/>
        </w:numPr>
        <w:spacing w:before="0"/>
      </w:pPr>
      <w:r>
        <w:t xml:space="preserve">Más esetekben a szerződések nem írnak elő konkrét lejárati időpontot, például </w:t>
      </w:r>
      <w:r w:rsidR="002250CA">
        <w:t xml:space="preserve">látra szóló </w:t>
      </w:r>
      <w:r>
        <w:t>vagy egynapos betétek</w:t>
      </w:r>
      <w:r w:rsidR="005F4F30">
        <w:t xml:space="preserve"> esetében</w:t>
      </w:r>
      <w:r>
        <w:t xml:space="preserve">. Ezekben az esetekben a kötelezettségeket úgy kell tekinteni, hogy azok </w:t>
      </w:r>
      <w:r w:rsidR="005F4F30">
        <w:t xml:space="preserve">lejárata </w:t>
      </w:r>
      <w:r>
        <w:t>az első lehetséges időpontban, azaz a</w:t>
      </w:r>
      <w:r w:rsidR="005F4F30">
        <w:t xml:space="preserve">z adatszolgáltatás </w:t>
      </w:r>
      <w:r>
        <w:t xml:space="preserve">napját követő </w:t>
      </w:r>
      <w:r w:rsidR="005F4F30">
        <w:t>napon</w:t>
      </w:r>
      <w:r>
        <w:t>/egy napon</w:t>
      </w:r>
      <w:r w:rsidR="005F4F30">
        <w:t xml:space="preserve"> belül</w:t>
      </w:r>
      <w:r>
        <w:t xml:space="preserve"> esedékes.</w:t>
      </w:r>
    </w:p>
    <w:p w14:paraId="7FE1B4EB" w14:textId="0EA20D54" w:rsidR="00896468" w:rsidRDefault="00B31E50">
      <w:pPr>
        <w:pStyle w:val="P68B1DB1-InstructionsText26"/>
        <w:numPr>
          <w:ilvl w:val="0"/>
          <w:numId w:val="233"/>
        </w:numPr>
        <w:spacing w:before="0"/>
      </w:pPr>
      <w:r>
        <w:t xml:space="preserve">A betétek esetében a betétbiztosítási rendszerekről szóló irányelv általi fedezet nem feltétlenül tesz különbséget azon lejáratok között, amelyeket </w:t>
      </w:r>
      <w:r w:rsidR="007D56B0">
        <w:t xml:space="preserve">(több </w:t>
      </w:r>
      <w:r>
        <w:t>lejárat esetén</w:t>
      </w:r>
      <w:r w:rsidR="007D56B0">
        <w:t>)</w:t>
      </w:r>
      <w:r>
        <w:t xml:space="preserve"> biztosítottnak</w:t>
      </w:r>
      <w:r w:rsidR="007D56B0">
        <w:t xml:space="preserve"> tekintenek</w:t>
      </w:r>
      <w:r>
        <w:t xml:space="preserve">. Ezért a </w:t>
      </w:r>
      <w:r w:rsidR="007D56B0">
        <w:t>nem biztosított betét</w:t>
      </w:r>
      <w:r>
        <w:t>rész</w:t>
      </w:r>
      <w:r w:rsidR="007D56B0">
        <w:t>ek</w:t>
      </w:r>
      <w:r>
        <w:t xml:space="preserve"> lejárati csoportokra bontásához az intézményeknek a teljes </w:t>
      </w:r>
      <w:r w:rsidR="007D56B0">
        <w:t xml:space="preserve">állományra </w:t>
      </w:r>
      <w:r>
        <w:t xml:space="preserve">arányos megközelítést kell alkalmazniuk, és a </w:t>
      </w:r>
      <w:r w:rsidR="007D56B0">
        <w:t xml:space="preserve">nem biztosított </w:t>
      </w:r>
      <w:r>
        <w:t>részt ennek megfelelően kell felosztaniuk az alapul szolgáló betétek futamideje alatt, kivéve, ha a 2014/49/EU irányelv nemzeti jogba való átültetéséből eredő különös rendelkezések alkalmazandók.</w:t>
      </w:r>
    </w:p>
    <w:p w14:paraId="7FE1B4EC" w14:textId="333CC915" w:rsidR="00896468" w:rsidRDefault="00B31E50">
      <w:pPr>
        <w:pStyle w:val="P68B1DB1-InstructionsText26"/>
        <w:numPr>
          <w:ilvl w:val="0"/>
          <w:numId w:val="233"/>
        </w:numPr>
        <w:spacing w:before="0"/>
      </w:pPr>
      <w:r>
        <w:t>Ha egy kötelezettség több feltételnek is megfelel, és az r0110-tól r0210-ig terjedő tartományban több sorban is megadható, csak egy sorban kell megadni, amely ebben a táblában a legalacsonyabb sorszámmal rendelkezik.</w:t>
      </w:r>
    </w:p>
    <w:p w14:paraId="7FE1B4ED" w14:textId="0B0F63BC" w:rsidR="00896468" w:rsidRDefault="00B31E50">
      <w:pPr>
        <w:pStyle w:val="P68B1DB1-InstructionsText26"/>
        <w:numPr>
          <w:ilvl w:val="0"/>
          <w:numId w:val="233"/>
        </w:numPr>
      </w:pPr>
      <w:r>
        <w:t>Az ebben a táblában szereplő összegeket kintlévő és könyv szerinti értékként egyaránt fel kell tüntetni:</w:t>
      </w:r>
    </w:p>
    <w:p w14:paraId="7FE1B4EE" w14:textId="79E6150C" w:rsidR="00896468" w:rsidRDefault="00B31E50">
      <w:pPr>
        <w:pStyle w:val="P68B1DB1-InstructionsText26"/>
        <w:numPr>
          <w:ilvl w:val="1"/>
          <w:numId w:val="233"/>
        </w:numPr>
      </w:pPr>
      <w:r>
        <w:t xml:space="preserve">A követelés vagy instrumentum kintlévő összege a követelés vagy instrumentum tőkeösszegének és felhalmozott kamatának összege. Az esedékes </w:t>
      </w:r>
      <w:r w:rsidR="00D652BC">
        <w:t xml:space="preserve">kintlévő </w:t>
      </w:r>
      <w:r>
        <w:t xml:space="preserve">összeg megegyezik a hitelező által fizetésképtelenségi eljárás keretében benyújtott követelés értékével, a fizetésképtelenségi beszámításra vonatkozó rendelkezések figyelembevétele nélkül, és nem tartalmazza a kötelezettségi instrumentumokra vonatkozó felárakat vagy kedvezményeket. </w:t>
      </w:r>
      <w:r>
        <w:lastRenderedPageBreak/>
        <w:t xml:space="preserve">Azokban az esetekben, amikor nem nyújtanak be fizetésképtelenségi eljárás keretében követelést, a </w:t>
      </w:r>
      <w:r w:rsidR="007D56B0">
        <w:t xml:space="preserve">kintlévő </w:t>
      </w:r>
      <w:r>
        <w:t xml:space="preserve">összeg várhatóan nulla lesz. </w:t>
      </w:r>
    </w:p>
    <w:p w14:paraId="7FE1B4EF" w14:textId="77777777" w:rsidR="00896468" w:rsidRDefault="00B31E50">
      <w:pPr>
        <w:pStyle w:val="P68B1DB1-InstructionsText26"/>
        <w:numPr>
          <w:ilvl w:val="1"/>
          <w:numId w:val="233"/>
        </w:numPr>
      </w:pPr>
      <w:r>
        <w:t xml:space="preserve">A könyv szerinti érték a FINREP alkalmazásában az IFRS vagy adott esetben az nGAAP szerint meghatározott könyv szerinti érték. Eltérő esetben az nGAAP szerinti adatokat kell használni. </w:t>
      </w:r>
    </w:p>
    <w:p w14:paraId="7FE1B4F1" w14:textId="5D6E1C07" w:rsidR="00896468" w:rsidRDefault="00B31E50">
      <w:pPr>
        <w:pStyle w:val="P68B1DB1-InstructionsText26"/>
        <w:numPr>
          <w:ilvl w:val="0"/>
          <w:numId w:val="233"/>
        </w:numPr>
        <w:spacing w:before="0"/>
      </w:pPr>
      <w:r>
        <w:t>Ez a jelentés olyan adatpontokat említ, amelyeket a szervezet a FINREP-ben és a COREP-ben ugyanarra a referencia-időpontra és a jelentéstételi körre vonatkozóan már</w:t>
      </w:r>
      <w:r w:rsidR="00D652BC">
        <w:t xml:space="preserve"> esetlegesen</w:t>
      </w:r>
      <w:r>
        <w:t xml:space="preserve"> jelentett (lásd a COREP/FINREP hivatkozásokat az útmutatóban). Ebben az esetben a</w:t>
      </w:r>
      <w:r w:rsidR="00D652BC">
        <w:t>z adatszolgáltató</w:t>
      </w:r>
      <w:r w:rsidR="009F17D2">
        <w:t xml:space="preserve"> szervezet</w:t>
      </w:r>
      <w:r w:rsidR="00D652BC">
        <w:t>n</w:t>
      </w:r>
      <w:r w:rsidR="009F17D2">
        <w:t>e</w:t>
      </w:r>
      <w:r w:rsidR="00D652BC">
        <w:t>k</w:t>
      </w:r>
      <w:r>
        <w:t xml:space="preserve"> nem kell másodszor jelentenie ezeket az adatpontokat. </w:t>
      </w:r>
      <w:r w:rsidR="009F17D2">
        <w:t xml:space="preserve">Azonban </w:t>
      </w:r>
      <w:r>
        <w:t>a COREP/FINREP adatpontokat itt kell jelenteni, ha az adatszolgáltató szervezetet mentesítették a pénzügyi vagy prudenciális adatszolgáltatási kötelezettségek alól, amely esetben a szanálási hatóságok számára ezen adatpontok tekintetében ez az egyetlen adatforrás.</w:t>
      </w:r>
    </w:p>
    <w:p w14:paraId="7FE1B4F2" w14:textId="77777777" w:rsidR="00896468" w:rsidRDefault="00B31E50">
      <w:pPr>
        <w:pStyle w:val="P68B1DB1-Instructionsberschrift312"/>
      </w:pPr>
      <w:r>
        <w:t>A táblák egyes részeire vonatkozó útmutatások</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896468"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896468" w:rsidRDefault="00B31E50">
            <w:pPr>
              <w:pStyle w:val="P68B1DB1-TableParagraph13"/>
              <w:spacing w:before="66"/>
              <w:rPr>
                <w:rFonts w:eastAsia="Cambria"/>
              </w:rPr>
            </w:pPr>
            <w:r>
              <w:t>Oszlopok</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896468" w:rsidRDefault="00B31E50">
            <w:pPr>
              <w:pStyle w:val="P68B1DB1-TableParagraph13"/>
              <w:spacing w:before="66"/>
              <w:ind w:right="1"/>
              <w:jc w:val="center"/>
              <w:rPr>
                <w:rFonts w:eastAsia="Cambria"/>
              </w:rPr>
            </w:pPr>
            <w:r>
              <w:t>Útmutató</w:t>
            </w:r>
          </w:p>
        </w:tc>
      </w:tr>
      <w:tr w:rsidR="00896468"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896468" w:rsidRDefault="00B31E50">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896468" w:rsidRDefault="00B31E50">
            <w:pPr>
              <w:pStyle w:val="P68B1DB1-TableParagraph14"/>
              <w:spacing w:before="108"/>
              <w:ind w:left="85"/>
              <w:jc w:val="both"/>
            </w:pPr>
            <w:r>
              <w:t>Háztartások</w:t>
            </w:r>
          </w:p>
          <w:p w14:paraId="7FE1B4F8" w14:textId="77777777" w:rsidR="00896468" w:rsidRDefault="00B31E50">
            <w:pPr>
              <w:pStyle w:val="P68B1DB1-TableParagraph17"/>
              <w:spacing w:before="108"/>
              <w:ind w:left="85"/>
              <w:jc w:val="both"/>
            </w:pPr>
            <w:r>
              <w:t xml:space="preserve">FINREP, V. melléklet, 1. rész 42. f) pont </w:t>
            </w:r>
          </w:p>
          <w:p w14:paraId="7FE1B4F9" w14:textId="77777777" w:rsidR="00896468" w:rsidRDefault="00B31E50">
            <w:pPr>
              <w:pStyle w:val="P68B1DB1-TableParagraph17"/>
              <w:spacing w:before="108"/>
              <w:ind w:left="85"/>
              <w:jc w:val="both"/>
              <w:rPr>
                <w:b/>
              </w:rPr>
            </w:pPr>
            <w:r>
              <w:t>Egyének és egyének csoportjai mint fogyasztók, kizárólag saját felhasználásra árukat és szolgáltatásokat, valamint piaci árukat és nem pénzügyi szolgáltatásokat előállítók, feltéve, hogy tevékenységük nem egyezik meg a kvázivállalatokéval. Idetartoznak még azok a nonprofit intézmények, amelyek háztartásokat szolgálnak ki, és amelyek elsősorban nem piaci áruk és szolgáltatások háztartások meghatározott csoportjai számára történő előállításával, illetve nyújtásával foglalkoznak.</w:t>
            </w:r>
          </w:p>
        </w:tc>
      </w:tr>
      <w:tr w:rsidR="00896468"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896468" w:rsidRDefault="00B31E50">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896468" w:rsidRDefault="00B31E50">
            <w:pPr>
              <w:pStyle w:val="P68B1DB1-TableParagraph14"/>
              <w:spacing w:before="108"/>
              <w:ind w:left="85"/>
              <w:jc w:val="both"/>
            </w:pPr>
            <w:r>
              <w:t>Nem pénzügyi vállalatok (kkv-k)</w:t>
            </w:r>
          </w:p>
          <w:p w14:paraId="7FE1B4FD" w14:textId="77777777" w:rsidR="00896468" w:rsidRDefault="00B31E50">
            <w:pPr>
              <w:pStyle w:val="P68B1DB1-TableParagraph17"/>
              <w:spacing w:before="108"/>
              <w:ind w:left="85"/>
              <w:jc w:val="both"/>
            </w:pPr>
            <w:r>
              <w:t>FINREP, V. melléklet, 1. rész 42. e) pont</w:t>
            </w:r>
          </w:p>
          <w:p w14:paraId="7FE1B4FE" w14:textId="64361B4C" w:rsidR="00896468" w:rsidRDefault="00B31E50">
            <w:pPr>
              <w:pStyle w:val="P68B1DB1-TableParagraph13"/>
              <w:spacing w:before="108"/>
              <w:ind w:left="85"/>
              <w:jc w:val="both"/>
              <w:rPr>
                <w:rFonts w:eastAsia="Cambria"/>
              </w:rPr>
            </w:pPr>
            <w:r>
              <w:t>Azon vállalkozások és kvázivállalkozások, amelyek nem a pénzügyi közvetítésben, hanem elsősorban a piaci javak előállításában és nem pénzügyi szolgáltatások nyújtásában vesznek részt az (EU) 2021/379 EKB-rendelettel összhangban</w:t>
            </w:r>
            <w:r w:rsidRPr="00C46908">
              <w:rPr>
                <w:vertAlign w:val="superscript"/>
              </w:rPr>
              <w:footnoteReference w:id="11"/>
            </w:r>
            <w:r>
              <w:t xml:space="preserve">, </w:t>
            </w:r>
            <w:r w:rsidR="009F17D2">
              <w:t xml:space="preserve">és </w:t>
            </w:r>
            <w:r>
              <w:t>amelyek a következő SME definíciót is teljesítik:</w:t>
            </w:r>
          </w:p>
          <w:p w14:paraId="7FE1B4FF" w14:textId="77777777"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sidRPr="00C46908">
              <w:rPr>
                <w:color w:val="000000" w:themeColor="text1"/>
                <w:sz w:val="20"/>
                <w:szCs w:val="20"/>
              </w:rPr>
              <w:t xml:space="preserve">A 2003. május 6-i bizottsági ajánlás I. </w:t>
            </w:r>
            <w:r>
              <w:rPr>
                <w:rFonts w:ascii="Times New Roman" w:eastAsia="Cambria" w:hAnsi="Times New Roman" w:cs="Times New Roman"/>
                <w:color w:val="000000" w:themeColor="text1"/>
                <w:sz w:val="20"/>
                <w:szCs w:val="20"/>
              </w:rPr>
              <w:t>melléklete I. címe 2. cikkének (1) bekezdése</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V. melléklet, 1. rész 5. i. pont</w:t>
            </w:r>
          </w:p>
          <w:p w14:paraId="7FE1B500" w14:textId="0AC21BE3" w:rsidR="00896468" w:rsidRDefault="00B31E50">
            <w:pPr>
              <w:pStyle w:val="P68B1DB1-TableParagraph17"/>
              <w:spacing w:before="108"/>
              <w:ind w:left="85"/>
              <w:jc w:val="both"/>
              <w:rPr>
                <w:rFonts w:eastAsia="Book Antiqua"/>
              </w:rPr>
            </w:pPr>
            <w:r>
              <w:t xml:space="preserve">Azok a vállalkozások, amelyek kevesebb mint 250 személyt foglalkoztatnak, és amelyek éves </w:t>
            </w:r>
            <w:r w:rsidR="009F17D2">
              <w:t xml:space="preserve">nettó árbevétele </w:t>
            </w:r>
            <w:r>
              <w:t>nem haladja meg az 50 millió eurót, és/vagy éves mérlegfőösszege nem haladja meg a 43 millió eurót.</w:t>
            </w:r>
          </w:p>
        </w:tc>
      </w:tr>
      <w:tr w:rsidR="00896468"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896468" w:rsidRDefault="00B31E50">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896468" w:rsidRDefault="00B31E50">
            <w:pPr>
              <w:pStyle w:val="P68B1DB1-TableParagraph14"/>
              <w:spacing w:before="108"/>
              <w:ind w:left="85"/>
              <w:jc w:val="both"/>
            </w:pPr>
            <w:r>
              <w:t>Nem pénzügyi vállalatok (nem kkv-k)</w:t>
            </w:r>
          </w:p>
          <w:p w14:paraId="7FE1B504" w14:textId="77777777" w:rsidR="00896468" w:rsidRDefault="00B31E50">
            <w:pPr>
              <w:pStyle w:val="P68B1DB1-TableParagraph17"/>
              <w:spacing w:before="108"/>
              <w:ind w:left="85"/>
              <w:jc w:val="both"/>
            </w:pPr>
            <w:r>
              <w:t>FINREP, V. melléklet, 1. rész 42. e) pont</w:t>
            </w:r>
          </w:p>
          <w:p w14:paraId="7FE1B505" w14:textId="53EEC701" w:rsidR="00896468" w:rsidRDefault="00B31E50">
            <w:pPr>
              <w:pStyle w:val="P68B1DB1-TableParagraph13"/>
              <w:spacing w:before="108"/>
              <w:ind w:left="85"/>
              <w:jc w:val="both"/>
              <w:rPr>
                <w:rFonts w:eastAsia="Cambria"/>
              </w:rPr>
            </w:pPr>
            <w:r>
              <w:t>Azon vállalkozások és kvázivállalkozások, amelyek nem a pénzügyi közvetítésben, hanem elsősorban a piaci javak előállításában és nem pénzügyi szolgáltatások nyújtásában vesznek részt az (EU) 2021/379 EKB-rendelettel összhangban.</w:t>
            </w:r>
          </w:p>
          <w:p w14:paraId="7FE1B506" w14:textId="77777777" w:rsidR="00896468" w:rsidRDefault="00B31E50">
            <w:pPr>
              <w:pStyle w:val="P68B1DB1-TableParagraph17"/>
              <w:spacing w:before="108"/>
              <w:ind w:left="85"/>
              <w:jc w:val="both"/>
              <w:rPr>
                <w:b/>
                <w:bCs/>
              </w:rPr>
            </w:pPr>
            <w:r>
              <w:t xml:space="preserve">Ez az oszlop nem tartalmazza a 0020. oszlopban figyelembe vett kkv-kat. </w:t>
            </w:r>
          </w:p>
        </w:tc>
      </w:tr>
      <w:tr w:rsidR="00896468"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896468" w:rsidRDefault="00B31E50">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896468" w:rsidRDefault="00B31E50">
            <w:pPr>
              <w:pStyle w:val="P68B1DB1-TableParagraph14"/>
              <w:spacing w:before="108"/>
              <w:ind w:left="85"/>
              <w:jc w:val="both"/>
            </w:pPr>
            <w:r>
              <w:t>Hitelintézetek</w:t>
            </w:r>
          </w:p>
          <w:p w14:paraId="7FE1B50A" w14:textId="77777777" w:rsidR="00896468" w:rsidRDefault="00B31E50">
            <w:pPr>
              <w:pStyle w:val="P68B1DB1-TableParagraph17"/>
              <w:spacing w:before="108"/>
              <w:ind w:left="85"/>
              <w:jc w:val="both"/>
            </w:pPr>
            <w:r>
              <w:t>FINREP, V. melléklet, 1. rész 42. c) pont</w:t>
            </w:r>
          </w:p>
          <w:p w14:paraId="7FE1B50B" w14:textId="77777777" w:rsidR="00896468" w:rsidRDefault="00B31E50">
            <w:pPr>
              <w:pStyle w:val="P68B1DB1-TableParagraph13"/>
              <w:spacing w:before="108"/>
              <w:ind w:left="85"/>
              <w:jc w:val="both"/>
              <w:rPr>
                <w:b/>
                <w:bCs/>
              </w:rPr>
            </w:pPr>
            <w:r>
              <w:lastRenderedPageBreak/>
              <w:t>A 575/2013/EU rendelet 4. cikke (1) bekezdésének 1. pontja szerinti hitelintézetek és multilaterális fejlesztési bankok.</w:t>
            </w:r>
          </w:p>
        </w:tc>
      </w:tr>
      <w:tr w:rsidR="00896468"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896468" w:rsidRDefault="00B31E50">
            <w:pPr>
              <w:pStyle w:val="P68B1DB1-TableParagraph13"/>
              <w:spacing w:before="106"/>
              <w:ind w:left="-1"/>
            </w:pPr>
            <w:r>
              <w:lastRenderedPageBreak/>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896468" w:rsidRDefault="00B31E50">
            <w:pPr>
              <w:pStyle w:val="P68B1DB1-TableParagraph14"/>
              <w:spacing w:before="108"/>
              <w:ind w:left="85"/>
              <w:jc w:val="both"/>
            </w:pPr>
            <w:r>
              <w:t>Egyéb pénzügyi vállalatok</w:t>
            </w:r>
          </w:p>
          <w:p w14:paraId="7FE1B50F" w14:textId="77777777" w:rsidR="00896468" w:rsidRDefault="00B31E50">
            <w:pPr>
              <w:pStyle w:val="P68B1DB1-TableParagraph17"/>
              <w:spacing w:before="108"/>
              <w:ind w:left="85"/>
              <w:jc w:val="both"/>
            </w:pPr>
            <w:r>
              <w:t>FINREP, V. melléklet, 1. rész 42. d) pont</w:t>
            </w:r>
          </w:p>
          <w:p w14:paraId="7FE1B510" w14:textId="50D76FA5" w:rsidR="00896468" w:rsidRDefault="00B31E50">
            <w:pPr>
              <w:pStyle w:val="P68B1DB1-TableParagraph17"/>
              <w:spacing w:before="108"/>
              <w:ind w:left="85"/>
              <w:jc w:val="both"/>
              <w:rPr>
                <w:b/>
                <w:bCs/>
              </w:rPr>
            </w:pPr>
            <w:r>
              <w:t xml:space="preserve">A hitelintézeteken kívüli minden egyéb pénzügyi vállalat és kvázivállalat, például befektetési vállalkozás, befektetési alap, biztosító, nyugdíjalap, kollektív befektetési vállalkozás és elszámolóház, valamint a többi pénzügyi közvetítő, pénzügyi kiegészítő tevékenységet végző szervezet, </w:t>
            </w:r>
            <w:r w:rsidR="008C4D16">
              <w:t xml:space="preserve">kapcsolt pénzügyi intézmény </w:t>
            </w:r>
            <w:r>
              <w:t>és pénzkölcsönző.</w:t>
            </w:r>
          </w:p>
        </w:tc>
      </w:tr>
      <w:tr w:rsidR="00896468"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896468" w:rsidRDefault="00B31E50">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896468" w:rsidRDefault="00B31E50">
            <w:pPr>
              <w:pStyle w:val="P68B1DB1-TableParagraph14"/>
              <w:spacing w:before="108"/>
              <w:ind w:left="85"/>
              <w:jc w:val="both"/>
            </w:pPr>
            <w:r>
              <w:t>Ebből biztosítók és nyugdíjalapok</w:t>
            </w:r>
          </w:p>
          <w:p w14:paraId="7FE1B514" w14:textId="61100B99" w:rsidR="00896468" w:rsidRDefault="00B31E50">
            <w:pPr>
              <w:pStyle w:val="P68B1DB1-TableParagraph17"/>
              <w:spacing w:before="108"/>
              <w:ind w:left="85"/>
              <w:jc w:val="both"/>
              <w:rPr>
                <w:b/>
              </w:rPr>
            </w:pPr>
            <w:r>
              <w:t>Biztosítók, viszontbiztosítók (mint a 2009/138/EK európai parlamenti és tanácsi irányelv (Szolvencia II) 13. cikkének 1–6. pontjában meghatározott biztosítók és viszontbiztosítók)</w:t>
            </w:r>
            <w:r w:rsidR="002E495A">
              <w:t>, továbbá</w:t>
            </w:r>
            <w:r>
              <w:t xml:space="preserve"> nyugdíj- és </w:t>
            </w:r>
            <w:r w:rsidR="002E495A">
              <w:t>ennek megfelelő</w:t>
            </w:r>
            <w:r>
              <w:t xml:space="preserve"> alapok.</w:t>
            </w:r>
          </w:p>
        </w:tc>
      </w:tr>
      <w:tr w:rsidR="00896468"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896468" w:rsidRDefault="00B31E50">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896468" w:rsidRDefault="00B31E50">
            <w:pPr>
              <w:pStyle w:val="P68B1DB1-TableParagraph14"/>
              <w:spacing w:before="108"/>
              <w:ind w:left="85"/>
              <w:jc w:val="both"/>
            </w:pPr>
            <w:r>
              <w:t>Államháztartások és központi bankok</w:t>
            </w:r>
          </w:p>
          <w:p w14:paraId="7FE1B518" w14:textId="77777777" w:rsidR="00896468" w:rsidRDefault="00B31E50">
            <w:pPr>
              <w:pStyle w:val="P68B1DB1-TableParagraph17"/>
              <w:spacing w:before="108"/>
              <w:ind w:left="85"/>
              <w:jc w:val="both"/>
            </w:pPr>
            <w:r>
              <w:t>FINREP, V. melléklet, 1. rész 42. a) és b) pont</w:t>
            </w:r>
          </w:p>
          <w:p w14:paraId="7FE1B519" w14:textId="77777777" w:rsidR="00896468" w:rsidRDefault="00B31E50">
            <w:pPr>
              <w:pStyle w:val="P68B1DB1-TableParagraph17"/>
              <w:spacing w:before="108"/>
              <w:ind w:left="85"/>
              <w:jc w:val="both"/>
              <w:rPr>
                <w:b/>
                <w:bCs/>
              </w:rPr>
            </w:pPr>
            <w:r>
              <w:t>Központi bankok és központi kormányzatok, tartományi vagy regionális kormányzatok és helyi önkormányzatok, ideértve a közigazgatási szerveket és a nem kereskedelmi vállalkozásokat, de ide nem értve az ezen kormányzatok tulajdonában álló, kereskedelmi tevékenységet folytató állami és magánvállalatokat (amelyeket tevékenységüktől függően a „hitelintézetek”, „egyéb pénzügyi vállalatok”, vagy „nem pénzügyi vállalatok” alatt kell feltüntetni); társadalombiztosítási alapok; és nemzetközi szervezetek, mint például az Európai Unió, a Nemzetközi Valutaalap és a Nemzetközi Fizetések Bankja.</w:t>
            </w:r>
          </w:p>
        </w:tc>
      </w:tr>
      <w:tr w:rsidR="00896468"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896468" w:rsidRDefault="00B31E50">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896468" w:rsidRDefault="00B31E50">
            <w:pPr>
              <w:pStyle w:val="P68B1DB1-TableParagraph14"/>
              <w:spacing w:before="108"/>
              <w:ind w:left="85"/>
              <w:jc w:val="both"/>
            </w:pPr>
            <w:r>
              <w:t>Nem azonosított, kereskedési helyszínen jegyzett</w:t>
            </w:r>
          </w:p>
          <w:p w14:paraId="7FE1B51D" w14:textId="5F92CBCC" w:rsidR="00896468" w:rsidRDefault="00B31E50">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Amennyiben az értékpapír birtokosának kiléte nem ismert, mivel az instrumentumot a pénzügyi eszközök piacairól szóló, 2014. május 15-i 2014/65/EU európai parlamenti és tanácsi irányelv meghatározott kereskedési helyszínen jegyzik</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az összegeket ebben az oszlopban kell feltüntetni.</w:t>
            </w:r>
          </w:p>
        </w:tc>
      </w:tr>
      <w:tr w:rsidR="00896468"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896468" w:rsidRDefault="00B31E50">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896468" w:rsidRDefault="00B31E50">
            <w:pPr>
              <w:pStyle w:val="P68B1DB1-TableParagraph14"/>
              <w:spacing w:before="108"/>
              <w:ind w:left="85"/>
              <w:jc w:val="both"/>
            </w:pPr>
            <w:r>
              <w:t>Nem azonosított, kereskedési helyszínen nem jegyzett</w:t>
            </w:r>
          </w:p>
          <w:p w14:paraId="7FE1B521" w14:textId="09582F2B" w:rsidR="00896468" w:rsidRDefault="00B31E50">
            <w:pPr>
              <w:pStyle w:val="P68B1DB1-TableParagraph17"/>
              <w:spacing w:before="108"/>
              <w:ind w:left="85"/>
              <w:jc w:val="both"/>
            </w:pPr>
            <w:r>
              <w:t xml:space="preserve">Amennyiben az értékpapír birtokosának kiléte nem ismert, és az instrumentumot kereskedési helyszínen nem jegyzik, az összegeket ebben az oszlopban kell feltüntetni, és nincs szükség további partner szerinti bontásra. Az adatszolgáltató szervezeteket arra ösztönzik, hogy azonosítsák a partnereket, és  </w:t>
            </w:r>
            <w:r w:rsidR="00894B3C">
              <w:t xml:space="preserve">limitálják </w:t>
            </w:r>
            <w:r>
              <w:t>ennek az oszlopnak a használatát.</w:t>
            </w:r>
          </w:p>
        </w:tc>
      </w:tr>
      <w:tr w:rsidR="00896468"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896468" w:rsidRDefault="00B31E50">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896468" w:rsidRDefault="00B31E50">
            <w:pPr>
              <w:pStyle w:val="P68B1DB1-TableParagraph14"/>
              <w:spacing w:before="108"/>
              <w:ind w:left="85"/>
              <w:jc w:val="both"/>
              <w:rPr>
                <w:bCs/>
              </w:rPr>
            </w:pPr>
            <w:r>
              <w:t>Összesen</w:t>
            </w:r>
          </w:p>
        </w:tc>
      </w:tr>
      <w:tr w:rsidR="00896468"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896468" w:rsidRDefault="00B31E50">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896468" w:rsidRDefault="00B31E50">
            <w:pPr>
              <w:pStyle w:val="P68B1DB1-TableParagraph14"/>
              <w:spacing w:before="108"/>
              <w:ind w:left="85"/>
              <w:jc w:val="both"/>
            </w:pPr>
            <w:r>
              <w:t>Ebből: csoporton belüli</w:t>
            </w:r>
          </w:p>
          <w:p w14:paraId="7FE1B528" w14:textId="1BF72D2B" w:rsidR="00896468" w:rsidRDefault="00B31E50">
            <w:pPr>
              <w:pStyle w:val="P68B1DB1-TableParagraph13"/>
              <w:spacing w:before="108"/>
              <w:ind w:left="85"/>
              <w:jc w:val="both"/>
              <w:rPr>
                <w:rFonts w:eastAsia="Times New Roman"/>
              </w:rPr>
            </w:pPr>
            <w:r>
              <w:t xml:space="preserve">A végső anyavállalat számviteli konszolidációjának hatókörébe tartozó szervezetekkel szembeni kötelezettségek (szemben a konszolidáció prudenciális körével). </w:t>
            </w:r>
          </w:p>
        </w:tc>
      </w:tr>
      <w:tr w:rsidR="00896468"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896468" w:rsidRDefault="00B31E50">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896468" w:rsidRDefault="00B31E50">
            <w:pPr>
              <w:pStyle w:val="P68B1DB1-TableParagraph14"/>
              <w:spacing w:before="108"/>
              <w:ind w:left="85"/>
              <w:jc w:val="both"/>
            </w:pPr>
            <w:r>
              <w:t>Ebből: harmadik ország joga alá tartozó kötelezettségek, kivéve a csoporton belüli kötelezettségeket</w:t>
            </w:r>
          </w:p>
          <w:p w14:paraId="7FE1B52C" w14:textId="77777777" w:rsidR="00896468" w:rsidRDefault="00B31E50">
            <w:pPr>
              <w:pStyle w:val="P68B1DB1-TableParagraph17"/>
              <w:spacing w:before="108"/>
              <w:ind w:left="85"/>
              <w:jc w:val="both"/>
            </w:pPr>
            <w:r>
              <w:t>Idetartoznak a harmadik országok joga által szabályozott és/vagy harmadik országokban letelepedett szervezetek által kibocsátott kötelezettségek bruttó összegei. Csoporton belüli kötelezettségek itt nem tüntethetők fel.</w:t>
            </w:r>
          </w:p>
          <w:p w14:paraId="7FE1B52D" w14:textId="77777777" w:rsidR="00896468" w:rsidRDefault="00B31E50">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 xml:space="preserve">Amennyiben a szanálási hatóság megerősítette, hogy a 2014/59/EU európai parlamenti és tanácsi </w:t>
            </w:r>
            <w:r>
              <w:rPr>
                <w:rFonts w:ascii="Times New Roman" w:eastAsia="Cambria" w:hAnsi="Times New Roman" w:cs="Times New Roman"/>
                <w:color w:val="000000" w:themeColor="text1"/>
                <w:sz w:val="20"/>
                <w:szCs w:val="20"/>
              </w:rPr>
              <w:lastRenderedPageBreak/>
              <w:t>irányelv 55. cikke (3) bekezdésének értelmében meggyőződött arról</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 hogy valamely szanálási hatóság valamely kötelezettség leírására vagy átalakítására vonatkozó határozata az adott harmadik ország joga szerint végrehajtásra kerülne, a kötelezettséget nem kell ebben az oszlopban feltüntetni.</w:t>
            </w:r>
          </w:p>
        </w:tc>
      </w:tr>
    </w:tbl>
    <w:p w14:paraId="7FE1B532" w14:textId="77777777" w:rsidR="00896468" w:rsidRDefault="00896468">
      <w:pPr>
        <w:rPr>
          <w:rFonts w:ascii="Times New Roman" w:hAnsi="Times New Roman" w:cs="Times New Roman"/>
        </w:rPr>
      </w:pPr>
    </w:p>
    <w:p w14:paraId="7FE1B533" w14:textId="77777777" w:rsidR="00896468" w:rsidRDefault="00896468">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896468"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896468" w:rsidRDefault="00B31E50">
            <w:pPr>
              <w:pStyle w:val="P68B1DB1-TableParagraph13"/>
              <w:spacing w:before="66"/>
              <w:rPr>
                <w:rFonts w:eastAsia="Cambria"/>
              </w:rPr>
            </w:pPr>
            <w:r>
              <w:t>Sor</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896468" w:rsidRDefault="00B31E50">
            <w:pPr>
              <w:pStyle w:val="P68B1DB1-TableParagraph13"/>
              <w:spacing w:before="66"/>
              <w:ind w:right="1"/>
              <w:jc w:val="center"/>
              <w:rPr>
                <w:rFonts w:eastAsia="Cambria"/>
              </w:rPr>
            </w:pPr>
            <w:r>
              <w:t>Útmutató</w:t>
            </w:r>
          </w:p>
        </w:tc>
      </w:tr>
      <w:tr w:rsidR="00896468"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896468" w:rsidRDefault="00B31E50">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896468" w:rsidRDefault="00B31E50">
            <w:pPr>
              <w:pStyle w:val="P68B1DB1-TableParagraph14"/>
              <w:spacing w:before="108"/>
              <w:ind w:left="85"/>
              <w:jc w:val="both"/>
            </w:pPr>
            <w:r>
              <w:t>A hitelezői feltőkésítésből kizárt kötelezettségek</w:t>
            </w:r>
          </w:p>
          <w:p w14:paraId="7FE1B53A" w14:textId="17163FE4" w:rsidR="00896468" w:rsidRDefault="00B31E50">
            <w:pPr>
              <w:pStyle w:val="P68B1DB1-TableParagraph17"/>
              <w:spacing w:before="108"/>
              <w:jc w:val="both"/>
            </w:pPr>
            <w:r>
              <w:t>Azon kötelezettségek összege, amelyek tekintetében a szanálási hatóságok nem gyakorolhatják a 2014/59/EU irányelv 44. cikkének (2) bekezdése szerinti leírási vagy átalakítási hatáskör</w:t>
            </w:r>
            <w:r w:rsidR="0063794F">
              <w:t>ü</w:t>
            </w:r>
            <w:r>
              <w:t xml:space="preserve">ket. </w:t>
            </w:r>
          </w:p>
        </w:tc>
      </w:tr>
      <w:tr w:rsidR="00896468"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896468" w:rsidRDefault="00B31E50">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896468" w:rsidRDefault="00B31E50">
            <w:pPr>
              <w:pStyle w:val="P68B1DB1-TableParagraph14"/>
              <w:spacing w:before="108"/>
              <w:ind w:left="85"/>
              <w:jc w:val="both"/>
            </w:pPr>
            <w:r>
              <w:t>Biztosított betétek</w:t>
            </w:r>
          </w:p>
          <w:p w14:paraId="7FE1B53E" w14:textId="77777777" w:rsidR="00896468" w:rsidRDefault="00B31E50">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A 2014/49/EU európai parlamenti és tanácsi irányelv 2. cikke (1) bekezdésének 5. pontjában meghatározott biztosított betétek összege</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az említett irányelv 6. cikkének (2) bekezdésében meghatározott ideiglenes túllépés kizárásával.</w:t>
            </w:r>
          </w:p>
        </w:tc>
      </w:tr>
      <w:tr w:rsidR="00896468"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896468" w:rsidRDefault="00B31E50">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896468" w:rsidRDefault="00B31E50">
            <w:pPr>
              <w:pStyle w:val="P68B1DB1-TableParagraph14"/>
              <w:spacing w:before="108"/>
              <w:ind w:left="85"/>
              <w:jc w:val="both"/>
            </w:pPr>
            <w:r>
              <w:t>Biztosítékkal fedezett kötelezettségek – fedezett rész</w:t>
            </w:r>
          </w:p>
          <w:p w14:paraId="7FE1B542" w14:textId="4B9DDB4E" w:rsidR="00896468" w:rsidRDefault="00B31E50">
            <w:pPr>
              <w:pStyle w:val="P68B1DB1-TableParagraph17"/>
              <w:spacing w:before="108"/>
              <w:ind w:left="85"/>
              <w:jc w:val="both"/>
            </w:pPr>
            <w:r>
              <w:t xml:space="preserve">A 2014/59/EU irányelv 44. cikke (2) bekezdésének (b) pontjában </w:t>
            </w:r>
            <w:r w:rsidR="005F4CB3">
              <w:t xml:space="preserve">említett </w:t>
            </w:r>
            <w:r>
              <w:t>kötelezettségek összege.</w:t>
            </w:r>
          </w:p>
          <w:p w14:paraId="7FE1B543" w14:textId="77777777" w:rsidR="00896468" w:rsidRDefault="00B31E50">
            <w:pPr>
              <w:pStyle w:val="P68B1DB1-TableParagraph17"/>
              <w:spacing w:before="108"/>
              <w:ind w:left="85"/>
              <w:jc w:val="both"/>
            </w:pPr>
            <w:r>
              <w:t>Biztosítékkal fedezett kötelezettségek, ideértve a visszavásárlási megállapodásokat (repók), a biztosítékkal fedezett kötvényeket és azokat a kötelezettségeket, amelyek olyan pénzügyi instrumentumok formáját öltik, amelyek a fedezeti halmaz elválaszthatatlan részét képezik, és amelyek a nemzeti jog értelmében a fedezett kötvényekhez hasonló módon fedezettek.</w:t>
            </w:r>
          </w:p>
          <w:p w14:paraId="7FE1B544" w14:textId="77777777" w:rsidR="00896468" w:rsidRDefault="00B31E50">
            <w:pPr>
              <w:pStyle w:val="P68B1DB1-TableParagraph17"/>
              <w:spacing w:before="108"/>
              <w:ind w:left="85"/>
              <w:jc w:val="both"/>
            </w:pPr>
            <w:r>
              <w:t>Sem a fedezeti halmazban lévő, fedezett kötvényekkel kapcsolatos minden biztosítékkal fedezett eszköz elkülönítésére, érintetlenségére és megfelelő finanszírozására vonatkozó követelmény, sem pedig a 2014/59/EU irányelv 44. cikke (2) bekezdésének b) pontjában említett kizárás nem akadályozhatja meg a szanálási hatóságokat abban, hogy adott esetben gyakorolják e hatáskörüket a biztosítékkal fedezett kötelezettség azon része tekintetében, amely meghaladja a biztosítékul szolgáló vagyon, kézizálog, visszatartási jog vagy fedezet értékét. A biztosítékkal fedezett kötelezettségek e fedezetlen részét nem ebben a sorban, hanem a 0340. sorban kell feltüntetni, és tovább kell részletezni.</w:t>
            </w:r>
          </w:p>
          <w:p w14:paraId="7FE1B545" w14:textId="77777777" w:rsidR="00896468" w:rsidRDefault="00B31E50">
            <w:pPr>
              <w:pStyle w:val="P68B1DB1-TableParagraph20"/>
              <w:spacing w:before="108"/>
              <w:ind w:left="85"/>
              <w:jc w:val="both"/>
              <w:rPr>
                <w:color w:val="000000" w:themeColor="text1"/>
              </w:rPr>
            </w:pPr>
            <w:r>
              <w:rPr>
                <w:color w:val="000000" w:themeColor="text1"/>
              </w:rPr>
              <w:t>A biztosítéki halmaz által fedezett központi banki kötelezettségek (</w:t>
            </w:r>
            <w:r>
              <w:rPr>
                <w:color w:val="1A171C"/>
              </w:rPr>
              <w:t>fő refinanszírozási műveletek, hosszú távú refinanszírozási műveletek, célzott, hosszabb lejáratú refinanszírozási műveletek</w:t>
            </w:r>
            <w:r>
              <w:rPr>
                <w:color w:val="000000" w:themeColor="text1"/>
              </w:rPr>
              <w:t xml:space="preserve">stb.) biztosítékkal fedezett kötelezettségnek minősülnek. </w:t>
            </w:r>
          </w:p>
        </w:tc>
      </w:tr>
      <w:tr w:rsidR="00896468"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896468" w:rsidRDefault="00B31E50">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896468" w:rsidRDefault="00B31E50">
            <w:pPr>
              <w:pStyle w:val="P68B1DB1-TableParagraph14"/>
              <w:spacing w:before="108"/>
              <w:ind w:left="85"/>
              <w:jc w:val="both"/>
            </w:pPr>
            <w:r>
              <w:t>Ügyféllel szembeni kötelezettségek – amennyiben fizetésképtelenség esetén védettséget élveznek</w:t>
            </w:r>
          </w:p>
          <w:p w14:paraId="7FE1B54A" w14:textId="2F60701C" w:rsidR="00896468" w:rsidRDefault="00B31E50">
            <w:pPr>
              <w:pStyle w:val="P68B1DB1-TableParagraph17"/>
              <w:spacing w:before="108"/>
              <w:ind w:left="85"/>
              <w:jc w:val="both"/>
              <w:rPr>
                <w:b/>
                <w:bCs/>
              </w:rPr>
            </w:pPr>
            <w:r>
              <w:t>A 2014/59/EU irányelv 44. cikke (2) bekezdésének c) pontjában említett kötelezettségek összege.</w:t>
            </w:r>
          </w:p>
        </w:tc>
      </w:tr>
      <w:tr w:rsidR="00896468"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896468" w:rsidRDefault="00B31E50">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896468" w:rsidRDefault="00B31E50">
            <w:pPr>
              <w:pStyle w:val="P68B1DB1-TableParagraph14"/>
              <w:spacing w:before="108"/>
              <w:ind w:left="85"/>
              <w:jc w:val="both"/>
            </w:pPr>
            <w:r>
              <w:t>Vagyonkezelői kötelezettségek – amennyiben fizetésképtelenség esetén védettséget élveznek</w:t>
            </w:r>
          </w:p>
          <w:p w14:paraId="7FE1B54F" w14:textId="76B21996" w:rsidR="00896468" w:rsidRDefault="00B31E50">
            <w:pPr>
              <w:pStyle w:val="P68B1DB1-TableParagraph17"/>
              <w:spacing w:before="108"/>
              <w:ind w:left="85"/>
              <w:jc w:val="both"/>
              <w:rPr>
                <w:b/>
                <w:bCs/>
              </w:rPr>
            </w:pPr>
            <w:r>
              <w:t>A 2014/59/EU irányelv 44. cikke (2) bekezdésének d) pontjában említett kötelezettségek összege.</w:t>
            </w:r>
          </w:p>
        </w:tc>
      </w:tr>
      <w:tr w:rsidR="00896468"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896468" w:rsidRDefault="00B31E50">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650B712D" w:rsidR="00896468" w:rsidRDefault="00B31E50">
            <w:pPr>
              <w:pStyle w:val="P68B1DB1-TableParagraph14"/>
              <w:spacing w:before="108"/>
              <w:ind w:left="85"/>
              <w:jc w:val="both"/>
            </w:pPr>
            <w:r>
              <w:t>Intézmén</w:t>
            </w:r>
            <w:r w:rsidR="005F4CB3">
              <w:t>nyel szembeni</w:t>
            </w:r>
            <w:r>
              <w:t xml:space="preserve"> kötelezettségek </w:t>
            </w:r>
            <w:r w:rsidR="005F4CB3">
              <w:t xml:space="preserve">&lt; </w:t>
            </w:r>
            <w:r>
              <w:t xml:space="preserve">7 nap </w:t>
            </w:r>
          </w:p>
          <w:p w14:paraId="7FE1B554" w14:textId="175AD873" w:rsidR="00896468" w:rsidRDefault="00B31E50">
            <w:pPr>
              <w:pStyle w:val="P68B1DB1-TableParagraph17"/>
              <w:spacing w:before="108"/>
              <w:ind w:left="85"/>
              <w:jc w:val="both"/>
              <w:rPr>
                <w:b/>
                <w:bCs/>
              </w:rPr>
            </w:pPr>
            <w:r>
              <w:t>A 2014/59/EU irányelv 44. cikke (2) bekezdésének e) pontjában említett kötelezettségek összege.</w:t>
            </w:r>
          </w:p>
        </w:tc>
      </w:tr>
      <w:tr w:rsidR="00896468"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896468" w:rsidRDefault="00B31E50">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896468" w:rsidRDefault="00B31E50">
            <w:pPr>
              <w:pStyle w:val="P68B1DB1-TableParagraph14"/>
              <w:spacing w:before="108"/>
              <w:ind w:left="85"/>
              <w:jc w:val="both"/>
            </w:pPr>
            <w:r>
              <w:t>Rendszerrel (rendszerüzemeltetővel) és központi szerződő féllel szembeni kötelezettségek &lt; 7 nap</w:t>
            </w:r>
          </w:p>
          <w:p w14:paraId="7FE1B558" w14:textId="79B15273" w:rsidR="00896468" w:rsidRDefault="00B31E50">
            <w:pPr>
              <w:pStyle w:val="P68B1DB1-TableParagraph17"/>
              <w:spacing w:before="108"/>
              <w:ind w:left="85"/>
              <w:jc w:val="both"/>
              <w:rPr>
                <w:b/>
                <w:bCs/>
              </w:rPr>
            </w:pPr>
            <w:r>
              <w:lastRenderedPageBreak/>
              <w:t xml:space="preserve">A 2014/59/EU irányelv 44. cikke (2) bekezdésének f) pontjában említett kötelezettségek összege, beleértve a fizetési és értékpapír-elszámolási rendszereket és elszámolóházakat, valamint a központi szerződő fél által elszámolt, 7 napnál rövidebb lejáratú származtatott ügyleteket. </w:t>
            </w:r>
          </w:p>
        </w:tc>
      </w:tr>
      <w:tr w:rsidR="00896468"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896468" w:rsidRDefault="00B31E50">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896468" w:rsidRDefault="00B31E50">
            <w:pPr>
              <w:pStyle w:val="P68B1DB1-TableParagraph14"/>
              <w:spacing w:before="108"/>
              <w:ind w:left="85"/>
              <w:jc w:val="both"/>
            </w:pPr>
            <w:r>
              <w:t>Foglalkoztatottakkal szembeni kötelezettségek</w:t>
            </w:r>
          </w:p>
          <w:p w14:paraId="7FE1B55C" w14:textId="77777777" w:rsidR="00896468" w:rsidRDefault="00B31E50">
            <w:pPr>
              <w:pStyle w:val="P68B1DB1-TableParagraph17"/>
              <w:spacing w:before="108"/>
              <w:ind w:left="85"/>
              <w:jc w:val="both"/>
            </w:pPr>
            <w:r>
              <w:t>A 2014/59/EU irányelv 44. cikke (2) bekezdése g) pontjának i. alpontjában említett kötelezettségek összege.</w:t>
            </w:r>
          </w:p>
          <w:p w14:paraId="7FE1B55D" w14:textId="77777777" w:rsidR="00896468" w:rsidRDefault="00B31E50">
            <w:pPr>
              <w:pStyle w:val="P68B1DB1-TableParagraph17"/>
              <w:spacing w:before="108"/>
              <w:ind w:left="85"/>
              <w:jc w:val="both"/>
              <w:rPr>
                <w:b/>
                <w:bCs/>
              </w:rPr>
            </w:pPr>
            <w:r>
              <w:t>Foglalkoztatottakkal szemben fennálló kötelezettségek, felhalmozott bérhez, nyugellátáshoz vagy más rögzített javadalmazáshoz kapcsolódó kötelezettségek, kivéve a javadalmazás változó, kollektív szerződésben nem szabályozott összetevőit. Ez azonban nem vonatkozik a jelentős kockázatvállalók javadalmazásának a 2013/36/EU irányelv 92. cikkének (2) bekezdése szerinti változó összetevőjére.</w:t>
            </w:r>
          </w:p>
        </w:tc>
      </w:tr>
      <w:tr w:rsidR="00896468"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896468" w:rsidRDefault="00B31E50">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896468" w:rsidRDefault="00B31E50">
            <w:pPr>
              <w:pStyle w:val="P68B1DB1-TableParagraph14"/>
              <w:spacing w:before="108"/>
              <w:ind w:left="85"/>
              <w:jc w:val="both"/>
            </w:pPr>
            <w:r>
              <w:t>A napi operatív működés szempontjából kritikus kötelezettségek</w:t>
            </w:r>
          </w:p>
          <w:p w14:paraId="7FE1B562" w14:textId="61C90413" w:rsidR="00896468" w:rsidRDefault="00B31E50">
            <w:pPr>
              <w:pStyle w:val="P68B1DB1-TableParagraph17"/>
              <w:spacing w:before="108"/>
              <w:ind w:left="85"/>
              <w:jc w:val="both"/>
              <w:rPr>
                <w:b/>
                <w:bCs/>
              </w:rPr>
            </w:pPr>
            <w:r>
              <w:t>A 2014/59/EU irányelv 44. cikke (2) bekezdése g) pontjának ii. alpontjában említett kötelezettségek összege.</w:t>
            </w:r>
          </w:p>
        </w:tc>
      </w:tr>
      <w:tr w:rsidR="00896468"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896468" w:rsidRDefault="00B31E50">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896468" w:rsidRDefault="00B31E50">
            <w:pPr>
              <w:pStyle w:val="P68B1DB1-TableParagraph14"/>
              <w:spacing w:before="108"/>
              <w:ind w:left="85"/>
              <w:jc w:val="both"/>
            </w:pPr>
            <w:r>
              <w:t>Adó- és társadalombiztosítási kötelezettségek, ha előresoroltak</w:t>
            </w:r>
          </w:p>
          <w:p w14:paraId="7FE1B567" w14:textId="46841715" w:rsidR="00896468" w:rsidRDefault="00B31E50">
            <w:pPr>
              <w:pStyle w:val="P68B1DB1-TableParagraph17"/>
              <w:spacing w:before="108"/>
              <w:ind w:left="85"/>
              <w:jc w:val="both"/>
              <w:rPr>
                <w:b/>
                <w:bCs/>
              </w:rPr>
            </w:pPr>
            <w:r>
              <w:t>A 2014/59/EU irányelv 44. cikke (2) bekezdése g) pontjának iii. alpontjában említett kötelezettségek összege.</w:t>
            </w:r>
          </w:p>
        </w:tc>
      </w:tr>
      <w:tr w:rsidR="00896468"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896468" w:rsidRDefault="00B31E50">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896468" w:rsidRDefault="00B31E50">
            <w:pPr>
              <w:pStyle w:val="P68B1DB1-TableParagraph14"/>
              <w:spacing w:before="108"/>
              <w:ind w:left="85"/>
              <w:jc w:val="both"/>
            </w:pPr>
            <w:r>
              <w:t>Betétbiztosítási rendszerekkel szembeni kötelezettségek</w:t>
            </w:r>
          </w:p>
          <w:p w14:paraId="7FE1B56C" w14:textId="69555433" w:rsidR="00896468" w:rsidRDefault="00B31E50">
            <w:pPr>
              <w:pStyle w:val="P68B1DB1-TableParagraph17"/>
              <w:spacing w:before="108"/>
              <w:ind w:left="85"/>
              <w:jc w:val="both"/>
              <w:rPr>
                <w:b/>
                <w:bCs/>
              </w:rPr>
            </w:pPr>
            <w:r>
              <w:t>A 2014/59/EU irányelv 44. cikke (2) bekezdése g) pontjának iv. alpontjában említett kötelezettségek összege.</w:t>
            </w:r>
          </w:p>
        </w:tc>
      </w:tr>
      <w:tr w:rsidR="00896468"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896468" w:rsidRDefault="00B31E50">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896468" w:rsidRDefault="00B31E50">
            <w:pPr>
              <w:pStyle w:val="P68B1DB1-TableParagraph14"/>
              <w:spacing w:before="108"/>
              <w:ind w:left="85"/>
              <w:jc w:val="both"/>
            </w:pPr>
            <w:r>
              <w:t>A szanálás alá vonható csoport más szervezeteivel szembeni kötelezettségek</w:t>
            </w:r>
          </w:p>
          <w:p w14:paraId="7FE1B570" w14:textId="77777777" w:rsidR="00896468" w:rsidRDefault="00B31E50">
            <w:pPr>
              <w:pStyle w:val="P68B1DB1-TableParagraph17"/>
              <w:spacing w:before="108"/>
              <w:ind w:left="85"/>
              <w:jc w:val="both"/>
            </w:pPr>
            <w:r>
              <w:t>A 2014/59/EU irányelv 44. cikke (2) bekezdésének h) pontjában említett kötelezettségek összege.</w:t>
            </w:r>
          </w:p>
          <w:p w14:paraId="7FE1B571" w14:textId="0F705B0E" w:rsidR="00896468" w:rsidRDefault="00B31E50">
            <w:pPr>
              <w:pStyle w:val="P68B1DB1-TableParagraph17"/>
              <w:spacing w:before="108"/>
              <w:ind w:left="85"/>
              <w:jc w:val="both"/>
            </w:pPr>
            <w:r>
              <w:t>Amennyiben a kizárt kötelezettség származtatott kötelezettség, a nettó kötelezettségpozíciókat az 575/2013/EU rendelet 429c. cikkében meghatározott prudenciális nettósítási szabályok figyelembevételével kell feltüntetni a „ki</w:t>
            </w:r>
            <w:r w:rsidR="00E576D6">
              <w:t>ntlévő</w:t>
            </w:r>
            <w:r>
              <w:t xml:space="preserve"> összeg” oszlopokhoz tartozó </w:t>
            </w:r>
            <w:r w:rsidR="00E576D6">
              <w:t>sorokban</w:t>
            </w:r>
            <w:r w:rsidR="00E21BFB">
              <w:t xml:space="preserve"> (mint az r0334 sorban)</w:t>
            </w:r>
            <w:r>
              <w:t>. A »könyv szerinti érték« oszlopokban a származtatott ügyletekből származó mérleg szerinti kötelezettségeket kell feltüntetni (mint az r0330. sorban).</w:t>
            </w:r>
          </w:p>
          <w:p w14:paraId="7FE1B572" w14:textId="6461D1F8" w:rsidR="00896468" w:rsidRDefault="00B31E50">
            <w:pPr>
              <w:pStyle w:val="P68B1DB1-TableParagraph17"/>
              <w:spacing w:before="108"/>
              <w:ind w:left="85"/>
              <w:jc w:val="both"/>
            </w:pPr>
            <w:r>
              <w:t xml:space="preserve">Amennyiben az adatszolgáltató szervezet maga nem minősül szanálás alá vonható szervezetnek, csak a BRRD 44. cikke (2) bekezdésének h) pontja alá tartozó azon kötelezettségeket kell feltüntetnie, amelyek olyan leányvállalatai tulajdonában vannak, amelyek szintén nem </w:t>
            </w:r>
            <w:r w:rsidR="00E21BFB">
              <w:t xml:space="preserve">minősülnek szanálás alá vonható </w:t>
            </w:r>
            <w:r>
              <w:t>szervezet</w:t>
            </w:r>
            <w:r w:rsidR="00E21BFB">
              <w:t>n</w:t>
            </w:r>
            <w:r>
              <w:t>ek, de ugyanahhoz a szanálás alá vonható csoporthoz tartoznak, mint az adatszolgáltató szervezet.</w:t>
            </w:r>
          </w:p>
          <w:p w14:paraId="7FE1B573" w14:textId="62FE4EEE" w:rsidR="00896468" w:rsidRDefault="00B31E50">
            <w:pPr>
              <w:pStyle w:val="P68B1DB1-TableParagraph17"/>
              <w:spacing w:before="108"/>
              <w:ind w:left="85"/>
              <w:jc w:val="both"/>
            </w:pPr>
            <w:r>
              <w:t xml:space="preserve">Ebben a sorban az EU-n kívül letelepedett szervezetek csoporton belüli kötelezettségeit nem kell feltüntetni a </w:t>
            </w:r>
            <w:r w:rsidR="00E21BFB">
              <w:t>BRRD</w:t>
            </w:r>
            <w:r>
              <w:t xml:space="preserve"> 1. cikke (1) bekezdésének b), c) vagy d) pontja szerint, </w:t>
            </w:r>
            <w:r w:rsidR="007D678F">
              <w:t>és a BRRD</w:t>
            </w:r>
            <w:r>
              <w:t xml:space="preserve"> 44. cikke (2) bekezdésének h) pontjában említettek szerint. </w:t>
            </w:r>
          </w:p>
        </w:tc>
      </w:tr>
      <w:tr w:rsidR="00896468"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896468" w:rsidRDefault="00B31E50">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896468" w:rsidRDefault="00B31E50">
            <w:pPr>
              <w:pStyle w:val="P68B1DB1-TableParagraph14"/>
              <w:spacing w:before="108"/>
              <w:ind w:left="85"/>
              <w:jc w:val="both"/>
            </w:pPr>
            <w:r>
              <w:t>A hitelezői feltőkésítésből ki nem zárt kötelezettségek</w:t>
            </w:r>
          </w:p>
          <w:p w14:paraId="7FE1B577" w14:textId="5126EB75" w:rsidR="00896468" w:rsidRDefault="00B31E50">
            <w:pPr>
              <w:pStyle w:val="P68B1DB1-TableParagraph17"/>
              <w:spacing w:before="108"/>
              <w:ind w:left="85"/>
              <w:jc w:val="both"/>
              <w:rPr>
                <w:b/>
                <w:bCs/>
              </w:rPr>
            </w:pPr>
            <w:r>
              <w:t xml:space="preserve">A 2014/59/EU irányelv 2. cikk </w:t>
            </w:r>
            <w:r w:rsidR="007D678F">
              <w:t>(</w:t>
            </w:r>
            <w:r>
              <w:t>1</w:t>
            </w:r>
            <w:r w:rsidR="007D678F">
              <w:t>) bekezdés 71</w:t>
            </w:r>
            <w:r>
              <w:t>. pontjában meghatározott, hitelezői feltőkésítésbe bevonható kötelezettségek összege. A 0310., 0320., 0330., 0334., 0340., 0350., 0360., 0365., 0370., 0380., 0390. és 0400. sorok összege.</w:t>
            </w:r>
          </w:p>
        </w:tc>
      </w:tr>
      <w:tr w:rsidR="00896468"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896468" w:rsidRDefault="00B31E50">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896468" w:rsidRDefault="00B31E50">
            <w:pPr>
              <w:pStyle w:val="P68B1DB1-TableParagraph14"/>
              <w:spacing w:before="108"/>
              <w:ind w:left="85"/>
              <w:jc w:val="both"/>
            </w:pPr>
            <w:r>
              <w:t>Nem biztosított, de elsőbbségi betétek</w:t>
            </w:r>
          </w:p>
          <w:p w14:paraId="7FE1B57B" w14:textId="77777777" w:rsidR="00896468" w:rsidRDefault="00B31E50">
            <w:pPr>
              <w:pStyle w:val="P68B1DB1-TableParagraph17"/>
              <w:spacing w:before="108"/>
              <w:ind w:left="85"/>
              <w:jc w:val="both"/>
            </w:pPr>
            <w:r>
              <w:t>A 2014/59/EU irányelv 108. cikke.</w:t>
            </w:r>
          </w:p>
          <w:p w14:paraId="7FE1B57C" w14:textId="4336658A" w:rsidR="00896468" w:rsidRDefault="00B31E50">
            <w:pPr>
              <w:pStyle w:val="P68B1DB1-TableParagraph17"/>
              <w:spacing w:before="108"/>
              <w:ind w:left="85"/>
              <w:jc w:val="both"/>
              <w:rPr>
                <w:b/>
                <w:bCs/>
              </w:rPr>
            </w:pPr>
            <w:r>
              <w:t xml:space="preserve">A 2014/49/EU irányelv 2. cikke (1) bekezdésének 3. pontjában meghatározott olyan betétek, amelyek nem </w:t>
            </w:r>
            <w:r w:rsidR="00014C02">
              <w:t xml:space="preserve">minősülnek kizártnak </w:t>
            </w:r>
            <w:r>
              <w:t xml:space="preserve">a hitelezői feltőkésítésből (a 2014/59/EU irányelv 44. cikke (2) bekezdésének a) pontja), ám amelyek esetében a 2014/59/EU irányelv 108. cikkével összhangban </w:t>
            </w:r>
            <w:r w:rsidR="00D67012">
              <w:t xml:space="preserve">preferált </w:t>
            </w:r>
            <w:r>
              <w:t xml:space="preserve">elbánást irányoztak elő. </w:t>
            </w:r>
          </w:p>
        </w:tc>
      </w:tr>
      <w:tr w:rsidR="00896468"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896468" w:rsidRDefault="00B31E50">
            <w:pPr>
              <w:pStyle w:val="P68B1DB1-TableParagraph13"/>
              <w:spacing w:before="106"/>
              <w:ind w:left="-1"/>
            </w:pPr>
            <w:r>
              <w:lastRenderedPageBreak/>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896468" w:rsidRDefault="00B31E50">
            <w:pPr>
              <w:pStyle w:val="P68B1DB1-TableParagraph14"/>
              <w:spacing w:before="108"/>
              <w:ind w:left="85"/>
              <w:jc w:val="both"/>
            </w:pPr>
            <w:r>
              <w:t>Nem biztosított és nem elsőbbségi betétek</w:t>
            </w:r>
          </w:p>
          <w:p w14:paraId="7FE1B580" w14:textId="2003881D" w:rsidR="00896468" w:rsidRDefault="00B31E50">
            <w:pPr>
              <w:pStyle w:val="P68B1DB1-TableParagraph17"/>
              <w:spacing w:before="108"/>
              <w:ind w:left="85"/>
              <w:jc w:val="both"/>
              <w:rPr>
                <w:b/>
                <w:bCs/>
              </w:rPr>
            </w:pPr>
            <w:r>
              <w:t xml:space="preserve">A 2014/49/EU irányelv 2. cikke (1) bekezdésének 3. pontjában meghatározott olyan betétek, amelyek nem </w:t>
            </w:r>
            <w:r w:rsidR="00057BC4">
              <w:t>minősülnek kizártnak</w:t>
            </w:r>
            <w:r>
              <w:t xml:space="preserve"> a hitelezői feltőkésítésből</w:t>
            </w:r>
            <w:r w:rsidR="00057BC4">
              <w:t>,</w:t>
            </w:r>
            <w:r>
              <w:t xml:space="preserve"> </w:t>
            </w:r>
            <w:r w:rsidR="00057BC4">
              <w:t>továbbá</w:t>
            </w:r>
            <w:r>
              <w:t xml:space="preserve"> </w:t>
            </w:r>
            <w:r w:rsidR="00057BC4">
              <w:t xml:space="preserve">nem jogosultak </w:t>
            </w:r>
            <w:r w:rsidR="00D67012">
              <w:t xml:space="preserve">preferált </w:t>
            </w:r>
            <w:r>
              <w:t>elbánásra (a 2014/59/EU irányelv 44. cikke (2) bekezdésének a) pontja vagy 108. cikke alapján).</w:t>
            </w:r>
          </w:p>
        </w:tc>
      </w:tr>
      <w:tr w:rsidR="00896468"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896468" w:rsidRDefault="00B31E50">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896468" w:rsidRDefault="00B31E50">
            <w:pPr>
              <w:pStyle w:val="P68B1DB1-TableParagraph14"/>
              <w:spacing w:before="108"/>
              <w:ind w:left="85"/>
              <w:jc w:val="both"/>
            </w:pPr>
            <w:r>
              <w:t>Származtatott ügyletekből eredő, mérleg szerinti kötelezettségek</w:t>
            </w:r>
          </w:p>
          <w:p w14:paraId="625CF843" w14:textId="77777777" w:rsidR="00896468" w:rsidRDefault="00B31E50">
            <w:pPr>
              <w:pStyle w:val="P68B1DB1-TableParagraph17"/>
              <w:spacing w:before="108"/>
              <w:ind w:left="85"/>
              <w:jc w:val="both"/>
            </w:pPr>
            <w:r>
              <w:t xml:space="preserve">Származtatott ügyletekből eredő kötelezettségek könyv szerinti értéke. </w:t>
            </w:r>
          </w:p>
          <w:p w14:paraId="7FE1B584" w14:textId="4289968E" w:rsidR="00896468" w:rsidRDefault="00B31E50">
            <w:pPr>
              <w:pStyle w:val="P68B1DB1-TableParagraph17"/>
              <w:spacing w:before="108"/>
              <w:ind w:left="85"/>
              <w:jc w:val="both"/>
              <w:rPr>
                <w:b/>
                <w:bCs/>
              </w:rPr>
            </w:pPr>
            <w:r>
              <w:t>Csak a „</w:t>
            </w:r>
            <w:r w:rsidR="00D67012">
              <w:t>könyv szerinti érték</w:t>
            </w:r>
            <w:r>
              <w:t>” mezőben kell megadni az értékeket.</w:t>
            </w:r>
          </w:p>
        </w:tc>
      </w:tr>
      <w:tr w:rsidR="00896468"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896468" w:rsidRDefault="00B31E50">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896468" w:rsidRDefault="00B31E50">
            <w:pPr>
              <w:pStyle w:val="P68B1DB1-TableParagraph14"/>
              <w:spacing w:before="108"/>
              <w:ind w:left="85"/>
              <w:jc w:val="both"/>
            </w:pPr>
            <w:r>
              <w:t>Nettó kötelezettségpozíciók összege a szerződéses nettósítási halmazok figyelembevételével, piaci árazás szerinti kiigazítások után, a biztosítékok beszámítása előtt</w:t>
            </w:r>
          </w:p>
          <w:p w14:paraId="43E2EAD9" w14:textId="77777777" w:rsidR="00896468" w:rsidRDefault="00B31E50">
            <w:pPr>
              <w:pStyle w:val="P68B1DB1-TableParagraph17"/>
              <w:spacing w:before="108"/>
              <w:ind w:left="85"/>
              <w:jc w:val="both"/>
            </w:pPr>
            <w:r>
              <w:t xml:space="preserve">Alapértelmezés szerint a származtatott kötelezettségek nettó piaci értékének összege szerződéses nettósítási halmazonként. A nettósítási halmazt csak akkor kell jelenteni, ha a nettósítási halmaz nettó piaci értéke kötelezettség. E tekintetben a nettósítási megállapodások hatálya alá nem tartozó származtatott ügyleteket egyetlen szerződésként kell kezelni, azaz úgy, mintha a nettósítási halmaz csak egy származtatott ügyletből állna. </w:t>
            </w:r>
          </w:p>
          <w:p w14:paraId="7FE1B588" w14:textId="07C2ADA5" w:rsidR="00896468" w:rsidRDefault="00B31E50">
            <w:pPr>
              <w:pStyle w:val="P68B1DB1-TableParagraph17"/>
              <w:spacing w:before="108"/>
              <w:ind w:left="85"/>
              <w:jc w:val="both"/>
              <w:rPr>
                <w:b/>
                <w:bCs/>
              </w:rPr>
            </w:pPr>
            <w:r>
              <w:t>Csak a „Kintlévő összeg” mezőben kell megadni az értékeket.</w:t>
            </w:r>
          </w:p>
        </w:tc>
      </w:tr>
      <w:tr w:rsidR="00896468"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896468" w:rsidRDefault="00B31E50">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896468" w:rsidRDefault="00B31E50">
            <w:pPr>
              <w:pStyle w:val="P68B1DB1-TableParagraph14"/>
              <w:spacing w:before="108"/>
              <w:ind w:left="85"/>
              <w:jc w:val="both"/>
            </w:pPr>
            <w:r>
              <w:t>Nettó kötelezettségpozíciók összege a szerződéses nettósítási halmazok figyelembevételével, piaci árazás szerinti kiigazítások után, a biztosítékok beszámítása után</w:t>
            </w:r>
          </w:p>
          <w:p w14:paraId="5A26CA7C" w14:textId="1D9E4DD4" w:rsidR="00896468" w:rsidRDefault="00B31E50">
            <w:pPr>
              <w:pStyle w:val="P68B1DB1-TableParagraph17"/>
              <w:spacing w:before="108"/>
              <w:ind w:left="85"/>
              <w:jc w:val="both"/>
            </w:pPr>
            <w:r>
              <w:t xml:space="preserve">A 0331. sorban szereplő értékelést ki kell igazítani az e kitettség biztosítékául szolgáló biztosíték piaci értéken történő beszámításával – e levonás eredménye az itt feltüntetendő nettó piaci összérték. Ebben a sorban csak azokat a szerződéses nettósítási halmazokat kell feltüntetni, amelyek esetében a piaci árazás szerinti korrekciót és a biztosítékok beszámítását követő kötelezettségpozíció pozitív összegnek minősül (azaz csak akkor, ha a piaci árazás szerinti nettó érték (Z15.00 tábla c0120 értéke) magasabb, mint a kihelyezett nettó biztosítékok értéke (Z15.00 c0130). </w:t>
            </w:r>
          </w:p>
          <w:p w14:paraId="7FE1B58C" w14:textId="453C45AE" w:rsidR="00896468" w:rsidRDefault="00B31E50">
            <w:pPr>
              <w:pStyle w:val="P68B1DB1-TableParagraph17"/>
              <w:spacing w:before="108"/>
              <w:ind w:left="85"/>
              <w:jc w:val="both"/>
            </w:pPr>
            <w:r>
              <w:t>Csak a „Kintlévő összeg” mezőben kell megadni az értékeket.</w:t>
            </w:r>
          </w:p>
        </w:tc>
      </w:tr>
      <w:tr w:rsidR="00896468"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896468" w:rsidRDefault="00B31E50">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33618D25" w:rsidR="00896468" w:rsidRDefault="00B31E50">
            <w:pPr>
              <w:pStyle w:val="P68B1DB1-TableParagraph14"/>
              <w:spacing w:before="108"/>
              <w:ind w:left="85"/>
              <w:jc w:val="both"/>
            </w:pPr>
            <w:r>
              <w:t xml:space="preserve">Nettó kötelezettségpozíciók összege a szerződéses nettósítási halmazok figyelembevételével, </w:t>
            </w:r>
            <w:r w:rsidR="00D67012" w:rsidRPr="00D67012">
              <w:t>piaci árazás szerinti kiigazítások után,</w:t>
            </w:r>
            <w:r>
              <w:t>, a biztosítékok beszámítása után, a becsült lezárási összegek bevonásával</w:t>
            </w:r>
          </w:p>
          <w:p w14:paraId="7FE1B590" w14:textId="77777777"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származtatott ügyletekből eredő kötelezettségek értékeléséről</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szóló, 2016/1401 felhatalmazáson alapuló bizottsági rendelettel összhangban az ügyletek lényegi feltételeinek megfelelő gazdasági értéknek, valamint a lezárt ügyletek tekintetében a felek opciós jogainak a pótlása vagy megszerzése során a származtatott ügylet partnereinél felmerült veszteséget vagy költségeket, vagy az általuk elért nyereséget fedező, további lezárási összeg.</w:t>
            </w:r>
          </w:p>
          <w:p w14:paraId="00480641" w14:textId="2B7C2F6F"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lezárási összeg fent említett rendelettel összhangban történő meghatározásához szükséges becslések egyedi alapon meglehetősen nehéznek bizonyulhatnak. Ezért a rendelkezésre álló adatokon – például a piaci kockázatra vonatkozó prudenciális követelményeken – alapuló közelítő értékek alkalmazhatók. Ha a származtatott kötelezettségek lezárási összegének kiszámítása lehetetlennek bizonyul, a megadott összegnek meg kell egyeznie a 0332. sorban feltüntetett összeggel.</w:t>
            </w:r>
            <w:r>
              <w:t xml:space="preserve"> </w:t>
            </w:r>
            <w:r>
              <w:rPr>
                <w:rFonts w:ascii="Times New Roman" w:eastAsia="Cambria" w:hAnsi="Times New Roman" w:cs="Times New Roman"/>
                <w:color w:val="000000" w:themeColor="text1"/>
                <w:sz w:val="20"/>
                <w:szCs w:val="20"/>
              </w:rPr>
              <w:t>Ebben a sorban csak azokat a szerződéses nettósítási halmazokat kell feltüntetni, amelyek esetében a piaci árazás szerinti korrekciót követő kötelezettségpozíció, a biztosítékok beszámítása utáni és a becsült pozíciózárási összegeket magában foglaló kötelezettségi pozíció pozitív összegnek minősül (azaz csak akkor, ha a becsült lejáratkori összeg (a Z15.00 c0150 értéke) pozitív).</w:t>
            </w:r>
          </w:p>
          <w:p w14:paraId="7FE1B591" w14:textId="3F2EA3D4" w:rsidR="00896468" w:rsidRDefault="00B31E50">
            <w:pPr>
              <w:pStyle w:val="P68B1DB1-TableParagraph17"/>
              <w:spacing w:before="108"/>
              <w:ind w:left="85"/>
              <w:jc w:val="both"/>
            </w:pPr>
            <w:r>
              <w:t>Csak a „Kintlévő összeg” mezőben kell megadni az értékeket.</w:t>
            </w:r>
          </w:p>
        </w:tc>
      </w:tr>
      <w:tr w:rsidR="00896468"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896468" w:rsidRDefault="00B31E50">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896468" w:rsidRDefault="00B31E50">
            <w:pPr>
              <w:pStyle w:val="P68B1DB1-TableParagraph14"/>
              <w:spacing w:before="108"/>
              <w:ind w:left="85"/>
              <w:jc w:val="both"/>
              <w:rPr>
                <w:bCs/>
              </w:rPr>
            </w:pPr>
            <w:r>
              <w:t>Nettó kötelezettségpozíciók összege a prudenciális nettósítási szabályok figyelembevételével</w:t>
            </w:r>
          </w:p>
          <w:p w14:paraId="225BC2D2" w14:textId="407089D3" w:rsidR="00896468" w:rsidRDefault="00B31E50">
            <w:pPr>
              <w:pStyle w:val="P68B1DB1-TableParagraph17"/>
              <w:spacing w:before="108"/>
              <w:ind w:left="85"/>
              <w:jc w:val="both"/>
            </w:pPr>
            <w:r>
              <w:t>A származtatott ügyletek nettó kötelezettségpozíciói, figyelembe véve a 575/2013/EU rendelet 429. cikk (a tőkeáttételi mutató számításához használt teljes kitettség</w:t>
            </w:r>
            <w:r w:rsidR="00C35233">
              <w:t>i m</w:t>
            </w:r>
            <w:r>
              <w:t>érték kiszámításához kapcsolódó) prudenciális nettósítási szabályait.</w:t>
            </w:r>
          </w:p>
          <w:p w14:paraId="7FE1B595" w14:textId="1E8C2F86" w:rsidR="00896468" w:rsidRDefault="00B31E50">
            <w:pPr>
              <w:pStyle w:val="P68B1DB1-TableParagraph17"/>
              <w:spacing w:before="108"/>
              <w:ind w:left="85"/>
              <w:jc w:val="both"/>
              <w:rPr>
                <w:b/>
                <w:bCs/>
              </w:rPr>
            </w:pPr>
            <w:r>
              <w:t>Csak a „Kintlévő összeg” mezőben kell megadni az értékeket.</w:t>
            </w:r>
          </w:p>
        </w:tc>
      </w:tr>
      <w:tr w:rsidR="00896468"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896468" w:rsidRDefault="00B31E50">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896468" w:rsidRDefault="00B31E50">
            <w:pPr>
              <w:pStyle w:val="P68B1DB1-TableParagraph14"/>
              <w:spacing w:before="108"/>
              <w:ind w:left="85"/>
              <w:jc w:val="both"/>
              <w:rPr>
                <w:bCs/>
              </w:rPr>
            </w:pPr>
            <w:r>
              <w:t>Biztosítékkal fedezett kötelezettségek – nem fedezett rész</w:t>
            </w:r>
          </w:p>
          <w:p w14:paraId="7FE1B599" w14:textId="77777777" w:rsidR="00896468" w:rsidRDefault="00B31E50">
            <w:pPr>
              <w:pStyle w:val="P68B1DB1-TableParagraph13"/>
              <w:spacing w:before="108"/>
              <w:ind w:left="85"/>
              <w:jc w:val="both"/>
              <w:rPr>
                <w:b/>
                <w:bCs/>
              </w:rPr>
            </w:pPr>
            <w:r>
              <w:t>A biztosítékkal fedezett kötelezettség azon összege, amely meghaladja a biztosítékul szolgáló vagyon, kézizálog, visszatartási jog vagy fedezet értékét. Ez magában foglalja a fedezett kötelezettségek „alulfedezett” részét, például a fedezett kötvények vagy repóügyletek alulfedezett részét.</w:t>
            </w:r>
          </w:p>
        </w:tc>
      </w:tr>
      <w:tr w:rsidR="00896468"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896468" w:rsidRDefault="00B31E50">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896468" w:rsidRDefault="00B31E50">
            <w:pPr>
              <w:pStyle w:val="P68B1DB1-TableParagraph14"/>
              <w:spacing w:before="108"/>
              <w:ind w:left="85"/>
              <w:jc w:val="both"/>
              <w:rPr>
                <w:bCs/>
              </w:rPr>
            </w:pPr>
            <w:r>
              <w:t>Strukturált értékpapírok</w:t>
            </w:r>
          </w:p>
          <w:p w14:paraId="7FE1B59D" w14:textId="38644523" w:rsidR="00896468" w:rsidRDefault="00B31E50">
            <w:pPr>
              <w:pStyle w:val="P68B1DB1-TableParagraph17"/>
              <w:spacing w:before="108"/>
              <w:ind w:left="85"/>
              <w:jc w:val="both"/>
              <w:rPr>
                <w:b/>
                <w:bCs/>
              </w:rPr>
            </w:pPr>
            <w:r>
              <w:t>A strukturált értékpapír e célból olyan adósságinstrumentum, amely beágyazott származtatott összetevőt tartalmaz, alapul szolgáló értékpapírhoz vagy indexhez (nyilvános vagy testre szabott, részvény-, kötvény-, fix kamatozású vagy hitel-, deviza-, árupiaci stb.) kapcsolódó hozamokkal. A strukturált értékpapírok nem tartalmazzák azokat a hitelviszonyt megtestesítő értékpapírokat, amelyek csak vételi vagy eladási opciókat tartalmaznak, azaz az instrumentum értéke nem függ beágyazott származékos komponenstől.</w:t>
            </w:r>
          </w:p>
        </w:tc>
      </w:tr>
      <w:tr w:rsidR="00896468"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896468" w:rsidRDefault="00B31E50">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896468" w:rsidRDefault="00B31E50">
            <w:pPr>
              <w:pStyle w:val="P68B1DB1-TableParagraph14"/>
              <w:spacing w:before="108"/>
              <w:ind w:left="85"/>
              <w:jc w:val="both"/>
              <w:rPr>
                <w:bCs/>
              </w:rPr>
            </w:pPr>
            <w:r>
              <w:t>Előresorolt, biztosítékkal nem fedezett kötelezettségek</w:t>
            </w:r>
          </w:p>
          <w:p w14:paraId="7FE1B5A1" w14:textId="64FF0BA6" w:rsidR="00896468" w:rsidRDefault="00B31E50">
            <w:pPr>
              <w:pStyle w:val="P68B1DB1-TableParagraph17"/>
              <w:spacing w:before="108"/>
              <w:ind w:left="85"/>
              <w:jc w:val="both"/>
              <w:rPr>
                <w:b/>
                <w:bCs/>
              </w:rPr>
            </w:pPr>
            <w:r>
              <w:t>Idetartozik minden olyan előresorolt,</w:t>
            </w:r>
            <w:r w:rsidR="00C35233">
              <w:t xml:space="preserve"> </w:t>
            </w:r>
            <w:r>
              <w:t>biztosít</w:t>
            </w:r>
            <w:r w:rsidR="00C35233">
              <w:t>ékkal nem fedezett</w:t>
            </w:r>
            <w:r>
              <w:t xml:space="preserve"> instrumentum, amely nem szerepel a fentebb felsorolt kategóriákban.</w:t>
            </w:r>
          </w:p>
        </w:tc>
      </w:tr>
      <w:tr w:rsidR="00896468"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896468" w:rsidRDefault="00B31E50">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896468" w:rsidRDefault="00B31E50">
            <w:pPr>
              <w:pStyle w:val="P68B1DB1-TableParagraph14"/>
              <w:spacing w:before="108"/>
              <w:ind w:left="85"/>
              <w:jc w:val="both"/>
            </w:pPr>
            <w:r>
              <w:t>Előresorolt, nem elsőbbségi kötelezettségek</w:t>
            </w:r>
          </w:p>
          <w:p w14:paraId="7FE1B5A5" w14:textId="77777777" w:rsidR="00896468" w:rsidRDefault="00B31E50">
            <w:pPr>
              <w:pStyle w:val="P68B1DB1-TableParagraph13"/>
              <w:spacing w:before="108"/>
              <w:ind w:left="85"/>
              <w:jc w:val="both"/>
            </w:pPr>
            <w:r>
              <w:t>Az alábbi kötelezettségek bármelyike:</w:t>
            </w:r>
          </w:p>
          <w:p w14:paraId="7FE1B5A6" w14:textId="51806099" w:rsidR="00896468" w:rsidRDefault="00B31E50">
            <w:pPr>
              <w:pStyle w:val="P68B1DB1-TableParagraph13"/>
              <w:numPr>
                <w:ilvl w:val="0"/>
                <w:numId w:val="69"/>
              </w:numPr>
              <w:spacing w:before="108"/>
              <w:jc w:val="both"/>
            </w:pPr>
            <w:r>
              <w:t xml:space="preserve">A 2014/59/EU irányelv 108. cikke (2) bekezdésének a), b) és c) pontjában, valamint (3) bekezdésében meghatározott feltételeknek megfelelő, hitelviszonyt megtestesítő instrumentumokból eredő fedezetlen követelések; </w:t>
            </w:r>
          </w:p>
          <w:p w14:paraId="7FE1B5A7" w14:textId="77777777" w:rsidR="00896468" w:rsidRDefault="00B31E50">
            <w:pPr>
              <w:pStyle w:val="P68B1DB1-TableParagraph13"/>
              <w:numPr>
                <w:ilvl w:val="0"/>
                <w:numId w:val="69"/>
              </w:numPr>
              <w:spacing w:before="108"/>
              <w:jc w:val="both"/>
            </w:pPr>
            <w:r>
              <w:t>A 2014/59/EU irányelv 108. cikke (5) bekezdése első albekezdésének b) pontjában említett hitelviszonyt megtestesítő értékpapírokból eredő fedezetlen követelések; vagy﻿</w:t>
            </w:r>
          </w:p>
          <w:p w14:paraId="7FE1B5A8" w14:textId="77777777" w:rsidR="00896468" w:rsidRDefault="00B31E50">
            <w:pPr>
              <w:pStyle w:val="P68B1DB1-TableParagraph13"/>
              <w:numPr>
                <w:ilvl w:val="0"/>
                <w:numId w:val="69"/>
              </w:numPr>
              <w:spacing w:before="108"/>
              <w:jc w:val="both"/>
            </w:pPr>
            <w:r>
              <w:t>A 2014/59/EU irányelv 108. cikkének (7) bekezdésében említett, hitelviszonyt megtestesítő értékpapírokból eredő nem elsőbbségi, nem biztosított követelések között a leghátrább sorolt hitelviszonyt megtestesítő azon értékpapírok, amelyekre vonatkozóan egy tagállam az említett bekezdéssel összhangban úgy rendelkezett, hogy a 2014/59/EU irányelv 108. cikke (2) bekezdésének a), b) és c) pontjában, valamint (3) bekezdésében foglalt feltételeknek megfelelő követelésekkel azonos rangsorolásúak.</w:t>
            </w:r>
          </w:p>
        </w:tc>
      </w:tr>
      <w:tr w:rsidR="00896468"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896468" w:rsidRDefault="00B31E50">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61C0E412" w:rsidR="00896468" w:rsidRDefault="00B31E50">
            <w:pPr>
              <w:pStyle w:val="P68B1DB1-TableParagraph14"/>
              <w:spacing w:before="108"/>
              <w:ind w:left="85"/>
              <w:jc w:val="both"/>
              <w:rPr>
                <w:bCs/>
              </w:rPr>
            </w:pPr>
            <w:r>
              <w:t>Alárendelt kötelezettségek (</w:t>
            </w:r>
            <w:r w:rsidR="00C35233">
              <w:t>s</w:t>
            </w:r>
            <w:r>
              <w:t>zavatoló</w:t>
            </w:r>
            <w:r w:rsidR="00082480">
              <w:t xml:space="preserve"> </w:t>
            </w:r>
            <w:r>
              <w:t>tők</w:t>
            </w:r>
            <w:r w:rsidR="00C35233">
              <w:t>ének nem minősülő</w:t>
            </w:r>
            <w:r>
              <w:t>)</w:t>
            </w:r>
          </w:p>
          <w:p w14:paraId="7FE1B5AC" w14:textId="77777777" w:rsidR="00896468" w:rsidRDefault="00B31E50">
            <w:pPr>
              <w:pStyle w:val="P68B1DB1-TableParagraph17"/>
              <w:spacing w:before="108"/>
              <w:ind w:left="85"/>
              <w:jc w:val="both"/>
            </w:pPr>
            <w:r>
              <w:t>Olyan kötelezettségek, amelyeket a nemzeti fizetésképtelenségi jog alapján csak azt követően fizetnek vissza, miután a rendes (nem előresorolt) hitelezők és az előresorolt, nem elsőbbségi hitelezők valamennyi osztályát teljes egészében kielégítették. Ez magában foglalja a szerződés vagy a jogszabály alapján alárendelt kötelezettségeket. A holdingtársaságok esetében ebben a kategóriában nem alárendelt hitelviszonyt megtestesítő értékpapírok is feltüntethetők (strukturális alárendelés).</w:t>
            </w:r>
          </w:p>
          <w:p w14:paraId="7FE1B5AD" w14:textId="24C53C53" w:rsidR="00896468" w:rsidRDefault="00B31E50">
            <w:pPr>
              <w:pStyle w:val="P68B1DB1-TableParagraph17"/>
              <w:spacing w:before="108"/>
              <w:ind w:left="85"/>
              <w:jc w:val="both"/>
            </w:pPr>
            <w:r>
              <w:t>Ebbe a kategóriába csak olyan alárendelt instrumentumok tartoznak, amelyek nem minősülnek szavatoló</w:t>
            </w:r>
            <w:r w:rsidR="00082480">
              <w:t xml:space="preserve"> </w:t>
            </w:r>
            <w:r>
              <w:t xml:space="preserve">tőkének. </w:t>
            </w:r>
          </w:p>
          <w:p w14:paraId="7FE1B5AE" w14:textId="72F3735E" w:rsidR="00896468" w:rsidRDefault="00B31E50">
            <w:pPr>
              <w:pStyle w:val="P68B1DB1-TableParagraph17"/>
              <w:spacing w:before="108"/>
              <w:ind w:left="85"/>
              <w:jc w:val="both"/>
              <w:rPr>
                <w:b/>
                <w:bCs/>
              </w:rPr>
            </w:pPr>
            <w:r>
              <w:t>Ez a sor emellett magában foglalja az alárendelt kötelezettségek azon részét is, amely elvben szavatoló</w:t>
            </w:r>
            <w:r w:rsidR="00082480">
              <w:t xml:space="preserve"> </w:t>
            </w:r>
            <w:r>
              <w:t>tőkének minősül, de nem tartozik a szavatoló</w:t>
            </w:r>
            <w:r w:rsidR="00082480">
              <w:t xml:space="preserve"> </w:t>
            </w:r>
            <w:r>
              <w:t xml:space="preserve">tőkébe az olyan kivezetési rendelkezések, mint például az 575/2013/EU rendelet 64. cikke (hátralévő futamidő) vagy az 575/2013/EU rendelet 10. része (szerzett jogok hatása) miatt. </w:t>
            </w:r>
          </w:p>
        </w:tc>
      </w:tr>
      <w:tr w:rsidR="00896468"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896468" w:rsidRDefault="00B31E50">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896468" w:rsidRDefault="00B31E50">
            <w:pPr>
              <w:pStyle w:val="P68B1DB1-TableParagraph14"/>
              <w:spacing w:before="108"/>
              <w:ind w:left="85"/>
              <w:jc w:val="both"/>
              <w:rPr>
                <w:bCs/>
              </w:rPr>
            </w:pPr>
            <w:r>
              <w:t>MREL teljesítéséhez figyelembe vehető egyéb kötelezettségek</w:t>
            </w:r>
          </w:p>
          <w:p w14:paraId="7FE1B5B2" w14:textId="192F92F4" w:rsidR="00896468" w:rsidRDefault="00B31E50">
            <w:pPr>
              <w:pStyle w:val="P68B1DB1-TableParagraph13"/>
              <w:spacing w:before="108"/>
              <w:ind w:left="85"/>
              <w:jc w:val="both"/>
              <w:rPr>
                <w:b/>
                <w:bCs/>
              </w:rPr>
            </w:pPr>
            <w:r>
              <w:t xml:space="preserve">Azon kötelezettségek összege, amelyek a 2014/59/EU irányelv </w:t>
            </w:r>
            <w:r w:rsidR="005F343C">
              <w:t xml:space="preserve">45. cikk szerinti követelmény az adatszolgáltató szervezet általi teljesítése céljából figyelembe vehetők ugyanezen irányelv </w:t>
            </w:r>
            <w:r>
              <w:t>45e. vagy 45f. cikkével összhangban</w:t>
            </w:r>
            <w:r w:rsidR="005F343C">
              <w:t>,</w:t>
            </w:r>
            <w:r>
              <w:t xml:space="preserve"> de nem szerepelnek a 0320. és a 0340–0370. sorban.</w:t>
            </w:r>
          </w:p>
        </w:tc>
      </w:tr>
      <w:tr w:rsidR="00896468"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896468" w:rsidRDefault="00B31E50">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896468" w:rsidRDefault="00B31E50">
            <w:pPr>
              <w:pStyle w:val="P68B1DB1-TableParagraph14"/>
              <w:spacing w:before="108"/>
              <w:ind w:left="85"/>
              <w:jc w:val="both"/>
              <w:rPr>
                <w:bCs/>
              </w:rPr>
            </w:pPr>
            <w:r>
              <w:t>Nem pénzügyi kötelezettségek</w:t>
            </w:r>
          </w:p>
          <w:p w14:paraId="7FE1B5B6" w14:textId="512563D8" w:rsidR="00896468" w:rsidRDefault="00B31E50">
            <w:pPr>
              <w:pStyle w:val="P68B1DB1-TableParagraph17"/>
              <w:spacing w:before="108"/>
              <w:ind w:left="85"/>
              <w:jc w:val="both"/>
              <w:rPr>
                <w:b/>
                <w:bCs/>
              </w:rPr>
            </w:pPr>
            <w:r>
              <w:t xml:space="preserve">Azon kötelezettségek összege, amelyek az alkalmazandó számviteli szabályozás értelmében nem minősülnek pénzügyi kötelezettségnek, például a </w:t>
            </w:r>
            <w:r w:rsidR="005F343C">
              <w:t>szervezetre</w:t>
            </w:r>
            <w:r>
              <w:t xml:space="preserve"> vonatkozó jogvitákkal kapcsolatos céltartalékok. </w:t>
            </w:r>
          </w:p>
        </w:tc>
      </w:tr>
      <w:tr w:rsidR="00896468"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896468" w:rsidRDefault="00B31E50">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896468" w:rsidRDefault="00B31E50">
            <w:pPr>
              <w:pStyle w:val="P68B1DB1-TableParagraph14"/>
              <w:spacing w:before="108"/>
              <w:ind w:left="85"/>
              <w:jc w:val="both"/>
              <w:rPr>
                <w:bCs/>
              </w:rPr>
            </w:pPr>
            <w:r>
              <w:t>Egyéb kötelezettségek</w:t>
            </w:r>
          </w:p>
          <w:p w14:paraId="7FE1B5BA" w14:textId="66DA2802" w:rsidR="00896468" w:rsidRDefault="00B31E50">
            <w:pPr>
              <w:pStyle w:val="P68B1DB1-TableParagraph17"/>
              <w:spacing w:before="108"/>
              <w:ind w:left="85"/>
              <w:jc w:val="both"/>
              <w:rPr>
                <w:b/>
                <w:bCs/>
              </w:rPr>
            </w:pPr>
            <w:r>
              <w:t xml:space="preserve">A 0100–0390. sorban nem feltüntetett kötelezettségek összege. </w:t>
            </w:r>
          </w:p>
        </w:tc>
      </w:tr>
      <w:tr w:rsidR="00896468"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896468" w:rsidRDefault="00B31E50">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009DCF32" w:rsidR="00896468" w:rsidRDefault="00B31E50">
            <w:pPr>
              <w:pStyle w:val="P68B1DB1-TableParagraph14"/>
              <w:spacing w:before="108"/>
              <w:ind w:left="85"/>
              <w:jc w:val="both"/>
            </w:pPr>
            <w:r>
              <w:t>Szavatoló</w:t>
            </w:r>
            <w:r w:rsidR="00082480">
              <w:t xml:space="preserve"> </w:t>
            </w:r>
            <w:r>
              <w:t>tőke</w:t>
            </w:r>
          </w:p>
          <w:p w14:paraId="7FE1B5BE" w14:textId="77777777" w:rsidR="00896468" w:rsidRDefault="00B31E50">
            <w:pPr>
              <w:pStyle w:val="P68B1DB1-TableParagraph17"/>
              <w:spacing w:before="108"/>
              <w:ind w:left="85"/>
              <w:jc w:val="both"/>
            </w:pPr>
            <w:r>
              <w:t>Az 575/2013/EU rendelet 4. cikke (1) bekezdésének 118. pontja és 72. cikke.</w:t>
            </w:r>
          </w:p>
          <w:p w14:paraId="7FE1B5BF" w14:textId="22744111" w:rsidR="00896468" w:rsidRDefault="00B31E50">
            <w:pPr>
              <w:pStyle w:val="P68B1DB1-TableParagraph17"/>
              <w:spacing w:before="108"/>
              <w:ind w:left="85"/>
              <w:jc w:val="both"/>
            </w:pPr>
            <w:r>
              <w:t>Lásd:</w:t>
            </w:r>
            <w:r w:rsidR="00792B8A">
              <w:t xml:space="preserve"> </w:t>
            </w:r>
            <w:r>
              <w:t xml:space="preserve">COREP (OF): C 01.00;010;010 </w:t>
            </w:r>
          </w:p>
        </w:tc>
      </w:tr>
      <w:tr w:rsidR="00896468"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896468" w:rsidRDefault="00B31E50">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896468" w:rsidRDefault="00B31E50">
            <w:pPr>
              <w:pStyle w:val="P68B1DB1-TableParagraph14"/>
              <w:spacing w:before="108"/>
              <w:ind w:left="85"/>
              <w:jc w:val="both"/>
              <w:rPr>
                <w:bCs/>
              </w:rPr>
            </w:pPr>
            <w:r>
              <w:t>Elsődleges alapvető tőke (CET1)</w:t>
            </w:r>
          </w:p>
          <w:p w14:paraId="7FE1B5C3" w14:textId="77777777" w:rsidR="00896468" w:rsidRDefault="00B31E50">
            <w:pPr>
              <w:pStyle w:val="P68B1DB1-TableParagraph17"/>
              <w:spacing w:before="108"/>
              <w:ind w:left="85"/>
              <w:jc w:val="both"/>
            </w:pPr>
            <w:r>
              <w:t>Az 575/2013/EU rendelet 50. cikke.</w:t>
            </w:r>
          </w:p>
          <w:p w14:paraId="7FE1B5C4" w14:textId="60F0FCB8" w:rsidR="00896468" w:rsidRDefault="00B31E50">
            <w:pPr>
              <w:pStyle w:val="P68B1DB1-TableParagraph17"/>
              <w:spacing w:before="108"/>
              <w:ind w:left="85"/>
              <w:jc w:val="both"/>
              <w:rPr>
                <w:b/>
                <w:bCs/>
              </w:rPr>
            </w:pPr>
            <w:r>
              <w:t>Lásd:</w:t>
            </w:r>
            <w:r w:rsidR="00792B8A">
              <w:t xml:space="preserve"> </w:t>
            </w:r>
            <w:r>
              <w:t>COREP (OF): C 01.00;020;010</w:t>
            </w:r>
          </w:p>
        </w:tc>
      </w:tr>
      <w:tr w:rsidR="00896468"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896468" w:rsidRDefault="00B31E50">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896468" w:rsidRDefault="00B31E50">
            <w:pPr>
              <w:pStyle w:val="P68B1DB1-TableParagraph14"/>
              <w:spacing w:before="108"/>
              <w:ind w:left="85"/>
              <w:jc w:val="both"/>
              <w:rPr>
                <w:bCs/>
              </w:rPr>
            </w:pPr>
            <w:r>
              <w:t>Ebből: tőkeinstrumentumok/részvénytőke</w:t>
            </w:r>
          </w:p>
          <w:p w14:paraId="7FE1B5C8" w14:textId="77777777" w:rsidR="00896468" w:rsidRDefault="00B31E50">
            <w:pPr>
              <w:pStyle w:val="P68B1DB1-TableParagraph17"/>
              <w:spacing w:before="108"/>
              <w:ind w:left="85"/>
              <w:jc w:val="both"/>
            </w:pPr>
            <w:r>
              <w:t>Tőkeinstrumentumok/részvénytőke formájában a CET1 tőkét (annak egy részét) képező jogi eszközök.</w:t>
            </w:r>
          </w:p>
          <w:p w14:paraId="7FE1B5C9" w14:textId="072B2034" w:rsidR="00896468" w:rsidRDefault="00B31E50">
            <w:pPr>
              <w:pStyle w:val="P68B1DB1-TableParagraph13"/>
              <w:spacing w:before="108"/>
              <w:ind w:left="85"/>
              <w:jc w:val="both"/>
            </w:pPr>
            <w:r>
              <w:t xml:space="preserve">A könyv szerinti érték (FINREP F01.03–020–010 + F01.03–040–0010) alatt az instrumentumok névértékét kell érteni, míg a </w:t>
            </w:r>
            <w:r w:rsidR="005F343C">
              <w:t xml:space="preserve">kintlévő </w:t>
            </w:r>
            <w:r>
              <w:t xml:space="preserve">összeg a részvényeknek a teljes könyv szerinti saját tőkére, azaz a </w:t>
            </w:r>
            <w:r w:rsidR="00297EA5">
              <w:t>szervezet</w:t>
            </w:r>
            <w:r>
              <w:t>/csoport tartalékaira vonatkozó maradványkövetelését jelenti.</w:t>
            </w:r>
          </w:p>
        </w:tc>
      </w:tr>
      <w:tr w:rsidR="00896468"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896468" w:rsidRDefault="00B31E50">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896468" w:rsidRDefault="00B31E50">
            <w:pPr>
              <w:pStyle w:val="P68B1DB1-TableParagraph14"/>
              <w:spacing w:before="108"/>
              <w:ind w:left="85"/>
              <w:jc w:val="both"/>
              <w:rPr>
                <w:bCs/>
              </w:rPr>
            </w:pPr>
            <w:r>
              <w:t>Ebből: a törzsrészvényekkel egyenrangú instrumentumok</w:t>
            </w:r>
          </w:p>
          <w:p w14:paraId="7FE1B5CD" w14:textId="0D41ACA0" w:rsidR="00896468" w:rsidRDefault="00B31E50">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Olyan jogi eszközök, amelyek nem tőkeinstrumentumok/részvénytőke formájában képezik a CET1 tőkét (annak egy részét), de egyenrangúak ezzel a kategóriával.</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Ebben a sorban nem kell feltüntetni az eredménytartalékokat és a tartalékokat.</w:t>
            </w:r>
            <w:bookmarkEnd w:id="57"/>
          </w:p>
        </w:tc>
      </w:tr>
      <w:tr w:rsidR="00896468"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896468" w:rsidRDefault="00B31E50">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896468" w:rsidRDefault="00B31E50">
            <w:pPr>
              <w:pStyle w:val="P68B1DB1-TableParagraph14"/>
              <w:spacing w:before="108"/>
              <w:ind w:left="85"/>
              <w:jc w:val="both"/>
              <w:rPr>
                <w:bCs/>
              </w:rPr>
            </w:pPr>
            <w:r>
              <w:t>Kiegészítő alapvető tőke</w:t>
            </w:r>
          </w:p>
          <w:p w14:paraId="7FE1B5D1" w14:textId="77777777" w:rsidR="00896468" w:rsidRDefault="00B31E50">
            <w:pPr>
              <w:pStyle w:val="P68B1DB1-TableParagraph17"/>
              <w:spacing w:before="108"/>
              <w:ind w:left="85"/>
              <w:jc w:val="both"/>
            </w:pPr>
            <w:r>
              <w:t>Az 575/2013/EU rendelet 61. cikke.</w:t>
            </w:r>
          </w:p>
          <w:p w14:paraId="7FE1B5D2" w14:textId="1C7F19A6" w:rsidR="00896468" w:rsidRDefault="00B31E50">
            <w:pPr>
              <w:pStyle w:val="P68B1DB1-TableParagraph17"/>
              <w:spacing w:before="108"/>
              <w:ind w:left="85"/>
              <w:jc w:val="both"/>
              <w:rPr>
                <w:b/>
                <w:bCs/>
              </w:rPr>
            </w:pPr>
            <w:r>
              <w:t>Lásd:</w:t>
            </w:r>
            <w:r w:rsidR="00CF2A6C">
              <w:t xml:space="preserve"> </w:t>
            </w:r>
            <w:r>
              <w:t>COREP (OF): C 01.00;530;010</w:t>
            </w:r>
          </w:p>
        </w:tc>
      </w:tr>
      <w:tr w:rsidR="00896468"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896468" w:rsidRDefault="00B31E50">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5307B5F8" w:rsidR="00896468" w:rsidRDefault="00B31E50">
            <w:pPr>
              <w:pStyle w:val="P68B1DB1-TableParagraph14"/>
              <w:spacing w:before="108"/>
              <w:ind w:left="85"/>
              <w:jc w:val="both"/>
              <w:rPr>
                <w:bCs/>
              </w:rPr>
            </w:pPr>
            <w:r>
              <w:t>Ebből: szavatoló</w:t>
            </w:r>
            <w:r w:rsidR="00082480">
              <w:t xml:space="preserve"> </w:t>
            </w:r>
            <w:r>
              <w:t>tők</w:t>
            </w:r>
            <w:r w:rsidR="00297EA5">
              <w:t>ének minősülő</w:t>
            </w:r>
            <w:r>
              <w:t xml:space="preserve"> alárendelt kötelezettségek (egy része)</w:t>
            </w:r>
          </w:p>
          <w:p w14:paraId="7FE1B5D6" w14:textId="69DCBB91" w:rsidR="00896468" w:rsidRDefault="00B31E50">
            <w:pPr>
              <w:pStyle w:val="P68B1DB1-TableParagraph17"/>
              <w:spacing w:before="108"/>
              <w:ind w:left="85"/>
              <w:jc w:val="both"/>
              <w:rPr>
                <w:b/>
                <w:bCs/>
              </w:rPr>
            </w:pPr>
            <w:r>
              <w:t>A</w:t>
            </w:r>
            <w:r w:rsidR="00297EA5">
              <w:t xml:space="preserve"> kiegészítő</w:t>
            </w:r>
            <w:r>
              <w:t xml:space="preserve"> alapvető tőkét (annak egy részét) képező jogi eszközök.</w:t>
            </w:r>
          </w:p>
        </w:tc>
      </w:tr>
      <w:tr w:rsidR="00896468"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896468" w:rsidRDefault="00B31E50">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896468" w:rsidRDefault="00B31E50">
            <w:pPr>
              <w:pStyle w:val="P68B1DB1-TableParagraph14"/>
              <w:spacing w:before="108"/>
              <w:ind w:left="85"/>
              <w:jc w:val="both"/>
              <w:rPr>
                <w:bCs/>
              </w:rPr>
            </w:pPr>
            <w:r>
              <w:t>Járulékos tőke (Tier 2)</w:t>
            </w:r>
          </w:p>
          <w:p w14:paraId="7FE1B5DA" w14:textId="77777777" w:rsidR="00896468" w:rsidRDefault="00B31E50">
            <w:pPr>
              <w:pStyle w:val="P68B1DB1-TableParagraph17"/>
              <w:spacing w:before="108"/>
              <w:ind w:left="85"/>
              <w:jc w:val="both"/>
            </w:pPr>
            <w:r>
              <w:t>Az 575/2013/EU rendelet 71. cikke.</w:t>
            </w:r>
          </w:p>
          <w:p w14:paraId="7FE1B5DB" w14:textId="541486A9" w:rsidR="00896468" w:rsidRDefault="00B31E50">
            <w:pPr>
              <w:pStyle w:val="P68B1DB1-TableParagraph17"/>
              <w:spacing w:before="108"/>
              <w:ind w:left="85"/>
              <w:jc w:val="both"/>
              <w:rPr>
                <w:b/>
                <w:bCs/>
              </w:rPr>
            </w:pPr>
            <w:r>
              <w:t>Ugyanaz a meghatározás, mint a COREP (OF) esetében: C 01.00;750;010</w:t>
            </w:r>
          </w:p>
        </w:tc>
      </w:tr>
      <w:tr w:rsidR="00896468"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896468" w:rsidRDefault="00B31E50">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4A11A2EC" w:rsidR="00896468" w:rsidRDefault="00B31E50">
            <w:pPr>
              <w:pStyle w:val="P68B1DB1-TableParagraph14"/>
              <w:spacing w:before="108"/>
              <w:ind w:left="85"/>
              <w:jc w:val="both"/>
              <w:rPr>
                <w:bCs/>
              </w:rPr>
            </w:pPr>
            <w:r>
              <w:t>Ebből: szavatoló</w:t>
            </w:r>
            <w:r w:rsidR="00082480">
              <w:t xml:space="preserve"> </w:t>
            </w:r>
            <w:r>
              <w:t>tők</w:t>
            </w:r>
            <w:r w:rsidR="00297EA5">
              <w:t>ének minősülő</w:t>
            </w:r>
            <w:r>
              <w:t xml:space="preserve"> alárendelt kötelezettségek (egy része)</w:t>
            </w:r>
          </w:p>
          <w:p w14:paraId="7FE1B5DF" w14:textId="44948748" w:rsidR="00896468" w:rsidRDefault="00B31E50">
            <w:pPr>
              <w:pStyle w:val="P68B1DB1-TableParagraph17"/>
              <w:spacing w:before="108"/>
              <w:ind w:left="85"/>
              <w:jc w:val="both"/>
              <w:rPr>
                <w:b/>
                <w:bCs/>
              </w:rPr>
            </w:pPr>
            <w:r>
              <w:t>Ez a bontás azonosítja azokat a</w:t>
            </w:r>
            <w:r w:rsidR="00297EA5">
              <w:t>zon</w:t>
            </w:r>
            <w:r>
              <w:t xml:space="preserve"> jogi eszközöket, amelyek a járulékos szavatoló</w:t>
            </w:r>
            <w:r w:rsidR="00082480">
              <w:t xml:space="preserve"> </w:t>
            </w:r>
            <w:r>
              <w:t>tőkét (annak egy részét) képezik.</w:t>
            </w:r>
          </w:p>
        </w:tc>
      </w:tr>
      <w:tr w:rsidR="00896468"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896468" w:rsidRDefault="00B31E50">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1116A70E" w:rsidR="00896468" w:rsidRDefault="00B31E50">
            <w:pPr>
              <w:pStyle w:val="P68B1DB1-TableParagraph14"/>
              <w:spacing w:before="108"/>
              <w:ind w:left="85"/>
              <w:jc w:val="both"/>
              <w:rPr>
                <w:bCs/>
              </w:rPr>
            </w:pPr>
            <w:r>
              <w:t>Kötelezettségek összesen és szavatoló</w:t>
            </w:r>
            <w:r w:rsidR="00082480">
              <w:t xml:space="preserve"> </w:t>
            </w:r>
            <w:r>
              <w:t>tőke, beleértve a származtatott kötelezettségeket</w:t>
            </w:r>
          </w:p>
          <w:p w14:paraId="7FE1B5E3" w14:textId="2D138C05" w:rsidR="00896468" w:rsidRDefault="00B31E50">
            <w:pPr>
              <w:pStyle w:val="P68B1DB1-TableParagraph17"/>
              <w:spacing w:before="108"/>
              <w:ind w:left="85"/>
              <w:jc w:val="both"/>
              <w:rPr>
                <w:b/>
                <w:bCs/>
              </w:rPr>
            </w:pPr>
            <w:r>
              <w:lastRenderedPageBreak/>
              <w:t>Az ebben a táblában feltüntetett összes kötelezettség és a szabályozói szavatoló</w:t>
            </w:r>
            <w:r w:rsidR="00082480">
              <w:t xml:space="preserve"> </w:t>
            </w:r>
            <w:r>
              <w:t>tőke összege. Ezt az értéket a fenti sorokban szereplő összes érték összeadásával kell képezni. A származtatott ügyletek esetében az alkalmazandó érték a 0334. sor „Nettó kötelezettségpozíciók összege a prudenciális nettósítási szabályok figyelembevételével”.</w:t>
            </w:r>
          </w:p>
        </w:tc>
      </w:tr>
      <w:tr w:rsidR="00896468"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896468" w:rsidRDefault="00B31E50">
            <w:pPr>
              <w:pStyle w:val="P68B1DB1-TableParagraph13"/>
            </w:pPr>
            <w:r>
              <w:lastRenderedPageBreak/>
              <w:t>0800</w:t>
            </w:r>
          </w:p>
        </w:tc>
        <w:tc>
          <w:tcPr>
            <w:tcW w:w="8121" w:type="dxa"/>
            <w:tcBorders>
              <w:top w:val="single" w:sz="4" w:space="0" w:color="1A171C"/>
              <w:left w:val="single" w:sz="4" w:space="0" w:color="1A171C"/>
              <w:bottom w:val="single" w:sz="4" w:space="0" w:color="1A171C"/>
              <w:right w:val="nil"/>
            </w:tcBorders>
            <w:vAlign w:val="center"/>
          </w:tcPr>
          <w:p w14:paraId="7FE1B603" w14:textId="21A415B2" w:rsidR="00896468" w:rsidRDefault="00297EA5">
            <w:pPr>
              <w:pStyle w:val="P68B1DB1-TableParagraph14"/>
              <w:jc w:val="both"/>
              <w:rPr>
                <w:bCs/>
              </w:rPr>
            </w:pPr>
            <w:r>
              <w:t>Saját t</w:t>
            </w:r>
            <w:r w:rsidR="00B31E50">
              <w:t>őke összesen</w:t>
            </w:r>
          </w:p>
          <w:p w14:paraId="7FE1B604" w14:textId="2EE11EF6" w:rsidR="00896468" w:rsidRDefault="00B31E50">
            <w:pPr>
              <w:pStyle w:val="P68B1DB1-Normal21"/>
              <w:spacing w:line="276" w:lineRule="auto"/>
              <w:jc w:val="both"/>
            </w:pPr>
            <w:r>
              <w:t>(FINREP F01.03–300–010) a könyv szerinti értéke.</w:t>
            </w:r>
          </w:p>
          <w:p w14:paraId="7FE1B605" w14:textId="44D71F77" w:rsidR="00896468" w:rsidRDefault="00B31E50">
            <w:pPr>
              <w:pStyle w:val="P68B1DB1-Normal21"/>
              <w:spacing w:line="276" w:lineRule="auto"/>
              <w:jc w:val="both"/>
            </w:pPr>
            <w:r>
              <w:t>Ez az összeg megegyezik a mérleg teljes saját tőkéjével.</w:t>
            </w:r>
          </w:p>
          <w:p w14:paraId="7FE1B606" w14:textId="77777777" w:rsidR="00896468" w:rsidRDefault="00896468">
            <w:pPr>
              <w:pStyle w:val="TableParagraph"/>
              <w:jc w:val="both"/>
              <w:rPr>
                <w:rFonts w:ascii="Times New Roman" w:hAnsi="Times New Roman" w:cs="Times New Roman"/>
                <w:b/>
                <w:bCs/>
                <w:color w:val="000000" w:themeColor="text1"/>
                <w:sz w:val="20"/>
                <w:szCs w:val="20"/>
              </w:rPr>
            </w:pPr>
          </w:p>
        </w:tc>
      </w:tr>
    </w:tbl>
    <w:p w14:paraId="7FE1B60E" w14:textId="77777777" w:rsidR="00896468" w:rsidRDefault="00896468">
      <w:pPr>
        <w:rPr>
          <w:rFonts w:ascii="Times New Roman" w:hAnsi="Times New Roman" w:cs="Times New Roman"/>
        </w:rPr>
      </w:pPr>
    </w:p>
    <w:p w14:paraId="7FE1B60F" w14:textId="1DD0504B" w:rsidR="00896468" w:rsidRDefault="00B31E50">
      <w:pPr>
        <w:pStyle w:val="P68B1DB1-Instructionsberschrift25"/>
        <w:numPr>
          <w:ilvl w:val="1"/>
          <w:numId w:val="49"/>
        </w:numPr>
        <w:ind w:left="357" w:hanging="357"/>
      </w:pPr>
      <w:bookmarkStart w:id="58" w:name="_Toc492542323"/>
      <w:bookmarkStart w:id="59" w:name="_Toc81454181"/>
      <w:bookmarkStart w:id="60" w:name="_Toc210982868"/>
      <w:r>
        <w:t>Z 03.01 – Szavatolótőke-követelmények – Hitelintézetek (LIAB 2)</w:t>
      </w:r>
      <w:bookmarkEnd w:id="58"/>
      <w:bookmarkEnd w:id="59"/>
      <w:bookmarkEnd w:id="60"/>
    </w:p>
    <w:p w14:paraId="7FE1B610" w14:textId="77777777" w:rsidR="00896468" w:rsidRDefault="00B31E50">
      <w:pPr>
        <w:pStyle w:val="Instructionsberschrift3"/>
      </w:pPr>
      <w:r>
        <w:t>Általános megjegyzések</w:t>
      </w:r>
    </w:p>
    <w:p w14:paraId="7FE1B611" w14:textId="2697A3D5" w:rsidR="00896468" w:rsidRDefault="00B31E50">
      <w:pPr>
        <w:pStyle w:val="P68B1DB1-InstructionsText26"/>
        <w:numPr>
          <w:ilvl w:val="0"/>
          <w:numId w:val="232"/>
        </w:numPr>
        <w:spacing w:before="0"/>
      </w:pPr>
      <w:r>
        <w:t xml:space="preserve">Ebben a táblában a szervezet </w:t>
      </w:r>
      <w:r w:rsidR="00E75D76">
        <w:t xml:space="preserve">vagy csoport </w:t>
      </w:r>
      <w:r>
        <w:t>szavatolótőke-követelményeivel kapcsolatos információkat kell feltüntetni.</w:t>
      </w:r>
    </w:p>
    <w:p w14:paraId="7FE1B612" w14:textId="0D6DA048" w:rsidR="00896468" w:rsidRDefault="00B31E50">
      <w:pPr>
        <w:pStyle w:val="P68B1DB1-InstructionsText26"/>
        <w:numPr>
          <w:ilvl w:val="0"/>
          <w:numId w:val="232"/>
        </w:numPr>
        <w:spacing w:before="0"/>
      </w:pPr>
      <w:r>
        <w:t>Valamennyi információnak az adatszolgáltatás vonatkozási időpontban alkalmazandó szavatolótőke-követelményeket kell tükröznie.</w:t>
      </w:r>
    </w:p>
    <w:p w14:paraId="7FE1B613" w14:textId="79F47818" w:rsidR="00896468" w:rsidRDefault="00B31E50">
      <w:pPr>
        <w:pStyle w:val="P68B1DB1-InstructionsText26"/>
        <w:numPr>
          <w:ilvl w:val="0"/>
          <w:numId w:val="232"/>
        </w:numPr>
        <w:spacing w:before="0"/>
      </w:pPr>
      <w:r>
        <w:t>Kivét</w:t>
      </w:r>
      <w:r w:rsidR="00E75D76">
        <w:t>el, hogy</w:t>
      </w:r>
      <w:r>
        <w:t xml:space="preserve"> az ebben a táblában jelentett, 0300-</w:t>
      </w:r>
      <w:r w:rsidR="00E75D76">
        <w:t>T</w:t>
      </w:r>
      <w:r>
        <w:t>eljes SREP-tőkekövetelményre (TSCR) vonatkozó információknak az illetékes hatóság által e jelentés benyújtási időpontjáig közölt legfrissebb rendelkezésre álló hivatalos SREP-határozaton kell alapulniuk.</w:t>
      </w:r>
    </w:p>
    <w:p w14:paraId="7FE1B614" w14:textId="32B0223C" w:rsidR="00896468" w:rsidRDefault="00B31E50">
      <w:pPr>
        <w:pStyle w:val="P68B1DB1-InstructionsText26"/>
        <w:numPr>
          <w:ilvl w:val="0"/>
          <w:numId w:val="232"/>
        </w:numPr>
        <w:spacing w:before="0"/>
      </w:pPr>
      <w:r>
        <w:t xml:space="preserve">Az összevont vagy egyedi alapú adatszolgáltatás esetében, ha ezeket az adatpontokat a </w:t>
      </w:r>
      <w:r w:rsidR="00E75D76">
        <w:t>szervezet</w:t>
      </w:r>
      <w:r>
        <w:t xml:space="preserve"> a FINREP-ben vagy a COREP-ben ugyanarra a referencia-időpontra és a jelentéstételi körre vonatkozóan már jelentette (lásd a COREP/FINREP hivatkozásokat az útmutatóban), az adatszolgáltató szervezetnek nem kell másodszor jelentenie ezeket az adatpontokat. Az adatokat csak akkor kell jelenteni, ha például az adatszolgáltató szervezetet mentesítették a pénzügyi vagy prudenciális adatszolgáltatási kötelezettségek alól, amely esetben a szanálási hatóságok számára ezen adatpontok tekintetében ez az egyetlen adatforrás.</w:t>
      </w:r>
    </w:p>
    <w:p w14:paraId="7FE1B615" w14:textId="77777777" w:rsidR="00896468" w:rsidRDefault="00896468">
      <w:pPr>
        <w:pStyle w:val="InstructionsText2"/>
        <w:numPr>
          <w:ilvl w:val="0"/>
          <w:numId w:val="0"/>
        </w:numPr>
        <w:spacing w:before="0"/>
        <w:ind w:left="1440"/>
        <w:rPr>
          <w:rFonts w:ascii="Times New Roman" w:hAnsi="Times New Roman" w:cs="Times New Roman"/>
          <w:sz w:val="20"/>
          <w:szCs w:val="20"/>
        </w:rPr>
      </w:pPr>
    </w:p>
    <w:p w14:paraId="7FE1B61B" w14:textId="77777777" w:rsidR="00896468" w:rsidRDefault="00B31E50">
      <w:pPr>
        <w:pStyle w:val="Instructionsberschrift3"/>
      </w:pPr>
      <w:r>
        <w:t>A táblák egyes részeire vonatkozó útmutatások</w:t>
      </w:r>
    </w:p>
    <w:p w14:paraId="7FE1B61C" w14:textId="77777777" w:rsidR="00896468" w:rsidRDefault="00896468">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896468"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896468" w:rsidRDefault="00B31E50">
            <w:pPr>
              <w:pStyle w:val="P68B1DB1-TableParagraph13"/>
              <w:spacing w:before="66"/>
              <w:rPr>
                <w:rFonts w:eastAsia="Cambria"/>
              </w:rPr>
            </w:pPr>
            <w:r>
              <w:t>Sor</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896468" w:rsidRDefault="00B31E50">
            <w:pPr>
              <w:pStyle w:val="P68B1DB1-TableParagraph13"/>
              <w:spacing w:before="66"/>
              <w:ind w:right="1"/>
              <w:jc w:val="center"/>
              <w:rPr>
                <w:rFonts w:eastAsia="Cambria"/>
              </w:rPr>
            </w:pPr>
            <w:r>
              <w:t>Útmutató</w:t>
            </w:r>
          </w:p>
        </w:tc>
      </w:tr>
      <w:tr w:rsidR="00896468"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896468" w:rsidRDefault="00B31E50">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896468" w:rsidRDefault="00B31E50">
            <w:pPr>
              <w:pStyle w:val="P68B1DB1-TableParagraph14"/>
              <w:spacing w:before="108"/>
              <w:rPr>
                <w:bCs/>
              </w:rPr>
            </w:pPr>
            <w:r>
              <w:t>Teljes kockázati kitettségérték</w:t>
            </w:r>
          </w:p>
          <w:p w14:paraId="7FE1B622" w14:textId="77777777" w:rsidR="00896468" w:rsidRDefault="00B31E50">
            <w:pPr>
              <w:pStyle w:val="P68B1DB1-TableParagraph17"/>
              <w:spacing w:before="108"/>
            </w:pPr>
            <w:r>
              <w:t>A 2014/59/EU irányelv 45. cikke (2) bekezdésének a) pontjával összhangban, az 575/2013/EU rendelet 92. cikke (3) bekezdésének megfelelően kiszámított összeg.</w:t>
            </w:r>
          </w:p>
        </w:tc>
      </w:tr>
      <w:tr w:rsidR="00896468"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896468" w:rsidRDefault="00B31E50">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896468" w:rsidRDefault="00B31E50">
            <w:pPr>
              <w:pStyle w:val="P68B1DB1-TableParagraph14"/>
              <w:spacing w:before="108"/>
              <w:jc w:val="both"/>
              <w:rPr>
                <w:bCs/>
              </w:rPr>
            </w:pPr>
            <w:r>
              <w:t>Teljes kitettségi mérték</w:t>
            </w:r>
          </w:p>
          <w:p w14:paraId="7FE1B626" w14:textId="77777777" w:rsidR="00896468" w:rsidRDefault="00B31E50">
            <w:pPr>
              <w:pStyle w:val="P68B1DB1-TableParagraph17"/>
              <w:spacing w:before="108"/>
              <w:jc w:val="both"/>
              <w:rPr>
                <w:b/>
                <w:bCs/>
              </w:rPr>
            </w:pPr>
            <w:r>
              <w:t>A 2014/59/EU irányelv 45. cikke (2) bekezdésének b) pontjával összhangban, az 575/2013/EU rendelet 429. cikke (4) bekezdésének és 429a. cikkének megfelelően kiszámított összeg.</w:t>
            </w:r>
          </w:p>
        </w:tc>
      </w:tr>
      <w:tr w:rsidR="00896468"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896468" w:rsidRDefault="00B31E50">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896468" w:rsidRDefault="00B31E50">
            <w:pPr>
              <w:pStyle w:val="P68B1DB1-TableParagraph14"/>
              <w:spacing w:before="108"/>
              <w:jc w:val="both"/>
              <w:rPr>
                <w:bCs/>
              </w:rPr>
            </w:pPr>
            <w:r>
              <w:t>Az induló tőkére és a tőkeáttételi mutatóra vonatkozó követelmény</w:t>
            </w:r>
          </w:p>
        </w:tc>
      </w:tr>
      <w:tr w:rsidR="00896468"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896468" w:rsidRDefault="00B31E50">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896468" w:rsidRDefault="00B31E50">
            <w:pPr>
              <w:pStyle w:val="P68B1DB1-TableParagraph14"/>
              <w:spacing w:before="108"/>
              <w:jc w:val="both"/>
              <w:rPr>
                <w:bCs/>
              </w:rPr>
            </w:pPr>
            <w:r>
              <w:t>Indulótőke</w:t>
            </w:r>
          </w:p>
          <w:p w14:paraId="7FE1B62D" w14:textId="77777777" w:rsidR="00896468" w:rsidRDefault="00B31E50">
            <w:pPr>
              <w:pStyle w:val="P68B1DB1-TableParagraph17"/>
              <w:spacing w:before="108"/>
              <w:jc w:val="both"/>
            </w:pPr>
            <w:r>
              <w:lastRenderedPageBreak/>
              <w:t>A 2013/36/EU irányelv 12. cikkében és az 575/2013/EU rendelet 93. cikkében említett összeg.</w:t>
            </w:r>
          </w:p>
          <w:p w14:paraId="7FE1B62E" w14:textId="77777777" w:rsidR="00896468" w:rsidRDefault="00B31E50">
            <w:pPr>
              <w:pStyle w:val="P68B1DB1-TableParagraph17"/>
              <w:spacing w:before="108"/>
              <w:jc w:val="both"/>
              <w:rPr>
                <w:b/>
                <w:bCs/>
              </w:rPr>
            </w:pPr>
            <w:r>
              <w:t>Az intézmény tevékenységének megkezdésére vonatkozó engedély előfeltételeként szükséges induló tőke összege.</w:t>
            </w:r>
          </w:p>
        </w:tc>
      </w:tr>
      <w:tr w:rsidR="00896468"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896468" w:rsidRDefault="00B31E50">
            <w:pPr>
              <w:pStyle w:val="P68B1DB1-TableParagraph13"/>
              <w:spacing w:before="106"/>
              <w:ind w:left="-1"/>
            </w:pPr>
            <w:r>
              <w:lastRenderedPageBreak/>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896468" w:rsidRDefault="00B31E50">
            <w:pPr>
              <w:pStyle w:val="P68B1DB1-TableParagraph14"/>
              <w:spacing w:before="108"/>
              <w:jc w:val="both"/>
              <w:rPr>
                <w:bCs/>
              </w:rPr>
            </w:pPr>
            <w:r>
              <w:t>A tőkeáttételi mutatóra vonatkozó követelmény</w:t>
            </w:r>
          </w:p>
          <w:p w14:paraId="7FE1B632" w14:textId="77777777" w:rsidR="00896468" w:rsidRDefault="00B31E50">
            <w:pPr>
              <w:pStyle w:val="P68B1DB1-TableParagraph13"/>
              <w:spacing w:before="108"/>
              <w:jc w:val="both"/>
            </w:pPr>
            <w:r>
              <w:t>Az 575/2013/EU rendelet 92. cikke (1a) bekezdésében meghatározott követelményt kivéve, a szervezetre vagy csoportra alkalmazandó tőkeáttételi mutatóra vonatkozó követelmény, a teljes kitettségi mérték százalékában kifejezve. Amennyiben nincs hivatalos követelmény, ezt a mezőt üresen kell hagyni.</w:t>
            </w:r>
          </w:p>
        </w:tc>
      </w:tr>
      <w:tr w:rsidR="00896468"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896468" w:rsidRDefault="00B31E50">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896468" w:rsidRDefault="00B31E50">
            <w:pPr>
              <w:pStyle w:val="P68B1DB1-TableParagraph14"/>
              <w:spacing w:before="108"/>
              <w:jc w:val="both"/>
              <w:rPr>
                <w:bCs/>
              </w:rPr>
            </w:pPr>
            <w:r>
              <w:t xml:space="preserve">Teljes-SREP-tőkekövetelmény-mutató (TSCR-mutató) </w:t>
            </w:r>
          </w:p>
          <w:p w14:paraId="7FE1B636" w14:textId="2A1E38D5" w:rsidR="00896468" w:rsidRDefault="00B31E50">
            <w:pPr>
              <w:pStyle w:val="P68B1DB1-TableParagraph13"/>
              <w:spacing w:before="108"/>
              <w:jc w:val="both"/>
            </w:pPr>
            <w:r>
              <w:t>LÁSD:</w:t>
            </w:r>
            <w:r w:rsidR="005F72D6">
              <w:t xml:space="preserve"> </w:t>
            </w:r>
            <w:r>
              <w:t>COREP (OF): C 03.00;130;010</w:t>
            </w:r>
          </w:p>
          <w:p w14:paraId="7FE1B637" w14:textId="77777777" w:rsidR="00896468" w:rsidRDefault="00B31E50">
            <w:pPr>
              <w:pStyle w:val="P68B1DB1-InstructionsText22"/>
              <w:ind w:firstLine="0"/>
            </w:pPr>
            <w:r>
              <w:t>Az alábbi i. és ii. összege:</w:t>
            </w:r>
          </w:p>
          <w:p w14:paraId="7FE1B638" w14:textId="77777777" w:rsidR="00896468" w:rsidRDefault="00B31E50">
            <w:pPr>
              <w:pStyle w:val="P68B1DB1-InstructionsText22"/>
              <w:numPr>
                <w:ilvl w:val="3"/>
                <w:numId w:val="49"/>
              </w:numPr>
            </w:pPr>
            <w:r>
              <w:t xml:space="preserve">az 575/2013/EU rendelet 92. cikke (1) bekezdésének c) pontjában meghatározott teljes tőkemegfelelési mutató (8%); </w:t>
            </w:r>
          </w:p>
          <w:p w14:paraId="7FE1B639" w14:textId="5A0E00DD" w:rsidR="00896468" w:rsidRDefault="00B31E50">
            <w:pPr>
              <w:pStyle w:val="P68B1DB1-InstructionsText22"/>
              <w:numPr>
                <w:ilvl w:val="3"/>
                <w:numId w:val="49"/>
              </w:numPr>
            </w:pPr>
            <w:r>
              <w:t>a kiegészítő szavatolótőke-követelmény (2. pillér szerinti követelmény</w:t>
            </w:r>
            <w:r w:rsidR="00EB168C">
              <w:t xml:space="preserve"> – P2R</w:t>
            </w:r>
            <w:r>
              <w:t xml:space="preserve">) mutatója, amelyet a felügyeleti felülvizsgálati és értékelési eljárásra, valamint a felügyeleti stressztesztre vonatkozó közös eljárásokról és módszerekről szóló </w:t>
            </w:r>
            <w:r>
              <w:rPr>
                <w:i/>
              </w:rPr>
              <w:t>EBH-iránymutatásban (EBA Guidelines on common procedures and methodologies for the supervisory review and evaluation process and supervisory stress testing</w:t>
            </w:r>
            <w:r>
              <w:t>, EBA SREP GL) meghatározott kritériumokkal összhangban kell meghatározni.</w:t>
            </w:r>
          </w:p>
          <w:p w14:paraId="7FE1B63A" w14:textId="4433925C" w:rsidR="00896468" w:rsidRDefault="00B31E50">
            <w:pPr>
              <w:pStyle w:val="P68B1DB1-InstructionsText22"/>
              <w:ind w:firstLine="0"/>
            </w:pPr>
            <w:r>
              <w:t>Ez a tétel a beküldés időpontjától kezdődően a legutolsó, az illetékes hatóság által az intézménnyel közölt SREP-</w:t>
            </w:r>
            <w:r w:rsidR="00EB168C">
              <w:t xml:space="preserve">tőkekövetelmény </w:t>
            </w:r>
            <w:r>
              <w:t xml:space="preserve">(TSCR) mutatót tükrözi, azaz az adott év december 31-i </w:t>
            </w:r>
            <w:r w:rsidR="00EB168C">
              <w:t xml:space="preserve">vonatkozási dátumú </w:t>
            </w:r>
            <w:r>
              <w:t>benyújtáshoz a következő évben alkalmazandó P2R-t kell megadni. A TSCR fogalommeghatározása az EBA SREP GL 1.2. szakaszában található.</w:t>
            </w:r>
          </w:p>
          <w:p w14:paraId="7FE1B63B" w14:textId="09829F41" w:rsidR="00896468" w:rsidRDefault="00B31E50">
            <w:pPr>
              <w:pStyle w:val="P68B1DB1-InstructionsText22"/>
              <w:ind w:firstLine="0"/>
            </w:pPr>
            <w:r>
              <w:t>Amennyiben az adatszolgáltató szervezet szanál</w:t>
            </w:r>
            <w:r w:rsidR="00EB168C">
              <w:t>ás alá vonható</w:t>
            </w:r>
            <w:r>
              <w:t xml:space="preserve"> szervezet, amelyre a szanálás alá vonható csoport konszolidált szintjén nem vonatkozott a 2013/36/EU irányelv 104a. cikkében említett kiegészítő szavatolótőke-követelmény, a fenti ii. pont tekintetében jelentett érték várhatóan az (EU) 2021/1118 felhatalmazáson alapuló bizottsági rendelet 1. cikkében említett, de az adatszolgáltató szervezet által előzetesen elvégzett becslés eredménye.</w:t>
            </w:r>
          </w:p>
          <w:p w14:paraId="7FE1B63C" w14:textId="73242D31" w:rsidR="00896468" w:rsidRDefault="00B31E50">
            <w:pPr>
              <w:pStyle w:val="P68B1DB1-TableParagraph13"/>
              <w:spacing w:before="108"/>
              <w:jc w:val="both"/>
              <w:rPr>
                <w:b/>
                <w:bCs/>
              </w:rPr>
            </w:pPr>
            <w:r>
              <w:t xml:space="preserve">Ha az illetékes hatóság nem közölt kiegészítő szavatolótőke-követelményt, </w:t>
            </w:r>
            <w:r w:rsidR="00EB168C">
              <w:t xml:space="preserve">és a fenti bekezdés nem alkalmazandó, </w:t>
            </w:r>
            <w:r>
              <w:t>akkor csak az i. pontot kell jelenteni.</w:t>
            </w:r>
          </w:p>
        </w:tc>
      </w:tr>
      <w:tr w:rsidR="00896468"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896468" w:rsidRDefault="00B31E50">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896468" w:rsidRDefault="00B31E50">
            <w:pPr>
              <w:pStyle w:val="P68B1DB1-TableParagraph14"/>
              <w:spacing w:before="108"/>
              <w:jc w:val="both"/>
              <w:rPr>
                <w:bCs/>
              </w:rPr>
            </w:pPr>
            <w:r>
              <w:t>Kombinált pufferkövetelmény</w:t>
            </w:r>
          </w:p>
          <w:p w14:paraId="7FE1B640" w14:textId="26916025" w:rsidR="00896468" w:rsidRDefault="00B31E50">
            <w:pPr>
              <w:pStyle w:val="P68B1DB1-TableParagraph13"/>
              <w:spacing w:before="108"/>
              <w:jc w:val="both"/>
            </w:pPr>
            <w:r>
              <w:t>LÁSD:</w:t>
            </w:r>
            <w:r w:rsidR="005F72D6">
              <w:t xml:space="preserve"> </w:t>
            </w:r>
            <w:r>
              <w:t>COREP (OF): C 04.00;740;010</w:t>
            </w:r>
            <w:r w:rsidR="005F72D6">
              <w:t>)</w:t>
            </w:r>
            <w:r>
              <w:t>.</w:t>
            </w:r>
          </w:p>
          <w:p w14:paraId="7FE1B641" w14:textId="77777777" w:rsidR="00896468" w:rsidRDefault="00B31E50">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2013/36/EU irányelv</w:t>
            </w:r>
            <w:r>
              <w:rPr>
                <w:rStyle w:val="InstructionsTabelleberschrift"/>
                <w:rFonts w:ascii="Times New Roman" w:hAnsi="Times New Roman"/>
                <w:b w:val="0"/>
                <w:color w:val="000000" w:themeColor="text1"/>
                <w:szCs w:val="20"/>
                <w:u w:val="none"/>
              </w:rPr>
              <w:t xml:space="preserve"> 128.</w:t>
            </w:r>
            <w:r>
              <w:rPr>
                <w:rFonts w:ascii="Times New Roman" w:eastAsia="Cambria" w:hAnsi="Times New Roman" w:cs="Times New Roman"/>
                <w:color w:val="000000" w:themeColor="text1"/>
                <w:sz w:val="20"/>
                <w:szCs w:val="20"/>
              </w:rPr>
              <w:t>cikke első albekezdésének 6. pontjában említett követelmény</w:t>
            </w:r>
          </w:p>
          <w:p w14:paraId="7FE1B642" w14:textId="49A5ED2E" w:rsidR="00896468" w:rsidRDefault="00B31E50">
            <w:pPr>
              <w:pStyle w:val="P68B1DB1-TableParagraph13"/>
              <w:spacing w:before="108"/>
              <w:jc w:val="both"/>
            </w:pPr>
            <w:r>
              <w:t>Amennyiben a szanálási kör eltér a prudenciális körtől, a szanálás alá vonható szervezet összevont</w:t>
            </w:r>
            <w:r w:rsidR="00C0473D">
              <w:t>,</w:t>
            </w:r>
            <w:r>
              <w:t xml:space="preserve"> kombinált pufferkövetelményét alkotó elemek</w:t>
            </w:r>
            <w:r w:rsidR="00F8236E">
              <w:t>nek</w:t>
            </w:r>
            <w:r>
              <w:t xml:space="preserve"> </w:t>
            </w:r>
            <w:r w:rsidR="00F8236E">
              <w:t xml:space="preserve">a szanálás alá vonható csoport konszolidált szintjén történő </w:t>
            </w:r>
            <w:r>
              <w:t>becslés</w:t>
            </w:r>
            <w:r w:rsidR="003D1513">
              <w:t>e</w:t>
            </w:r>
            <w:r>
              <w:t xml:space="preserve"> az (EU) 2021/1118 felhatalmazáson alapuló bizottsági rendelet 3. cikkének (1) bekezdése </w:t>
            </w:r>
            <w:r w:rsidR="003D1513">
              <w:t>alapján történik</w:t>
            </w:r>
            <w:r>
              <w:t xml:space="preserve">, de azt az adatszolgáltató szervezetnek </w:t>
            </w:r>
            <w:r w:rsidR="003D1513">
              <w:t xml:space="preserve">kell </w:t>
            </w:r>
            <w:r>
              <w:t xml:space="preserve">előzetesen elvégeznie. </w:t>
            </w:r>
          </w:p>
        </w:tc>
      </w:tr>
      <w:tr w:rsidR="00896468"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896468" w:rsidRDefault="00B31E50">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896468" w:rsidRDefault="00B31E50">
            <w:pPr>
              <w:pStyle w:val="P68B1DB1-TableParagraph14"/>
              <w:spacing w:before="108"/>
              <w:jc w:val="both"/>
              <w:rPr>
                <w:bCs/>
              </w:rPr>
            </w:pPr>
            <w:r>
              <w:t>Tőkefenntartási puffer</w:t>
            </w:r>
          </w:p>
          <w:p w14:paraId="7FE1B646" w14:textId="7B6CEF6B" w:rsidR="00896468" w:rsidRDefault="00B31E50">
            <w:pPr>
              <w:pStyle w:val="P68B1DB1-TableParagraph13"/>
              <w:spacing w:before="108"/>
              <w:jc w:val="both"/>
            </w:pPr>
            <w:r>
              <w:t>LÁSD:COREP (OF): {C 04.00;750;010}</w:t>
            </w:r>
          </w:p>
          <w:p w14:paraId="7FE1B647" w14:textId="77777777" w:rsidR="00896468" w:rsidRDefault="00B31E50">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2013/36/EU irányelv 128.</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cikkének (1) bekezdésében és 129. cikkében említett követelmény.</w:t>
            </w:r>
          </w:p>
          <w:p w14:paraId="7FE1B648" w14:textId="7D88D9CB" w:rsidR="00896468" w:rsidRDefault="00B31E50">
            <w:pPr>
              <w:pStyle w:val="P68B1DB1-TableParagraph13"/>
              <w:spacing w:before="108"/>
              <w:jc w:val="both"/>
              <w:rPr>
                <w:rFonts w:eastAsia="Cambria"/>
              </w:rPr>
            </w:pPr>
            <w:r>
              <w:t>Amennyiben a szanálási kör eltér a prudenciális körtől, a szanálás alá vonható szervezet e pufferkövetelményének a szanálás alá vonható csoport konszolidált szintjén történő becslése az (EU) 2021/1118 felhatalmazáson alapuló bizottsági rendelet 3. cikkének (2) bekezdése szerint történik, de azt az adatszolgáltató szervezetnek előzetesen el kell végeznie.</w:t>
            </w:r>
          </w:p>
        </w:tc>
      </w:tr>
      <w:tr w:rsidR="00896468"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896468" w:rsidRDefault="00B31E50">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896468" w:rsidRDefault="00B31E50">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A tagállamok szintjén azonosított makroprudenciális vagy rendszerkockázatokra képzett tőkefenntartási puffer</w:t>
            </w:r>
          </w:p>
          <w:p w14:paraId="7FE1B64C" w14:textId="48E494C2" w:rsidR="00896468" w:rsidRDefault="00B31E50">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LÁSD:</w:t>
            </w:r>
            <w:r w:rsidR="00456331">
              <w:rPr>
                <w:rStyle w:val="InstructionsTabelleberschrift"/>
                <w:rFonts w:ascii="Times New Roman" w:hAnsi="Times New Roman"/>
                <w:b w:val="0"/>
                <w:bCs w:val="0"/>
                <w:color w:val="000000" w:themeColor="text1"/>
                <w:szCs w:val="20"/>
                <w:u w:val="none"/>
              </w:rPr>
              <w:t xml:space="preserve"> </w:t>
            </w:r>
            <w:r>
              <w:rPr>
                <w:rStyle w:val="InstructionsTabelleberschrift"/>
                <w:rFonts w:ascii="Times New Roman" w:hAnsi="Times New Roman"/>
                <w:b w:val="0"/>
                <w:bCs w:val="0"/>
                <w:color w:val="000000" w:themeColor="text1"/>
                <w:szCs w:val="20"/>
                <w:u w:val="none"/>
              </w:rPr>
              <w:t>COREP (OF): {C 04.00;760;010}</w:t>
            </w:r>
          </w:p>
          <w:p w14:paraId="7FE1B64D" w14:textId="1D29CF6A" w:rsidR="00896468" w:rsidRDefault="00B31E50">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Az 575/2013/EU</w:t>
            </w:r>
            <w:r>
              <w:rPr>
                <w:rStyle w:val="InstructionsTabelleberschrift"/>
                <w:rFonts w:ascii="Times New Roman" w:hAnsi="Times New Roman"/>
                <w:b w:val="0"/>
                <w:color w:val="000000" w:themeColor="text1"/>
                <w:szCs w:val="20"/>
                <w:u w:val="none"/>
              </w:rPr>
              <w:t xml:space="preserve"> rendelet 458. cikke (2) d) pontjában említett</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(vi) pontban foglalt</w:t>
            </w:r>
            <w:r>
              <w:rPr>
                <w:rFonts w:ascii="Times New Roman" w:eastAsia="Cambria" w:hAnsi="Times New Roman" w:cs="Times New Roman"/>
                <w:color w:val="000000" w:themeColor="text1"/>
                <w:sz w:val="20"/>
                <w:szCs w:val="20"/>
              </w:rPr>
              <w:t xml:space="preserve"> követelmény</w:t>
            </w:r>
          </w:p>
          <w:p w14:paraId="7FE1B64E" w14:textId="06184A05" w:rsidR="00896468" w:rsidRDefault="00B31E50">
            <w:pPr>
              <w:pStyle w:val="P68B1DB1-TableParagraph13"/>
              <w:spacing w:before="108"/>
              <w:jc w:val="both"/>
              <w:rPr>
                <w:rFonts w:eastAsia="Cambria"/>
              </w:rPr>
            </w:pPr>
            <w:r>
              <w:t>Amennyiben a szanálási kör eltér a prudenciális körtől, a jelentett összeg a szanálás alá vonható csoport kitettségeire alkalmazandó puffernek felel meg.</w:t>
            </w:r>
          </w:p>
        </w:tc>
      </w:tr>
      <w:tr w:rsidR="00896468"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896468" w:rsidRDefault="00B31E50">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896468" w:rsidRDefault="00B31E50">
            <w:pPr>
              <w:pStyle w:val="P68B1DB1-TableParagraph14"/>
              <w:spacing w:before="108"/>
              <w:jc w:val="both"/>
              <w:rPr>
                <w:bCs/>
              </w:rPr>
            </w:pPr>
            <w:r>
              <w:t xml:space="preserve">Intézményspecifikus anticiklikus tőkepuffer </w:t>
            </w:r>
          </w:p>
          <w:p w14:paraId="7FE1B652" w14:textId="6CDC4C4C" w:rsidR="00896468" w:rsidRDefault="00B31E50">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Lásd:</w:t>
            </w:r>
            <w:r w:rsidR="005F72D6">
              <w:rPr>
                <w:rStyle w:val="InstructionsTabelleberschrift"/>
                <w:rFonts w:ascii="Times New Roman" w:hAnsi="Times New Roman"/>
                <w:b w:val="0"/>
                <w:bCs w:val="0"/>
                <w:color w:val="000000" w:themeColor="text1"/>
                <w:szCs w:val="20"/>
                <w:u w:val="none"/>
              </w:rPr>
              <w:t xml:space="preserve"> </w:t>
            </w:r>
            <w:r>
              <w:rPr>
                <w:rStyle w:val="InstructionsTabelleberschrift"/>
                <w:rFonts w:ascii="Times New Roman" w:hAnsi="Times New Roman"/>
                <w:b w:val="0"/>
                <w:bCs w:val="0"/>
                <w:color w:val="000000" w:themeColor="text1"/>
                <w:szCs w:val="20"/>
                <w:u w:val="none"/>
              </w:rPr>
              <w:t>COREP (OF): C 04.00;770;010).</w:t>
            </w:r>
          </w:p>
          <w:p w14:paraId="7FE1B653" w14:textId="77777777" w:rsidR="00896468" w:rsidRDefault="00B31E50">
            <w:pPr>
              <w:pStyle w:val="P68B1DB1-TableParagraph17"/>
              <w:spacing w:before="108"/>
              <w:jc w:val="both"/>
            </w:pPr>
            <w:r>
              <w:t>A 2013/36/EU irányelv 128. cikkének (2) bekezdése, 130. és 135–140. cikkében említett követelmény.</w:t>
            </w:r>
          </w:p>
          <w:p w14:paraId="7FE1B654" w14:textId="5A67FF70" w:rsidR="00896468" w:rsidRDefault="00B31E50">
            <w:pPr>
              <w:pStyle w:val="P68B1DB1-TableParagraph13"/>
              <w:spacing w:before="108"/>
              <w:jc w:val="both"/>
              <w:rPr>
                <w:rFonts w:eastAsia="Cambria"/>
              </w:rPr>
            </w:pPr>
            <w:r>
              <w:t>Amennyiben a szanálási kör eltér a prudenciális körtől, a jelentett összeg megfelel a szanálás alá vonható csoport kitettségeire alkalmazandó pufferkövetelménynek.</w:t>
            </w:r>
          </w:p>
        </w:tc>
      </w:tr>
      <w:tr w:rsidR="00896468"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896468" w:rsidRDefault="00B31E50">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896468" w:rsidRDefault="00B31E50">
            <w:pPr>
              <w:pStyle w:val="P68B1DB1-TableParagraph14"/>
              <w:spacing w:before="108"/>
              <w:jc w:val="both"/>
              <w:rPr>
                <w:bCs/>
              </w:rPr>
            </w:pPr>
            <w:r>
              <w:t>Rendszerkockázati tőkepuffer</w:t>
            </w:r>
          </w:p>
          <w:p w14:paraId="7FE1B658" w14:textId="62BF4107" w:rsidR="00896468" w:rsidRDefault="00B31E50">
            <w:pPr>
              <w:pStyle w:val="P68B1DB1-TableParagraph13"/>
              <w:spacing w:before="108"/>
              <w:jc w:val="both"/>
            </w:pPr>
            <w:r>
              <w:t>Lásd:</w:t>
            </w:r>
            <w:r w:rsidR="005F72D6">
              <w:t xml:space="preserve"> </w:t>
            </w:r>
            <w:r>
              <w:t>COREP (OF): C 04.00;780;010)</w:t>
            </w:r>
          </w:p>
          <w:p w14:paraId="7FE1B659" w14:textId="77777777" w:rsidR="00896468" w:rsidRDefault="00B31E50">
            <w:pPr>
              <w:pStyle w:val="P68B1DB1-TableParagraph17"/>
              <w:spacing w:before="108"/>
              <w:jc w:val="both"/>
            </w:pPr>
            <w:r>
              <w:t>A 2013/36/EU irányelv 128. cikkének (5) bekezdése, 133. és 134. cikke által említett követelmény.</w:t>
            </w:r>
          </w:p>
          <w:p w14:paraId="7FE1B65A" w14:textId="3E8EFD6E" w:rsidR="00896468" w:rsidRDefault="00B31E50">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Amennyiben a szanálási kör eltér a prudenciális körtől, a szanálás alá vonható szervezet e pufferkövetelményének a szanálás alá vonható csoport konszolidált szintjén történő becslése az (EU) 2021/1118 felhatalmazáson alapuló bizottsági rendelet 3. cikkének (5) bekezdés</w:t>
            </w:r>
            <w:r w:rsidR="00F8236E">
              <w:rPr>
                <w:rFonts w:ascii="Times New Roman" w:hAnsi="Times New Roman" w:cs="Times New Roman"/>
                <w:color w:val="000000" w:themeColor="text1"/>
                <w:sz w:val="20"/>
                <w:szCs w:val="20"/>
              </w:rPr>
              <w:t>e alapján történik</w:t>
            </w:r>
            <w:r>
              <w:rPr>
                <w:rFonts w:ascii="Times New Roman" w:hAnsi="Times New Roman" w:cs="Times New Roman"/>
                <w:color w:val="000000" w:themeColor="text1"/>
                <w:sz w:val="20"/>
                <w:szCs w:val="20"/>
              </w:rPr>
              <w:t>,</w:t>
            </w:r>
            <w:r>
              <w:t xml:space="preserve"> </w:t>
            </w:r>
            <w:r>
              <w:rPr>
                <w:rFonts w:ascii="Times New Roman" w:hAnsi="Times New Roman" w:cs="Times New Roman"/>
                <w:color w:val="000000" w:themeColor="text1"/>
                <w:sz w:val="20"/>
                <w:szCs w:val="20"/>
              </w:rPr>
              <w:t xml:space="preserve">de azt az adatszolgáltató szervezetnek előzetesen el kell végeznie. </w:t>
            </w:r>
          </w:p>
        </w:tc>
      </w:tr>
      <w:tr w:rsidR="00896468"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896468" w:rsidRDefault="00B31E50">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896468" w:rsidRDefault="00B31E50">
            <w:pPr>
              <w:pStyle w:val="P68B1DB1-TableParagraph14"/>
              <w:spacing w:before="108"/>
              <w:jc w:val="both"/>
              <w:rPr>
                <w:bCs/>
              </w:rPr>
            </w:pPr>
            <w:r>
              <w:t>Globálisan rendszerszinten jelentős intézményekre vonatkozó tőkepuffer</w:t>
            </w:r>
          </w:p>
          <w:p w14:paraId="7FE1B65E" w14:textId="0E9D4313" w:rsidR="00896468" w:rsidRDefault="00B31E50">
            <w:pPr>
              <w:pStyle w:val="P68B1DB1-TableParagraph17"/>
              <w:spacing w:before="108"/>
              <w:jc w:val="both"/>
            </w:pPr>
            <w:r>
              <w:t>LÁSD:</w:t>
            </w:r>
            <w:r w:rsidR="00456331">
              <w:t xml:space="preserve"> </w:t>
            </w:r>
            <w:r>
              <w:t>COREP (OF): C 04.00;800;010</w:t>
            </w:r>
          </w:p>
          <w:p w14:paraId="7FE1B65F" w14:textId="77777777" w:rsidR="00896468" w:rsidRDefault="00B31E50">
            <w:pPr>
              <w:pStyle w:val="P68B1DB1-TableParagraph17"/>
              <w:spacing w:before="108"/>
              <w:jc w:val="both"/>
            </w:pPr>
            <w:r>
              <w:t>A 2013/36/EU irányelv 128. cikkének (3) bekezdése és 131. cikke által említett követelmény.</w:t>
            </w:r>
          </w:p>
          <w:p w14:paraId="7FE1B660" w14:textId="4222E8C6" w:rsidR="00896468" w:rsidRDefault="00B31E50">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Amennyiben a szanálási kör eltér a prudenciális körtől, a szanálás alá vonható szervezet e pufferkövetelményének a szanálás alá vonható csoport konszolidált szintjén történő becslése az (EU) 2021/1118 felhatalmazáson alapuló bizottsági rendelet 3. cikkének (3) bekezdése szerint történik,</w:t>
            </w:r>
            <w:r>
              <w:t xml:space="preserve"> </w:t>
            </w:r>
            <w:r>
              <w:rPr>
                <w:rFonts w:ascii="Times New Roman" w:hAnsi="Times New Roman" w:cs="Times New Roman"/>
                <w:color w:val="000000" w:themeColor="text1"/>
                <w:sz w:val="20"/>
                <w:szCs w:val="20"/>
              </w:rPr>
              <w:t xml:space="preserve">de azt az adatszolgáltató szervezetnek előzetesen el kell végeznie. </w:t>
            </w:r>
          </w:p>
        </w:tc>
      </w:tr>
      <w:tr w:rsidR="00896468"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896468" w:rsidRDefault="00B31E50">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B9A5C9D" w14:textId="5048C899" w:rsidR="00F8236E" w:rsidRDefault="00B31E50">
            <w:pPr>
              <w:pStyle w:val="P68B1DB1-TableParagraph13"/>
              <w:spacing w:before="108"/>
              <w:jc w:val="both"/>
              <w:rPr>
                <w:b/>
              </w:rPr>
            </w:pPr>
            <w:r>
              <w:rPr>
                <w:b/>
              </w:rPr>
              <w:t>Egyéb rendszerszinten jelentős intézmények</w:t>
            </w:r>
            <w:r w:rsidR="00F8236E">
              <w:rPr>
                <w:b/>
              </w:rPr>
              <w:t>re vonatkozó</w:t>
            </w:r>
            <w:r>
              <w:rPr>
                <w:b/>
              </w:rPr>
              <w:t xml:space="preserve"> </w:t>
            </w:r>
            <w:r w:rsidR="00F8236E">
              <w:rPr>
                <w:b/>
              </w:rPr>
              <w:t>tőke</w:t>
            </w:r>
            <w:r>
              <w:rPr>
                <w:b/>
              </w:rPr>
              <w:t>puffer</w:t>
            </w:r>
            <w:r w:rsidR="00456331">
              <w:rPr>
                <w:b/>
              </w:rPr>
              <w:t xml:space="preserve"> </w:t>
            </w:r>
          </w:p>
          <w:p w14:paraId="7FE1B664" w14:textId="1344792A" w:rsidR="00896468" w:rsidRDefault="00F8236E">
            <w:pPr>
              <w:pStyle w:val="P68B1DB1-TableParagraph13"/>
              <w:spacing w:before="108"/>
              <w:jc w:val="both"/>
            </w:pPr>
            <w:r>
              <w:t>A</w:t>
            </w:r>
            <w:r w:rsidR="00B31E50">
              <w:t xml:space="preserve"> 2013/36/EU irányelv 128. cikkének (4) bekezdése és 131. cikke </w:t>
            </w:r>
          </w:p>
          <w:p w14:paraId="7FE1B665" w14:textId="44E90318" w:rsidR="00896468" w:rsidRDefault="00B31E50">
            <w:pPr>
              <w:pStyle w:val="P68B1DB1-TableParagraph13"/>
              <w:spacing w:before="108"/>
              <w:jc w:val="both"/>
            </w:pPr>
            <w:r>
              <w:t>LÁSD:</w:t>
            </w:r>
            <w:r w:rsidR="005F72D6">
              <w:t xml:space="preserve"> </w:t>
            </w:r>
            <w:r>
              <w:t xml:space="preserve">COREP (OF): C 04.00;810;010 </w:t>
            </w:r>
          </w:p>
          <w:p w14:paraId="7FE1B666" w14:textId="61EF5DAD" w:rsidR="00896468" w:rsidRDefault="00B31E50">
            <w:pPr>
              <w:pStyle w:val="P68B1DB1-TableParagraph13"/>
              <w:spacing w:before="108"/>
              <w:jc w:val="both"/>
              <w:rPr>
                <w:b/>
                <w:bCs/>
              </w:rPr>
            </w:pPr>
            <w:r>
              <w:t>A feltüntetett összeg a vonatkozó tőkepuffer-követelményeknek az adatszolgáltatás időpontjában való teljesítéséhez szükséges szavatoló</w:t>
            </w:r>
            <w:r w:rsidR="00082480">
              <w:t xml:space="preserve"> </w:t>
            </w:r>
            <w:r>
              <w:t>tőke összege.</w:t>
            </w:r>
          </w:p>
        </w:tc>
      </w:tr>
      <w:tr w:rsidR="00896468"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896468" w:rsidRDefault="00B31E50">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896468" w:rsidRDefault="00B31E50">
            <w:pPr>
              <w:pStyle w:val="P68B1DB1-TableParagraph14"/>
              <w:spacing w:before="108"/>
              <w:jc w:val="both"/>
              <w:rPr>
                <w:bCs/>
              </w:rPr>
            </w:pPr>
            <w:r>
              <w:t xml:space="preserve">Teljestőkekövetelmény-mutató (OCR-mutató) </w:t>
            </w:r>
          </w:p>
          <w:p w14:paraId="7FE1B66A" w14:textId="3A288A75" w:rsidR="00896468" w:rsidRDefault="00B31E50">
            <w:pPr>
              <w:pStyle w:val="P68B1DB1-TableParagraph13"/>
              <w:spacing w:before="108"/>
              <w:jc w:val="both"/>
            </w:pPr>
            <w:r>
              <w:t>LÁSD:</w:t>
            </w:r>
            <w:r w:rsidR="005F72D6">
              <w:t xml:space="preserve"> </w:t>
            </w:r>
            <w:r>
              <w:t xml:space="preserve">COREP (OF): C 03.00;160;010 </w:t>
            </w:r>
          </w:p>
          <w:p w14:paraId="7FE1B66B" w14:textId="77777777" w:rsidR="00896468" w:rsidRDefault="00B31E50">
            <w:pPr>
              <w:pStyle w:val="P68B1DB1-TableParagraph13"/>
              <w:spacing w:before="108"/>
              <w:jc w:val="both"/>
            </w:pPr>
            <w:r>
              <w:t xml:space="preserve">Az alábbi i. és ii. összege: </w:t>
            </w:r>
          </w:p>
          <w:p w14:paraId="7FE1B66C" w14:textId="77777777" w:rsidR="00896468" w:rsidRDefault="00B31E50">
            <w:pPr>
              <w:pStyle w:val="P68B1DB1-TableParagraph13"/>
              <w:numPr>
                <w:ilvl w:val="3"/>
                <w:numId w:val="211"/>
              </w:numPr>
              <w:spacing w:before="108"/>
              <w:ind w:left="931" w:hanging="567"/>
              <w:jc w:val="both"/>
            </w:pPr>
            <w:r>
              <w:t xml:space="preserve">a 0300. sorban említett TSCR-mutató; </w:t>
            </w:r>
          </w:p>
          <w:p w14:paraId="7FE1B66D" w14:textId="77777777" w:rsidR="00896468" w:rsidRDefault="00B31E50">
            <w:pPr>
              <w:pStyle w:val="P68B1DB1-TableParagraph13"/>
              <w:numPr>
                <w:ilvl w:val="3"/>
                <w:numId w:val="211"/>
              </w:numPr>
              <w:spacing w:before="108"/>
              <w:ind w:left="931" w:hanging="567"/>
              <w:jc w:val="both"/>
            </w:pPr>
            <w:r>
              <w:t xml:space="preserve">amennyiben jogilag alkalmazható, a 2013/36/EU irányelv 128. cikkének 6. pontjában említett kombinált pufferkövetelmény mutató. </w:t>
            </w:r>
          </w:p>
          <w:p w14:paraId="7FE1B66E" w14:textId="77777777" w:rsidR="00896468" w:rsidRDefault="00B31E50">
            <w:pPr>
              <w:pStyle w:val="P68B1DB1-TableParagraph13"/>
              <w:spacing w:before="108"/>
              <w:jc w:val="both"/>
            </w:pPr>
            <w:r>
              <w:t xml:space="preserve">Ennek a tételnek az EBH SREP-iránymutatásának 1.2. szakaszában meghatározott teljes tőkekövetelményt (OCR) kell tükröznie. </w:t>
            </w:r>
          </w:p>
          <w:p w14:paraId="7FE1B66F" w14:textId="77777777" w:rsidR="00896468" w:rsidRDefault="00B31E50">
            <w:pPr>
              <w:pStyle w:val="P68B1DB1-TableParagraph13"/>
              <w:spacing w:before="108"/>
              <w:jc w:val="both"/>
              <w:rPr>
                <w:b/>
                <w:bCs/>
              </w:rPr>
            </w:pPr>
            <w:r>
              <w:t>Ha nem alkalmazandó pufferkövetelmény, csak az i. pontot kell megadni.</w:t>
            </w:r>
          </w:p>
        </w:tc>
      </w:tr>
    </w:tbl>
    <w:p w14:paraId="7FE1B712" w14:textId="77777777" w:rsidR="00896468" w:rsidRDefault="00896468">
      <w:pPr>
        <w:rPr>
          <w:rFonts w:ascii="Times New Roman" w:hAnsi="Times New Roman" w:cs="Times New Roman"/>
        </w:rPr>
      </w:pPr>
    </w:p>
    <w:p w14:paraId="7FE1B713" w14:textId="77777777" w:rsidR="00896468" w:rsidRDefault="00896468">
      <w:pPr>
        <w:rPr>
          <w:rFonts w:ascii="Times New Roman" w:hAnsi="Times New Roman" w:cs="Times New Roman"/>
        </w:rPr>
      </w:pPr>
    </w:p>
    <w:p w14:paraId="7FE1B714" w14:textId="40548312" w:rsidR="00896468" w:rsidRDefault="00B31E50">
      <w:pPr>
        <w:pStyle w:val="P68B1DB1-Instructionsberschrift25"/>
        <w:numPr>
          <w:ilvl w:val="1"/>
          <w:numId w:val="49"/>
        </w:numPr>
        <w:ind w:left="357" w:hanging="357"/>
      </w:pPr>
      <w:bookmarkStart w:id="61" w:name="_Toc210982869"/>
      <w:r>
        <w:lastRenderedPageBreak/>
        <w:t xml:space="preserve">Z 03.02 – Szavatolótőke-követelmények – </w:t>
      </w:r>
      <w:r w:rsidR="00AF2F27">
        <w:t xml:space="preserve">Befektetési vállalkozások </w:t>
      </w:r>
      <w:r>
        <w:t>(LIAB 3)</w:t>
      </w:r>
      <w:bookmarkEnd w:id="61"/>
    </w:p>
    <w:p w14:paraId="7FE1B715" w14:textId="77777777" w:rsidR="00896468" w:rsidRDefault="00B31E50">
      <w:pPr>
        <w:pStyle w:val="Instructionsberschrift3"/>
      </w:pPr>
      <w:r>
        <w:t>Általános megjegyzések</w:t>
      </w:r>
    </w:p>
    <w:p w14:paraId="7FE1B716" w14:textId="27D84FAC" w:rsidR="00896468" w:rsidRDefault="00B31E50">
      <w:pPr>
        <w:pStyle w:val="Instructionsberschrift3"/>
        <w:numPr>
          <w:ilvl w:val="4"/>
          <w:numId w:val="260"/>
        </w:numPr>
      </w:pPr>
      <w:r>
        <w:t xml:space="preserve">Ebben a táblában a szervezet </w:t>
      </w:r>
      <w:r w:rsidR="00AF2F27">
        <w:t xml:space="preserve">vagy csoport </w:t>
      </w:r>
      <w:r>
        <w:t>szavatolótőke-követelményeivel kapcsolatos információkat kell feltüntetni.</w:t>
      </w:r>
    </w:p>
    <w:p w14:paraId="7FE1B717" w14:textId="102F5050" w:rsidR="00896468" w:rsidRDefault="00B31E50">
      <w:pPr>
        <w:pStyle w:val="Instructionsberschrift3"/>
        <w:numPr>
          <w:ilvl w:val="4"/>
          <w:numId w:val="260"/>
        </w:numPr>
      </w:pPr>
      <w:r>
        <w:t>Valamennyi információnak az adatszolgáltatás vonatkozási időpontban alkalmazandó szavatolótőke-követelményeket kell tükröznie.</w:t>
      </w:r>
    </w:p>
    <w:p w14:paraId="1DA6CBB2" w14:textId="5B9473B1" w:rsidR="00896468" w:rsidRDefault="00B31E50" w:rsidP="00C46908">
      <w:pPr>
        <w:pStyle w:val="P68B1DB1-ListParagraph23"/>
        <w:numPr>
          <w:ilvl w:val="4"/>
          <w:numId w:val="260"/>
        </w:numPr>
      </w:pPr>
      <w:r>
        <w:t xml:space="preserve">Az összevont vagy egyedi alapon történő adatszolgáltatás esetében, ha ezeket az adatpontokat a </w:t>
      </w:r>
      <w:r w:rsidR="00AF2F27">
        <w:t>szervezet</w:t>
      </w:r>
      <w:r>
        <w:t xml:space="preserve"> az IFREP-ben ugyanarra a referencia-időpontra és adatszolgáltatási körre vonatkozóan már jelentette (lásd az útmutató IFREP-hivatkozásait), a</w:t>
      </w:r>
      <w:r w:rsidR="00AF2F27">
        <w:t xml:space="preserve">z adatszolgáltató szervezetnek </w:t>
      </w:r>
      <w:r>
        <w:t>ezeket az adatokat nem kell másodszor jelentenie. Az adatokat csak akkor kell jelenteni, ha például az adatszolgáltató szervezetet mentesítették a pénzügyi vagy prudenciális adatszolgáltatási kötelezettségek alól, amely esetben a szanálási hatóságok számára ezen adatpontok tekintetében ez az egyetlen adatforrás.</w:t>
      </w:r>
    </w:p>
    <w:p w14:paraId="7FE1B718" w14:textId="4C8CE473" w:rsidR="00896468" w:rsidRDefault="00896468">
      <w:pPr>
        <w:pStyle w:val="InstructionsText2"/>
        <w:numPr>
          <w:ilvl w:val="0"/>
          <w:numId w:val="0"/>
        </w:numPr>
        <w:spacing w:before="0"/>
        <w:ind w:left="1440"/>
        <w:rPr>
          <w:rFonts w:ascii="Times New Roman" w:hAnsi="Times New Roman" w:cs="Times New Roman"/>
          <w:sz w:val="20"/>
          <w:szCs w:val="20"/>
        </w:rPr>
      </w:pPr>
    </w:p>
    <w:p w14:paraId="7FE1B719" w14:textId="77777777" w:rsidR="00896468" w:rsidRDefault="00B31E50">
      <w:pPr>
        <w:pStyle w:val="Instructionsberschrift3"/>
      </w:pPr>
      <w:r>
        <w:t>A táblák egyes részeire vonatkozó útmutatások</w:t>
      </w:r>
    </w:p>
    <w:p w14:paraId="7FE1B71A" w14:textId="77777777" w:rsidR="00896468" w:rsidRDefault="00896468">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896468"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896468" w:rsidRDefault="00B31E50">
            <w:pPr>
              <w:pStyle w:val="P68B1DB1-TableParagraph13"/>
              <w:spacing w:before="66"/>
              <w:rPr>
                <w:rFonts w:eastAsia="Cambria"/>
              </w:rPr>
            </w:pPr>
            <w:r>
              <w:t>Sor</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896468" w:rsidRDefault="00B31E50">
            <w:pPr>
              <w:pStyle w:val="P68B1DB1-TableParagraph13"/>
              <w:spacing w:before="66"/>
              <w:ind w:right="1"/>
              <w:jc w:val="center"/>
              <w:rPr>
                <w:rFonts w:eastAsia="Cambria"/>
              </w:rPr>
            </w:pPr>
            <w:r>
              <w:t>Útmutató</w:t>
            </w:r>
          </w:p>
        </w:tc>
      </w:tr>
      <w:tr w:rsidR="00896468"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896468" w:rsidRDefault="00B31E50">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896468" w:rsidRDefault="00B31E50">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Teljes szavatolótőke-követelmény </w:t>
            </w:r>
            <w:r>
              <w:rPr>
                <w:rStyle w:val="InstructionsTabelleberschrift"/>
                <w:rFonts w:ascii="Times New Roman" w:hAnsi="Times New Roman"/>
                <w:color w:val="000000" w:themeColor="text1"/>
                <w:szCs w:val="20"/>
              </w:rPr>
              <w:t>(IFREP I 02.01 r0130)</w:t>
            </w:r>
          </w:p>
          <w:p w14:paraId="29B1A135" w14:textId="77777777" w:rsidR="00896468" w:rsidRDefault="00896468">
            <w:pPr>
              <w:rPr>
                <w:rStyle w:val="InstructionsTabelleberschrift"/>
                <w:rFonts w:ascii="Times New Roman" w:hAnsi="Times New Roman"/>
                <w:color w:val="000000" w:themeColor="text1"/>
                <w:szCs w:val="20"/>
                <w:u w:val="none"/>
              </w:rPr>
            </w:pPr>
          </w:p>
          <w:p w14:paraId="4F8C79FA" w14:textId="1F239598" w:rsidR="00896468" w:rsidRDefault="00B31E50">
            <w:pPr>
              <w:pStyle w:val="P68B1DB1-TableParagraph17"/>
              <w:spacing w:before="108"/>
            </w:pPr>
            <w:r>
              <w:t>Egy befektetési vállalkozás teljes szavatolótőke-követelménye az adatszolgáltatás vonatkozási időpontjában alkalmazandó szavatolótőke-követelményének, a 01</w:t>
            </w:r>
            <w:r w:rsidR="00AF2F27">
              <w:t>2</w:t>
            </w:r>
            <w:r>
              <w:t>0. sorban feltüntetett kiegészítő szavatolótőke-követelményének és a 01</w:t>
            </w:r>
            <w:r w:rsidR="00AF2F27">
              <w:t>3</w:t>
            </w:r>
            <w:r>
              <w:t>0. sorban feltüntetett kiegészítő szavatoló</w:t>
            </w:r>
            <w:r w:rsidR="00082480">
              <w:t xml:space="preserve"> </w:t>
            </w:r>
            <w:r>
              <w:t>tőkére vonatkozó iránymutatásnak az összege.</w:t>
            </w:r>
          </w:p>
          <w:p w14:paraId="7FE1B721" w14:textId="77777777" w:rsidR="00896468" w:rsidRDefault="00896468">
            <w:pPr>
              <w:pStyle w:val="TableParagraph"/>
              <w:spacing w:before="108"/>
              <w:rPr>
                <w:rFonts w:ascii="Times New Roman" w:hAnsi="Times New Roman" w:cs="Times New Roman"/>
                <w:color w:val="000000" w:themeColor="text1"/>
                <w:sz w:val="20"/>
                <w:szCs w:val="20"/>
              </w:rPr>
            </w:pPr>
          </w:p>
        </w:tc>
      </w:tr>
      <w:tr w:rsidR="00896468"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896468" w:rsidRDefault="00B31E50">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896468" w:rsidRDefault="00B31E50">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Szavatolótőke-követelmény </w:t>
            </w:r>
            <w:r>
              <w:rPr>
                <w:rStyle w:val="InstructionsTabelleberschrift"/>
                <w:rFonts w:ascii="Times New Roman" w:hAnsi="Times New Roman"/>
                <w:color w:val="000000" w:themeColor="text1"/>
                <w:szCs w:val="20"/>
              </w:rPr>
              <w:t>(IFREP I 02.01 r0010)</w:t>
            </w:r>
          </w:p>
          <w:p w14:paraId="74086713" w14:textId="7F827C2E" w:rsidR="00896468" w:rsidRDefault="00B31E50">
            <w:pPr>
              <w:pStyle w:val="P68B1DB1-TableParagraph17"/>
              <w:spacing w:before="108"/>
            </w:pPr>
            <w:r>
              <w:t>Az (EU) 2019/2033 rendelet 11. cikkének (1) bekezdése.</w:t>
            </w:r>
          </w:p>
          <w:p w14:paraId="016729EC" w14:textId="77777777" w:rsidR="00896468" w:rsidRDefault="00B31E50">
            <w:pPr>
              <w:pStyle w:val="P68B1DB1-TableParagraph17"/>
              <w:spacing w:before="108"/>
            </w:pPr>
            <w:r>
              <w:t>Az összeg az (EU) 2019/2033 rendelet 57. cikke (3), (4) vagy (6) bekezdésének alkalmazása nélküli összeg.</w:t>
            </w:r>
          </w:p>
          <w:p w14:paraId="7FE1B727" w14:textId="77777777" w:rsidR="00896468" w:rsidRDefault="00896468">
            <w:pPr>
              <w:pStyle w:val="TableParagraph"/>
              <w:spacing w:before="108"/>
              <w:jc w:val="both"/>
              <w:rPr>
                <w:rFonts w:ascii="Times New Roman" w:eastAsia="Cambria" w:hAnsi="Times New Roman" w:cs="Times New Roman"/>
                <w:color w:val="000000" w:themeColor="text1"/>
                <w:sz w:val="20"/>
                <w:szCs w:val="20"/>
              </w:rPr>
            </w:pPr>
          </w:p>
        </w:tc>
      </w:tr>
      <w:tr w:rsidR="00896468"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896468" w:rsidRDefault="00B31E50">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896468" w:rsidRDefault="00B31E50">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Kiegészítő szavatolótőke-követelmény </w:t>
            </w:r>
            <w:r>
              <w:rPr>
                <w:rStyle w:val="InstructionsTabelleberschrift"/>
                <w:rFonts w:ascii="Times New Roman" w:hAnsi="Times New Roman"/>
                <w:color w:val="000000" w:themeColor="text1"/>
                <w:szCs w:val="20"/>
              </w:rPr>
              <w:t>(IFREP I 02.01 r0110)</w:t>
            </w:r>
          </w:p>
          <w:p w14:paraId="05BFD23E" w14:textId="06165C78" w:rsidR="00896468" w:rsidRDefault="00B31E50">
            <w:pPr>
              <w:pStyle w:val="P68B1DB1-TableParagraph17"/>
              <w:spacing w:before="108"/>
              <w:jc w:val="both"/>
            </w:pPr>
            <w:r>
              <w:t>Az (EU) 2019/2034 irányelv 40. cikke.</w:t>
            </w:r>
          </w:p>
          <w:p w14:paraId="2AF15530" w14:textId="2336925E" w:rsidR="00896468" w:rsidRDefault="00B31E50">
            <w:pPr>
              <w:pStyle w:val="P68B1DB1-TableParagraph13"/>
              <w:spacing w:before="108"/>
              <w:jc w:val="both"/>
            </w:pPr>
            <w:r>
              <w:t>A SREP</w:t>
            </w:r>
            <w:r w:rsidR="00AF2F27">
              <w:t>-vizsgálat</w:t>
            </w:r>
            <w:r>
              <w:t xml:space="preserve"> alapján szükséges kiegészítő szavatoló</w:t>
            </w:r>
            <w:r w:rsidR="00082480">
              <w:t xml:space="preserve"> </w:t>
            </w:r>
            <w:r>
              <w:t xml:space="preserve">tőke. </w:t>
            </w:r>
          </w:p>
          <w:p w14:paraId="7FE1B72E" w14:textId="77777777" w:rsidR="00896468" w:rsidRDefault="00896468">
            <w:pPr>
              <w:pStyle w:val="TableParagraph"/>
              <w:spacing w:before="108"/>
              <w:rPr>
                <w:rFonts w:ascii="Times New Roman" w:eastAsia="Cambria" w:hAnsi="Times New Roman" w:cs="Times New Roman"/>
                <w:color w:val="000000" w:themeColor="text1"/>
                <w:sz w:val="20"/>
                <w:szCs w:val="20"/>
              </w:rPr>
            </w:pPr>
          </w:p>
        </w:tc>
      </w:tr>
      <w:tr w:rsidR="00896468"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896468" w:rsidRDefault="00B31E50">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896468" w:rsidRDefault="00B31E50">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Kiegészítő szavatolótőke-iránymutatás </w:t>
            </w:r>
            <w:r>
              <w:rPr>
                <w:rStyle w:val="InstructionsTabelleberschrift"/>
                <w:rFonts w:ascii="Times New Roman" w:hAnsi="Times New Roman"/>
                <w:color w:val="000000" w:themeColor="text1"/>
                <w:szCs w:val="20"/>
              </w:rPr>
              <w:t>(IFREP I 02.01 r0120)</w:t>
            </w:r>
          </w:p>
          <w:p w14:paraId="4094919F" w14:textId="67C4E4FA" w:rsidR="00896468" w:rsidRDefault="00B31E50">
            <w:pPr>
              <w:pStyle w:val="P68B1DB1-TableParagraph17"/>
              <w:spacing w:before="108"/>
            </w:pPr>
            <w:r>
              <w:t>Az (EU) 2019/2034 irányelv 41. cikke.</w:t>
            </w:r>
          </w:p>
          <w:p w14:paraId="1EA34579" w14:textId="0DD98700" w:rsidR="00896468" w:rsidRDefault="00B31E50">
            <w:pPr>
              <w:pStyle w:val="P68B1DB1-TableParagraph17"/>
              <w:spacing w:before="108"/>
            </w:pPr>
            <w:r>
              <w:t>A kiegészítő szavatoló tőkére vonatkozó iránymutatásként előírt kiegészítő szavatoló</w:t>
            </w:r>
            <w:r w:rsidR="00082480">
              <w:t xml:space="preserve"> </w:t>
            </w:r>
            <w:r>
              <w:t>tőke.</w:t>
            </w:r>
          </w:p>
          <w:p w14:paraId="7FE1B736" w14:textId="77777777" w:rsidR="00896468" w:rsidRDefault="00896468">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896468" w:rsidRDefault="00896468">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896468" w:rsidRDefault="00896468">
      <w:pPr>
        <w:pStyle w:val="Instructionsberschrift3"/>
        <w:numPr>
          <w:ilvl w:val="0"/>
          <w:numId w:val="0"/>
        </w:numPr>
        <w:ind w:left="720" w:hanging="432"/>
      </w:pPr>
    </w:p>
    <w:p w14:paraId="7FE1B742" w14:textId="77777777" w:rsidR="00896468" w:rsidRDefault="00896468">
      <w:pPr>
        <w:pStyle w:val="Instructionsberschrift3"/>
        <w:numPr>
          <w:ilvl w:val="0"/>
          <w:numId w:val="0"/>
        </w:numPr>
        <w:ind w:left="720" w:hanging="432"/>
      </w:pPr>
    </w:p>
    <w:p w14:paraId="7FE1B743" w14:textId="77777777" w:rsidR="00896468" w:rsidRDefault="00896468">
      <w:pPr>
        <w:pStyle w:val="Instructionsberschrift3"/>
        <w:numPr>
          <w:ilvl w:val="0"/>
          <w:numId w:val="0"/>
        </w:numPr>
        <w:ind w:left="720" w:hanging="432"/>
      </w:pPr>
    </w:p>
    <w:p w14:paraId="7FE1B744" w14:textId="49BA0C03" w:rsidR="00896468" w:rsidRDefault="00896468">
      <w:pPr>
        <w:rPr>
          <w:rFonts w:ascii="Times New Roman" w:hAnsi="Times New Roman" w:cs="Times New Roman"/>
          <w:color w:val="000000" w:themeColor="text1"/>
          <w:sz w:val="20"/>
          <w:szCs w:val="20"/>
        </w:rPr>
      </w:pPr>
    </w:p>
    <w:p w14:paraId="7FE1B745" w14:textId="016BA1E4" w:rsidR="00896468" w:rsidRDefault="00B31E50">
      <w:pPr>
        <w:pStyle w:val="P68B1DB1-Instructionsberschrift25"/>
        <w:numPr>
          <w:ilvl w:val="1"/>
          <w:numId w:val="49"/>
        </w:numPr>
        <w:ind w:left="357" w:hanging="357"/>
      </w:pPr>
      <w:bookmarkStart w:id="62" w:name="_Toc492542324"/>
      <w:bookmarkStart w:id="63" w:name="_Toc81454182"/>
      <w:bookmarkStart w:id="64" w:name="_Toc210982870"/>
      <w:r>
        <w:t>Z 04.00 – Csoporton belüli pénzügyi kapcsolódások (LIAB 4)</w:t>
      </w:r>
      <w:bookmarkEnd w:id="62"/>
      <w:bookmarkEnd w:id="63"/>
      <w:bookmarkEnd w:id="64"/>
    </w:p>
    <w:p w14:paraId="7FE1B746" w14:textId="77777777" w:rsidR="00896468" w:rsidRDefault="00B31E50">
      <w:pPr>
        <w:pStyle w:val="Instructionsberschrift3"/>
      </w:pPr>
      <w:r>
        <w:t>Általános megjegyzések</w:t>
      </w:r>
    </w:p>
    <w:p w14:paraId="7FE1B747" w14:textId="7F99D3C5" w:rsidR="00896468" w:rsidRDefault="00B31E50">
      <w:pPr>
        <w:pStyle w:val="P68B1DB1-InstructionsText26"/>
        <w:numPr>
          <w:ilvl w:val="0"/>
          <w:numId w:val="232"/>
        </w:numPr>
        <w:spacing w:before="0"/>
      </w:pPr>
      <w:r>
        <w:t xml:space="preserve">Ebben a táblában a csoporton belüli kötelezettségekre, </w:t>
      </w:r>
      <w:r w:rsidR="00AF2F27">
        <w:t xml:space="preserve">tőkeinstrumentumokra </w:t>
      </w:r>
      <w:r>
        <w:t xml:space="preserve">és garanciákra vonatkozó információkat kell megadni. </w:t>
      </w:r>
    </w:p>
    <w:p w14:paraId="7FE1B748" w14:textId="4B5E328A" w:rsidR="00896468" w:rsidRDefault="00B31E50">
      <w:pPr>
        <w:pStyle w:val="P68B1DB1-InstructionsText26"/>
        <w:numPr>
          <w:ilvl w:val="0"/>
          <w:numId w:val="232"/>
        </w:numPr>
        <w:spacing w:before="0"/>
      </w:pPr>
      <w:r>
        <w:t>A konszolidált pénzügyi kimutatásokban szereplő szervezetek közötti összes pénzügyi kapcsolódást fel kell tüntetni. A jelentett összegeket összesíteni kell, amennyiben azok ugyanazon partnerekre (kibocsátó vagy garantált intézmény, hitelező, tulajdonos vagy garancianyújtó) és ugyanazon kötelezettség-, tőkeinstrumentum- vagy garanciatípusokra vonatkoznak.</w:t>
      </w:r>
    </w:p>
    <w:p w14:paraId="7FE1B749" w14:textId="77777777" w:rsidR="00896468" w:rsidRDefault="00B31E50">
      <w:pPr>
        <w:pStyle w:val="P68B1DB1-InstructionsText26"/>
        <w:numPr>
          <w:ilvl w:val="0"/>
          <w:numId w:val="232"/>
        </w:numPr>
        <w:spacing w:before="0"/>
      </w:pPr>
      <w:r>
        <w:t>Az e tábla 0020., 0040. és 0050. oszlopában feltüntetett értékek kombinációja elsődleges kulcsot képez, amelynek a tábla minden sorát egyedileg kell azonosítania.</w:t>
      </w:r>
    </w:p>
    <w:p w14:paraId="7FE1B74A" w14:textId="77777777" w:rsidR="00896468" w:rsidRDefault="00B31E50">
      <w:pPr>
        <w:pStyle w:val="P68B1DB1-Instructionsberschrift312"/>
      </w:pPr>
      <w:r>
        <w:t>A táblák egyes részeire vonatkozó útmutatások</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896468"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896468" w:rsidRDefault="00B31E50">
            <w:pPr>
              <w:pStyle w:val="P68B1DB1-TableParagraph13"/>
              <w:spacing w:before="66"/>
              <w:rPr>
                <w:rFonts w:eastAsia="Cambria"/>
              </w:rPr>
            </w:pPr>
            <w:r>
              <w:t>Oszlopok</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896468" w:rsidRDefault="00B31E50">
            <w:pPr>
              <w:pStyle w:val="P68B1DB1-TableParagraph13"/>
              <w:spacing w:before="66"/>
              <w:ind w:right="1"/>
              <w:jc w:val="center"/>
              <w:rPr>
                <w:rFonts w:eastAsia="Cambria"/>
              </w:rPr>
            </w:pPr>
            <w:r>
              <w:t>Útmutató</w:t>
            </w:r>
          </w:p>
        </w:tc>
      </w:tr>
      <w:tr w:rsidR="00896468"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896468" w:rsidRDefault="00B31E50">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896468" w:rsidRDefault="00B31E50">
            <w:pPr>
              <w:pStyle w:val="P68B1DB1-TableParagraph14"/>
              <w:spacing w:before="108"/>
              <w:ind w:left="85"/>
              <w:jc w:val="both"/>
              <w:rPr>
                <w:bCs/>
              </w:rPr>
            </w:pPr>
            <w:r>
              <w:t>Kibocsátó vagy garantált szervezet</w:t>
            </w:r>
          </w:p>
          <w:p w14:paraId="7FE1B750" w14:textId="77777777" w:rsidR="00896468" w:rsidRDefault="00B31E50">
            <w:pPr>
              <w:pStyle w:val="P68B1DB1-TableParagraph17"/>
              <w:spacing w:before="108"/>
              <w:ind w:left="85"/>
              <w:jc w:val="both"/>
            </w:pPr>
            <w:r>
              <w:t>A kötelezettségeket vagy tőkeinstrumentumokat kibocsátó szervezet vagy a garantált szervezet.</w:t>
            </w:r>
          </w:p>
        </w:tc>
      </w:tr>
      <w:tr w:rsidR="00896468"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896468" w:rsidRDefault="00B31E50">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896468" w:rsidRDefault="00B31E50">
            <w:pPr>
              <w:pStyle w:val="P68B1DB1-TableParagraph14"/>
              <w:spacing w:before="108"/>
              <w:ind w:left="85"/>
              <w:jc w:val="both"/>
              <w:rPr>
                <w:bCs/>
              </w:rPr>
            </w:pPr>
            <w:r>
              <w:t xml:space="preserve">Szervezet neve </w:t>
            </w:r>
          </w:p>
          <w:p w14:paraId="7FE1B754" w14:textId="77777777" w:rsidR="00896468" w:rsidRDefault="00B31E50">
            <w:pPr>
              <w:pStyle w:val="P68B1DB1-TableParagraph17"/>
              <w:spacing w:before="108"/>
              <w:ind w:left="85"/>
              <w:jc w:val="both"/>
            </w:pPr>
            <w:r>
              <w:t xml:space="preserve">Nem lehet azonos a 0030. oszlopban megadott névvel. </w:t>
            </w:r>
          </w:p>
        </w:tc>
      </w:tr>
      <w:tr w:rsidR="00896468"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896468" w:rsidRDefault="00B31E50">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896468" w:rsidRDefault="00B31E50">
            <w:pPr>
              <w:pStyle w:val="P68B1DB1-TableParagraph14"/>
              <w:spacing w:before="108"/>
              <w:ind w:left="85"/>
              <w:jc w:val="both"/>
              <w:rPr>
                <w:bCs/>
              </w:rPr>
            </w:pPr>
            <w:r>
              <w:t>Kód</w:t>
            </w:r>
          </w:p>
          <w:p w14:paraId="22E99FB3" w14:textId="77777777" w:rsidR="00896468" w:rsidRDefault="00B31E50">
            <w:pPr>
              <w:pStyle w:val="P68B1DB1-TableParagraph17"/>
              <w:spacing w:before="108"/>
              <w:ind w:left="85"/>
              <w:jc w:val="both"/>
            </w:pPr>
            <w:r>
              <w:t xml:space="preserve">A kibocsátó vagy a garantált szervezet kódja. </w:t>
            </w:r>
          </w:p>
          <w:p w14:paraId="4BE5BA2E" w14:textId="5E7AE5A4" w:rsidR="00896468" w:rsidRDefault="00B31E50">
            <w:pPr>
              <w:pStyle w:val="P68B1DB1-TableParagraph17"/>
              <w:spacing w:before="108"/>
              <w:ind w:left="85"/>
              <w:jc w:val="both"/>
            </w:pPr>
            <w:r>
              <w:t>Jogalany-azonosítóval (LEI) rendelkező intézmények esetében a 20 jegyű alfanumerikus LEI-kód;</w:t>
            </w:r>
          </w:p>
          <w:p w14:paraId="7FE1B758" w14:textId="458CE8E3" w:rsidR="00896468" w:rsidRDefault="00B31E50">
            <w:pPr>
              <w:pStyle w:val="P68B1DB1-TableParagraph17"/>
              <w:spacing w:before="108"/>
              <w:ind w:left="85"/>
              <w:jc w:val="both"/>
            </w:pPr>
            <w:r>
              <w:t>Ha nem áll rendelkezésre, használja az MPI-kódot vagy az Unióban alkalmazandó egységes kódot.</w:t>
            </w:r>
          </w:p>
          <w:p w14:paraId="7FE1B759" w14:textId="77777777" w:rsidR="00896468" w:rsidRDefault="00B31E50">
            <w:pPr>
              <w:pStyle w:val="P68B1DB1-TableParagraph17"/>
              <w:spacing w:before="108"/>
              <w:ind w:left="85"/>
              <w:jc w:val="both"/>
            </w:pPr>
            <w:r>
              <w:t>A kódnak egyedinek kell lennie, és azt valamennyi táblán következetesen kell használni.</w:t>
            </w:r>
          </w:p>
          <w:p w14:paraId="7FE1B75A" w14:textId="77777777" w:rsidR="00896468" w:rsidRDefault="00B31E50">
            <w:pPr>
              <w:pStyle w:val="P68B1DB1-TableParagraph17"/>
              <w:spacing w:before="108"/>
              <w:ind w:left="85"/>
              <w:jc w:val="both"/>
            </w:pPr>
            <w:r>
              <w:t>Nem lehet azonos a 0040. oszlopban megadott kóddal.</w:t>
            </w:r>
          </w:p>
          <w:p w14:paraId="7FE1B75B" w14:textId="77777777" w:rsidR="00896468" w:rsidRDefault="00896468">
            <w:pPr>
              <w:pStyle w:val="TableParagraph"/>
              <w:spacing w:before="108"/>
              <w:ind w:left="85"/>
              <w:jc w:val="both"/>
              <w:rPr>
                <w:rFonts w:ascii="Times New Roman" w:eastAsia="Cambria" w:hAnsi="Times New Roman" w:cs="Times New Roman"/>
                <w:color w:val="000000" w:themeColor="text1"/>
                <w:sz w:val="20"/>
                <w:szCs w:val="20"/>
              </w:rPr>
            </w:pPr>
          </w:p>
        </w:tc>
      </w:tr>
      <w:tr w:rsidR="00896468"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896468" w:rsidRDefault="00B31E50">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896468" w:rsidRDefault="00B31E50">
            <w:pPr>
              <w:pStyle w:val="P68B1DB1-TableParagraph14"/>
              <w:spacing w:before="108"/>
              <w:ind w:left="85"/>
              <w:jc w:val="both"/>
              <w:rPr>
                <w:bCs/>
              </w:rPr>
            </w:pPr>
            <w:r>
              <w:t>Kód típusa</w:t>
            </w:r>
          </w:p>
          <w:p w14:paraId="7FE1B75F" w14:textId="2A2E5952" w:rsidR="00896468" w:rsidRDefault="00B31E50">
            <w:pPr>
              <w:pStyle w:val="P68B1DB1-TableParagraph13"/>
              <w:spacing w:before="108"/>
              <w:ind w:left="85"/>
              <w:jc w:val="both"/>
              <w:rPr>
                <w:bCs/>
              </w:rPr>
            </w:pPr>
            <w:r>
              <w:t xml:space="preserve">A kódnak meg kell egyeznie a Z 01.01 (ORG 1) táblában megadott kóddal. </w:t>
            </w:r>
          </w:p>
          <w:p w14:paraId="7FE1B761" w14:textId="635A8A91" w:rsidR="00896468" w:rsidRDefault="00B31E50">
            <w:pPr>
              <w:pStyle w:val="P68B1DB1-TableParagraph13"/>
              <w:spacing w:before="108"/>
              <w:ind w:left="85"/>
              <w:jc w:val="both"/>
              <w:rPr>
                <w:bCs/>
              </w:rPr>
            </w:pPr>
            <w:r>
              <w:t>A következő listából választandó: „LEI-kód”, „MPI-kód” vagy „Az azonosító típusa, a LEI- vagy MPI-kód kivételével.</w:t>
            </w:r>
          </w:p>
          <w:p w14:paraId="7FE1B762" w14:textId="7DC0A5C1" w:rsidR="00896468" w:rsidRDefault="00B31E50">
            <w:pPr>
              <w:pStyle w:val="P68B1DB1-TableParagraph13"/>
              <w:spacing w:before="108"/>
              <w:ind w:left="85"/>
              <w:jc w:val="both"/>
              <w:rPr>
                <w:b/>
                <w:bCs/>
              </w:rPr>
            </w:pPr>
            <w:r>
              <w:t xml:space="preserve">A </w:t>
            </w:r>
            <w:r w:rsidR="003D76BA">
              <w:t>szervezetek</w:t>
            </w:r>
            <w:r>
              <w:t xml:space="preserve"> vagy </w:t>
            </w:r>
            <w:r w:rsidR="003D76BA">
              <w:t>b</w:t>
            </w:r>
            <w:r w:rsidR="003D76BA" w:rsidRPr="003D76BA">
              <w:t>efektetés tárgyát képező szervezet</w:t>
            </w:r>
            <w:r w:rsidR="003D76BA">
              <w:t xml:space="preserve">ek </w:t>
            </w:r>
            <w:r>
              <w:t xml:space="preserve">azonosításához a táblákban a kód- és típuspárt </w:t>
            </w:r>
            <w:r w:rsidR="003D76BA">
              <w:t xml:space="preserve">következetesen </w:t>
            </w:r>
            <w:r>
              <w:t xml:space="preserve">kell </w:t>
            </w:r>
            <w:r w:rsidR="003D76BA">
              <w:t>alkalmazni</w:t>
            </w:r>
            <w:r>
              <w:t>.</w:t>
            </w:r>
          </w:p>
        </w:tc>
      </w:tr>
      <w:tr w:rsidR="00896468"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896468" w:rsidRDefault="00B31E50">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896468" w:rsidRDefault="00B31E50">
            <w:pPr>
              <w:pStyle w:val="P68B1DB1-TableParagraph14"/>
              <w:spacing w:before="108"/>
              <w:ind w:left="85"/>
              <w:jc w:val="both"/>
              <w:rPr>
                <w:bCs/>
              </w:rPr>
            </w:pPr>
            <w:r>
              <w:t>Hitelező, tulajdonos vagy garancianyújtó</w:t>
            </w:r>
          </w:p>
          <w:p w14:paraId="7FE1B766" w14:textId="77777777" w:rsidR="00896468" w:rsidRDefault="00B31E50">
            <w:pPr>
              <w:pStyle w:val="P68B1DB1-TableParagraph17"/>
              <w:spacing w:before="108"/>
              <w:ind w:left="85"/>
              <w:jc w:val="both"/>
            </w:pPr>
            <w:r>
              <w:t>Az a jogi személy, amely a kötelezettség tekintetében hitelező, vagy a tőkeinstrumentum tulajdonosa vagy a garancia nyújtója.</w:t>
            </w:r>
          </w:p>
        </w:tc>
      </w:tr>
      <w:tr w:rsidR="00896468"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896468" w:rsidRDefault="00B31E50">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896468" w:rsidRDefault="00B31E50">
            <w:pPr>
              <w:pStyle w:val="P68B1DB1-TableParagraph14"/>
              <w:spacing w:before="108"/>
              <w:ind w:left="85"/>
              <w:jc w:val="both"/>
              <w:rPr>
                <w:bCs/>
              </w:rPr>
            </w:pPr>
            <w:r>
              <w:t xml:space="preserve">Szervezet neve </w:t>
            </w:r>
          </w:p>
          <w:p w14:paraId="7FE1B76A" w14:textId="77777777" w:rsidR="00896468" w:rsidRDefault="00B31E50">
            <w:pPr>
              <w:pStyle w:val="P68B1DB1-TableParagraph17"/>
              <w:spacing w:before="108"/>
              <w:ind w:left="85"/>
              <w:jc w:val="both"/>
            </w:pPr>
            <w:r>
              <w:t xml:space="preserve">Nem lehet azonos a 0010. oszlopban megadott névvel. </w:t>
            </w:r>
          </w:p>
        </w:tc>
      </w:tr>
      <w:tr w:rsidR="00896468"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896468" w:rsidRDefault="00B31E50">
            <w:pPr>
              <w:pStyle w:val="P68B1DB1-TableParagraph13"/>
              <w:spacing w:before="106"/>
              <w:ind w:left="-1"/>
            </w:pPr>
            <w:r>
              <w:lastRenderedPageBreak/>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896468" w:rsidRDefault="00B31E50">
            <w:pPr>
              <w:pStyle w:val="P68B1DB1-TableParagraph14"/>
              <w:spacing w:before="108"/>
              <w:ind w:left="85"/>
              <w:jc w:val="both"/>
              <w:rPr>
                <w:bCs/>
              </w:rPr>
            </w:pPr>
            <w:r>
              <w:t>Kód</w:t>
            </w:r>
          </w:p>
          <w:p w14:paraId="07AEB6DE" w14:textId="77777777" w:rsidR="00896468" w:rsidRDefault="00B31E50">
            <w:pPr>
              <w:pStyle w:val="P68B1DB1-TableParagraph17"/>
              <w:spacing w:before="108"/>
              <w:ind w:left="85"/>
              <w:jc w:val="both"/>
            </w:pPr>
            <w:r>
              <w:t xml:space="preserve">A hitelező, tulajdonos vagy garancianyújtó kódja. </w:t>
            </w:r>
          </w:p>
          <w:p w14:paraId="706B20DB" w14:textId="77777777" w:rsidR="00896468" w:rsidRDefault="00B31E50">
            <w:pPr>
              <w:pStyle w:val="P68B1DB1-TableParagraph17"/>
              <w:spacing w:before="108"/>
              <w:ind w:left="85"/>
              <w:jc w:val="both"/>
            </w:pPr>
            <w:r>
              <w:t>Jogalany-azonosítóval (LEI) rendelkező intézmények esetében a 20 jegyű alfanumerikus LEI-kód;</w:t>
            </w:r>
          </w:p>
          <w:p w14:paraId="69DCA339" w14:textId="67781040" w:rsidR="00896468" w:rsidRDefault="00B31E50">
            <w:pPr>
              <w:pStyle w:val="P68B1DB1-TableParagraph17"/>
              <w:spacing w:before="108"/>
              <w:ind w:left="85"/>
              <w:jc w:val="both"/>
            </w:pPr>
            <w:r>
              <w:t>Ha nem áll rendelkezésre, használja az MPI-kódot vagy az Unióban alkalmazandó egységes kódot.</w:t>
            </w:r>
          </w:p>
          <w:p w14:paraId="7FE1B76F" w14:textId="02D6147D" w:rsidR="00896468" w:rsidRDefault="00B31E50">
            <w:pPr>
              <w:pStyle w:val="P68B1DB1-TableParagraph17"/>
              <w:spacing w:before="108"/>
              <w:ind w:left="85"/>
              <w:jc w:val="both"/>
            </w:pPr>
            <w:r>
              <w:t>A kódnak egyedinek kell lennie, és azt valamennyi táblán következetesen kell használni.</w:t>
            </w:r>
          </w:p>
          <w:p w14:paraId="1E86BFA0" w14:textId="77777777" w:rsidR="00896468" w:rsidRDefault="00B31E50">
            <w:pPr>
              <w:pStyle w:val="P68B1DB1-TableParagraph17"/>
              <w:spacing w:before="108"/>
              <w:ind w:left="85"/>
              <w:jc w:val="both"/>
            </w:pPr>
            <w:r>
              <w:t>Nem lehet azonos a 0020. oszlopban megadott kóddal.</w:t>
            </w:r>
          </w:p>
          <w:p w14:paraId="7FE1B770" w14:textId="67E3A3C2" w:rsidR="00896468" w:rsidRDefault="00B31E50">
            <w:pPr>
              <w:pStyle w:val="P68B1DB1-TableParagraph13"/>
              <w:spacing w:before="108"/>
              <w:ind w:left="85"/>
              <w:jc w:val="both"/>
              <w:rPr>
                <w:rFonts w:eastAsia="Cambria"/>
              </w:rPr>
            </w:pPr>
            <w:r>
              <w:t xml:space="preserve">Amennyiben a </w:t>
            </w:r>
            <w:r w:rsidR="003D76BA">
              <w:t>hitelező</w:t>
            </w:r>
            <w:r>
              <w:t>, tulajdonos vagy garancia</w:t>
            </w:r>
            <w:r w:rsidR="003D76BA">
              <w:t>nyújtó</w:t>
            </w:r>
            <w:r>
              <w:t xml:space="preserve"> a csoporthoz tartozó </w:t>
            </w:r>
            <w:r w:rsidR="003D76BA">
              <w:t>szervezet</w:t>
            </w:r>
            <w:r>
              <w:t xml:space="preserve">, a kódnak meg kell egyeznie a Z 01.01 (ORG 1) táblában feltüntetett kóddal. A </w:t>
            </w:r>
            <w:r w:rsidR="00781C4E" w:rsidRPr="00781C4E">
              <w:t xml:space="preserve">szervezetek vagy befektetés tárgyát képező szervezetek </w:t>
            </w:r>
            <w:r>
              <w:t xml:space="preserve">azonosításához a táblákban a kód- és típuspárt </w:t>
            </w:r>
            <w:r w:rsidR="00781C4E">
              <w:t xml:space="preserve">következetesen </w:t>
            </w:r>
            <w:r>
              <w:t xml:space="preserve">kell </w:t>
            </w:r>
            <w:r w:rsidR="00781C4E">
              <w:t>alkalmazni</w:t>
            </w:r>
            <w:r>
              <w:t>.</w:t>
            </w:r>
          </w:p>
        </w:tc>
      </w:tr>
      <w:tr w:rsidR="00896468"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896468" w:rsidRDefault="00B31E50">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896468" w:rsidRDefault="00B31E50">
            <w:pPr>
              <w:pStyle w:val="P68B1DB1-TableParagraph14"/>
              <w:spacing w:before="108"/>
              <w:ind w:left="85"/>
              <w:jc w:val="both"/>
              <w:rPr>
                <w:bCs/>
              </w:rPr>
            </w:pPr>
            <w:r>
              <w:t>Kód típusa</w:t>
            </w:r>
          </w:p>
          <w:p w14:paraId="00DFF190" w14:textId="04144C55" w:rsidR="00896468" w:rsidRDefault="00896468">
            <w:pPr>
              <w:pStyle w:val="TableParagraph"/>
              <w:spacing w:before="108"/>
              <w:ind w:left="85"/>
              <w:jc w:val="both"/>
              <w:rPr>
                <w:rFonts w:ascii="Times New Roman" w:hAnsi="Times New Roman" w:cs="Times New Roman"/>
                <w:bCs/>
                <w:color w:val="000000" w:themeColor="text1"/>
                <w:sz w:val="20"/>
                <w:szCs w:val="20"/>
              </w:rPr>
            </w:pPr>
          </w:p>
          <w:p w14:paraId="1CBCA0DC" w14:textId="04764F45" w:rsidR="00896468" w:rsidRDefault="00B31E50">
            <w:pPr>
              <w:pStyle w:val="P68B1DB1-TableParagraph13"/>
              <w:spacing w:before="108" w:line="276" w:lineRule="auto"/>
              <w:ind w:left="85"/>
              <w:jc w:val="both"/>
              <w:rPr>
                <w:color w:val="000000"/>
              </w:rPr>
            </w:pPr>
            <w:bookmarkStart w:id="65" w:name="_Hlk191377037"/>
            <w:r>
              <w:t>A következő listából választandó: „LEI-kód”, „MPI-kód” vagy „Az azonosító típusa, a LEI- vagy MPI-kód kivételével”.</w:t>
            </w:r>
            <w:bookmarkEnd w:id="65"/>
          </w:p>
          <w:p w14:paraId="072CFC22" w14:textId="7B94F65F" w:rsidR="00896468" w:rsidRDefault="00B31E50">
            <w:pPr>
              <w:pStyle w:val="P68B1DB1-TableParagraph13"/>
              <w:spacing w:before="108" w:line="276" w:lineRule="auto"/>
              <w:ind w:left="85"/>
              <w:jc w:val="both"/>
              <w:rPr>
                <w:color w:val="000000"/>
              </w:rPr>
            </w:pPr>
            <w:r>
              <w:t>A kód típusát mindig fel kell tüntetni.</w:t>
            </w:r>
          </w:p>
          <w:p w14:paraId="63D16443" w14:textId="75EB4CDB" w:rsidR="00896468" w:rsidRDefault="00B31E50">
            <w:pPr>
              <w:pStyle w:val="P68B1DB1-TableParagraph13"/>
              <w:spacing w:before="108" w:line="276" w:lineRule="auto"/>
              <w:ind w:left="85"/>
              <w:jc w:val="both"/>
              <w:rPr>
                <w:color w:val="000000"/>
              </w:rPr>
            </w:pPr>
            <w:r>
              <w:t xml:space="preserve">Amennyiben a hitelező, </w:t>
            </w:r>
            <w:r w:rsidR="00F87DB2">
              <w:t xml:space="preserve">tulajdonos </w:t>
            </w:r>
            <w:r>
              <w:t xml:space="preserve">vagy garancianyújtó nem a csoporthoz tartozó </w:t>
            </w:r>
            <w:r w:rsidR="00F87DB2">
              <w:t>szervezet</w:t>
            </w:r>
            <w:r>
              <w:t>, a kódtípusnak lehetőleg a LEI-kódnak kell lennie.</w:t>
            </w:r>
          </w:p>
          <w:p w14:paraId="7FE1B777" w14:textId="69660BC3" w:rsidR="00896468" w:rsidRDefault="00896468">
            <w:pPr>
              <w:pStyle w:val="TableParagraph"/>
              <w:spacing w:before="108"/>
              <w:ind w:left="85"/>
              <w:jc w:val="both"/>
              <w:rPr>
                <w:rFonts w:ascii="Times New Roman" w:hAnsi="Times New Roman" w:cs="Times New Roman"/>
                <w:b/>
                <w:bCs/>
                <w:color w:val="000000" w:themeColor="text1"/>
                <w:sz w:val="20"/>
                <w:szCs w:val="20"/>
              </w:rPr>
            </w:pPr>
          </w:p>
        </w:tc>
      </w:tr>
      <w:tr w:rsidR="00896468"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896468" w:rsidRDefault="00B31E50">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896468" w:rsidRDefault="00B31E50">
            <w:pPr>
              <w:pStyle w:val="P68B1DB1-TableParagraph14"/>
              <w:spacing w:before="108"/>
              <w:ind w:left="85"/>
              <w:jc w:val="both"/>
              <w:rPr>
                <w:bCs/>
              </w:rPr>
            </w:pPr>
            <w:r>
              <w:t>Pénzügyi kapcsolódás</w:t>
            </w:r>
          </w:p>
          <w:p w14:paraId="7FE1B77B" w14:textId="4593677C" w:rsidR="00896468" w:rsidRDefault="00B31E50">
            <w:pPr>
              <w:pStyle w:val="P68B1DB1-TableParagraph17"/>
              <w:spacing w:before="108"/>
              <w:ind w:left="85"/>
              <w:jc w:val="both"/>
            </w:pPr>
            <w:r>
              <w:t>Ebben a mezőben kell leírni a</w:t>
            </w:r>
            <w:r w:rsidR="00E45002">
              <w:t>z összes</w:t>
            </w:r>
            <w:r>
              <w:t xml:space="preserve"> </w:t>
            </w:r>
            <w:r w:rsidR="00E45002">
              <w:t>szervezet</w:t>
            </w:r>
            <w:r>
              <w:t xml:space="preserve"> közötti pénzügyi </w:t>
            </w:r>
            <w:r w:rsidR="00E45002">
              <w:t>kapcsolódásokat</w:t>
            </w:r>
            <w:r>
              <w:t>.</w:t>
            </w:r>
          </w:p>
        </w:tc>
      </w:tr>
      <w:tr w:rsidR="00896468"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896468" w:rsidRDefault="00B31E50">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896468" w:rsidRDefault="00B31E50">
            <w:pPr>
              <w:pStyle w:val="P68B1DB1-TableParagraph14"/>
              <w:spacing w:before="108"/>
              <w:ind w:left="85"/>
              <w:jc w:val="both"/>
              <w:rPr>
                <w:bCs/>
              </w:rPr>
            </w:pPr>
            <w:r>
              <w:t>Típus</w:t>
            </w:r>
          </w:p>
          <w:p w14:paraId="7FE1B77F" w14:textId="77777777" w:rsidR="00896468" w:rsidRDefault="00B31E50">
            <w:pPr>
              <w:pStyle w:val="P68B1DB1-TableParagraph17"/>
              <w:spacing w:before="108"/>
              <w:ind w:left="85"/>
              <w:jc w:val="both"/>
            </w:pPr>
            <w:r>
              <w:t>A következő listából választandó:</w:t>
            </w:r>
          </w:p>
          <w:p w14:paraId="7FE1B780" w14:textId="77777777" w:rsidR="00896468" w:rsidRDefault="00B31E50">
            <w:pPr>
              <w:pStyle w:val="P68B1DB1-TableParagraph24"/>
              <w:spacing w:before="108"/>
              <w:ind w:left="85"/>
              <w:jc w:val="both"/>
            </w:pPr>
            <w:r>
              <w:t>Csoporton belüli kötelezettségek</w:t>
            </w:r>
          </w:p>
          <w:p w14:paraId="7FE1B781" w14:textId="77777777" w:rsidR="00896468" w:rsidRDefault="00896468">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896468" w:rsidRDefault="00B31E50">
            <w:pPr>
              <w:pStyle w:val="P68B1DB1-ListParagraph25"/>
              <w:numPr>
                <w:ilvl w:val="0"/>
                <w:numId w:val="54"/>
              </w:numPr>
              <w:autoSpaceDE w:val="0"/>
              <w:autoSpaceDN w:val="0"/>
              <w:adjustRightInd w:val="0"/>
              <w:ind w:left="539" w:hanging="454"/>
              <w:contextualSpacing/>
              <w:jc w:val="both"/>
            </w:pPr>
            <w:r>
              <w:t xml:space="preserve">A hitelezői feltőkésítésből kizárt kötelezettségek </w:t>
            </w:r>
          </w:p>
          <w:p w14:paraId="7FE1B783" w14:textId="047CAF02" w:rsidR="00896468" w:rsidRDefault="00B31E50">
            <w:pPr>
              <w:pStyle w:val="P68B1DB1-ListParagraph25"/>
              <w:autoSpaceDE w:val="0"/>
              <w:autoSpaceDN w:val="0"/>
              <w:adjustRightInd w:val="0"/>
              <w:ind w:left="539"/>
              <w:contextualSpacing/>
              <w:jc w:val="both"/>
            </w:pPr>
            <w:r>
              <w:t>Ugyanaz a meghatározás, mint a Z 02.00 (LIAB 1), 0100. sorában</w:t>
            </w:r>
          </w:p>
          <w:p w14:paraId="7FE1B784" w14:textId="77777777" w:rsidR="00896468" w:rsidRDefault="00B31E50">
            <w:pPr>
              <w:pStyle w:val="P68B1DB1-ListParagraph25"/>
              <w:numPr>
                <w:ilvl w:val="0"/>
                <w:numId w:val="54"/>
              </w:numPr>
              <w:autoSpaceDE w:val="0"/>
              <w:autoSpaceDN w:val="0"/>
              <w:adjustRightInd w:val="0"/>
              <w:ind w:left="539" w:hanging="454"/>
              <w:contextualSpacing/>
              <w:jc w:val="both"/>
            </w:pPr>
            <w:r>
              <w:t>Nem biztosított, de elsőbbségi betétek</w:t>
            </w:r>
          </w:p>
          <w:p w14:paraId="7FE1B785" w14:textId="69E9007C" w:rsidR="00896468" w:rsidRDefault="00B31E50">
            <w:pPr>
              <w:pStyle w:val="P68B1DB1-ListParagraph25"/>
              <w:autoSpaceDE w:val="0"/>
              <w:autoSpaceDN w:val="0"/>
              <w:adjustRightInd w:val="0"/>
              <w:ind w:left="539"/>
              <w:jc w:val="both"/>
            </w:pPr>
            <w:r>
              <w:t>Ugyanaz a meghatározás, mint a Z 02.00 (LIAB 1), 0310. sorában</w:t>
            </w:r>
          </w:p>
          <w:p w14:paraId="7FE1B786" w14:textId="77777777" w:rsidR="00896468" w:rsidRDefault="00B31E50">
            <w:pPr>
              <w:pStyle w:val="P68B1DB1-ListParagraph25"/>
              <w:numPr>
                <w:ilvl w:val="0"/>
                <w:numId w:val="54"/>
              </w:numPr>
              <w:autoSpaceDE w:val="0"/>
              <w:autoSpaceDN w:val="0"/>
              <w:adjustRightInd w:val="0"/>
              <w:ind w:left="539" w:hanging="454"/>
              <w:contextualSpacing/>
              <w:jc w:val="both"/>
            </w:pPr>
            <w:r>
              <w:t>Nem biztosított és nem elsőbbségi betétek</w:t>
            </w:r>
          </w:p>
          <w:p w14:paraId="7FE1B787" w14:textId="4FA7AC10" w:rsidR="00896468" w:rsidRDefault="00B31E50">
            <w:pPr>
              <w:pStyle w:val="P68B1DB1-ListParagraph25"/>
              <w:autoSpaceDE w:val="0"/>
              <w:autoSpaceDN w:val="0"/>
              <w:adjustRightInd w:val="0"/>
              <w:ind w:left="539"/>
              <w:jc w:val="both"/>
            </w:pPr>
            <w:r>
              <w:t>Ugyanaz a meghatározás, mint a Z 02.00 (LIAB 1), 0320. sorában</w:t>
            </w:r>
          </w:p>
          <w:p w14:paraId="7FE1B788" w14:textId="77777777" w:rsidR="00896468" w:rsidRDefault="00B31E50">
            <w:pPr>
              <w:pStyle w:val="P68B1DB1-ListParagraph25"/>
              <w:numPr>
                <w:ilvl w:val="0"/>
                <w:numId w:val="54"/>
              </w:numPr>
              <w:autoSpaceDE w:val="0"/>
              <w:autoSpaceDN w:val="0"/>
              <w:adjustRightInd w:val="0"/>
              <w:ind w:left="539" w:hanging="454"/>
              <w:contextualSpacing/>
              <w:jc w:val="both"/>
            </w:pPr>
            <w:r>
              <w:t>Származtatott ügyletekből eredő kötelezettségek (lezárási összegek)</w:t>
            </w:r>
          </w:p>
          <w:p w14:paraId="7FE1B789" w14:textId="5DAB7051" w:rsidR="00896468" w:rsidRDefault="00B31E50">
            <w:pPr>
              <w:pStyle w:val="P68B1DB1-ListParagraph25"/>
              <w:autoSpaceDE w:val="0"/>
              <w:autoSpaceDN w:val="0"/>
              <w:adjustRightInd w:val="0"/>
              <w:ind w:left="539"/>
              <w:jc w:val="both"/>
            </w:pPr>
            <w:r>
              <w:t>Ugyanaz a meghatározás, mint a Z 02.00 (LIAB 1), 0330. sorában</w:t>
            </w:r>
          </w:p>
          <w:p w14:paraId="7FE1B78A" w14:textId="77777777" w:rsidR="00896468" w:rsidRDefault="00B31E50">
            <w:pPr>
              <w:pStyle w:val="P68B1DB1-ListParagraph25"/>
              <w:numPr>
                <w:ilvl w:val="0"/>
                <w:numId w:val="54"/>
              </w:numPr>
              <w:autoSpaceDE w:val="0"/>
              <w:autoSpaceDN w:val="0"/>
              <w:adjustRightInd w:val="0"/>
              <w:ind w:left="539" w:hanging="454"/>
              <w:contextualSpacing/>
              <w:jc w:val="both"/>
            </w:pPr>
            <w:r>
              <w:t>Biztosítékkal fedezett kötelezettségek – nem fedezett rész</w:t>
            </w:r>
          </w:p>
          <w:p w14:paraId="7FE1B78B" w14:textId="5B0021F4" w:rsidR="00896468" w:rsidRDefault="00B31E50">
            <w:pPr>
              <w:pStyle w:val="P68B1DB1-ListParagraph25"/>
              <w:autoSpaceDE w:val="0"/>
              <w:autoSpaceDN w:val="0"/>
              <w:adjustRightInd w:val="0"/>
              <w:ind w:left="539"/>
              <w:jc w:val="both"/>
            </w:pPr>
            <w:r>
              <w:t>Ugyanaz a meghatározás, mint a Z 02.00 (LIAB 1), 0340. sorában</w:t>
            </w:r>
          </w:p>
          <w:p w14:paraId="7FE1B78C" w14:textId="77777777" w:rsidR="00896468" w:rsidRDefault="00B31E50">
            <w:pPr>
              <w:pStyle w:val="P68B1DB1-ListParagraph25"/>
              <w:numPr>
                <w:ilvl w:val="0"/>
                <w:numId w:val="54"/>
              </w:numPr>
              <w:autoSpaceDE w:val="0"/>
              <w:autoSpaceDN w:val="0"/>
              <w:adjustRightInd w:val="0"/>
              <w:ind w:left="539" w:hanging="454"/>
              <w:contextualSpacing/>
              <w:jc w:val="both"/>
            </w:pPr>
            <w:r>
              <w:t>Strukturált értékpapírok</w:t>
            </w:r>
          </w:p>
          <w:p w14:paraId="7FE1B78D" w14:textId="7DF4D7F4" w:rsidR="00896468" w:rsidRDefault="00B31E50">
            <w:pPr>
              <w:pStyle w:val="P68B1DB1-ListParagraph25"/>
              <w:autoSpaceDE w:val="0"/>
              <w:autoSpaceDN w:val="0"/>
              <w:adjustRightInd w:val="0"/>
              <w:ind w:left="539"/>
              <w:jc w:val="both"/>
            </w:pPr>
            <w:r>
              <w:t>Ugyanaz a meghatározás, mint a Z 02.00 (LIAB 1), 0350. sorában</w:t>
            </w:r>
          </w:p>
          <w:p w14:paraId="7FE1B78E" w14:textId="77777777" w:rsidR="00896468" w:rsidRDefault="00B31E50">
            <w:pPr>
              <w:pStyle w:val="P68B1DB1-ListParagraph25"/>
              <w:numPr>
                <w:ilvl w:val="0"/>
                <w:numId w:val="54"/>
              </w:numPr>
              <w:autoSpaceDE w:val="0"/>
              <w:autoSpaceDN w:val="0"/>
              <w:adjustRightInd w:val="0"/>
              <w:ind w:left="539" w:hanging="454"/>
              <w:contextualSpacing/>
              <w:jc w:val="both"/>
            </w:pPr>
            <w:r>
              <w:t>Előresorolt, biztosítékkal nem fedezett kötelezettségek</w:t>
            </w:r>
          </w:p>
          <w:p w14:paraId="7FE1B78F" w14:textId="67CE577E" w:rsidR="00896468" w:rsidRDefault="00B31E50">
            <w:pPr>
              <w:pStyle w:val="P68B1DB1-ListParagraph25"/>
              <w:autoSpaceDE w:val="0"/>
              <w:autoSpaceDN w:val="0"/>
              <w:adjustRightInd w:val="0"/>
              <w:ind w:left="539"/>
              <w:jc w:val="both"/>
            </w:pPr>
            <w:r>
              <w:t>Ugyanaz a meghatározás, mint a Z 02.00 (LIAB 1), 0360. sorában</w:t>
            </w:r>
          </w:p>
          <w:p w14:paraId="7FE1B790" w14:textId="77777777" w:rsidR="00896468" w:rsidRDefault="00B31E50">
            <w:pPr>
              <w:pStyle w:val="P68B1DB1-ListParagraph25"/>
              <w:numPr>
                <w:ilvl w:val="0"/>
                <w:numId w:val="54"/>
              </w:numPr>
              <w:autoSpaceDE w:val="0"/>
              <w:autoSpaceDN w:val="0"/>
              <w:adjustRightInd w:val="0"/>
              <w:ind w:left="539" w:hanging="454"/>
              <w:contextualSpacing/>
              <w:jc w:val="both"/>
            </w:pPr>
            <w:r>
              <w:t>Előresorolt, nem elsőbbségi kötelezettségek</w:t>
            </w:r>
          </w:p>
          <w:p w14:paraId="7FE1B791" w14:textId="6BECB3BB" w:rsidR="00896468" w:rsidRDefault="00B31E50">
            <w:pPr>
              <w:pStyle w:val="P68B1DB1-ListParagraph25"/>
              <w:autoSpaceDE w:val="0"/>
              <w:autoSpaceDN w:val="0"/>
              <w:adjustRightInd w:val="0"/>
              <w:ind w:left="539"/>
              <w:contextualSpacing/>
              <w:jc w:val="both"/>
            </w:pPr>
            <w:r>
              <w:t>Ugyanaz a meghatározás, mint a Z 02.00 (LIAB 1), 0365. sorában</w:t>
            </w:r>
          </w:p>
          <w:p w14:paraId="7FE1B792" w14:textId="77777777" w:rsidR="00896468" w:rsidRDefault="00B31E50">
            <w:pPr>
              <w:pStyle w:val="P68B1DB1-ListParagraph25"/>
              <w:numPr>
                <w:ilvl w:val="0"/>
                <w:numId w:val="54"/>
              </w:numPr>
              <w:autoSpaceDE w:val="0"/>
              <w:autoSpaceDN w:val="0"/>
              <w:adjustRightInd w:val="0"/>
              <w:ind w:left="539" w:hanging="454"/>
              <w:contextualSpacing/>
              <w:jc w:val="both"/>
            </w:pPr>
            <w:r>
              <w:t>Alárendelt kötelezettségek</w:t>
            </w:r>
          </w:p>
          <w:p w14:paraId="7FE1B793" w14:textId="1719A947" w:rsidR="00896468" w:rsidRDefault="00B31E50">
            <w:pPr>
              <w:pStyle w:val="P68B1DB1-ListParagraph25"/>
              <w:autoSpaceDE w:val="0"/>
              <w:autoSpaceDN w:val="0"/>
              <w:adjustRightInd w:val="0"/>
              <w:ind w:left="539"/>
              <w:jc w:val="both"/>
            </w:pPr>
            <w:r>
              <w:t>Ugyanaz a meghatározás, mint a Z 02.00 (LIAB 1), 0370. sorában</w:t>
            </w:r>
          </w:p>
          <w:p w14:paraId="7FE1B794" w14:textId="77777777" w:rsidR="00896468" w:rsidRDefault="00B31E50">
            <w:pPr>
              <w:pStyle w:val="P68B1DB1-ListParagraph25"/>
              <w:numPr>
                <w:ilvl w:val="0"/>
                <w:numId w:val="54"/>
              </w:numPr>
              <w:autoSpaceDE w:val="0"/>
              <w:autoSpaceDN w:val="0"/>
              <w:adjustRightInd w:val="0"/>
              <w:ind w:left="539" w:hanging="454"/>
              <w:contextualSpacing/>
              <w:jc w:val="both"/>
            </w:pPr>
            <w:r>
              <w:t>MREL teljesítéséhez figyelembe vehető egyéb kötelezettségek</w:t>
            </w:r>
          </w:p>
          <w:p w14:paraId="7FE1B795" w14:textId="18D60D2B" w:rsidR="00896468" w:rsidRDefault="00B31E50">
            <w:pPr>
              <w:pStyle w:val="P68B1DB1-ListParagraph25"/>
              <w:autoSpaceDE w:val="0"/>
              <w:autoSpaceDN w:val="0"/>
              <w:adjustRightInd w:val="0"/>
              <w:ind w:left="539"/>
              <w:jc w:val="both"/>
            </w:pPr>
            <w:r>
              <w:t>Ugyanaz a meghatározás, mint a Z 02.00 (LIAB 1), 0380. sorában</w:t>
            </w:r>
          </w:p>
          <w:p w14:paraId="7FE1B796" w14:textId="77777777" w:rsidR="00896468" w:rsidRDefault="00B31E50">
            <w:pPr>
              <w:pStyle w:val="P68B1DB1-ListParagraph25"/>
              <w:numPr>
                <w:ilvl w:val="0"/>
                <w:numId w:val="54"/>
              </w:numPr>
              <w:autoSpaceDE w:val="0"/>
              <w:autoSpaceDN w:val="0"/>
              <w:adjustRightInd w:val="0"/>
              <w:ind w:left="539" w:hanging="454"/>
              <w:contextualSpacing/>
              <w:jc w:val="both"/>
            </w:pPr>
            <w:r>
              <w:t>Nem pénzügyi kötelezettségek</w:t>
            </w:r>
          </w:p>
          <w:p w14:paraId="7FE1B797" w14:textId="03D8AF00" w:rsidR="00896468" w:rsidRDefault="00B31E50">
            <w:pPr>
              <w:pStyle w:val="P68B1DB1-ListParagraph25"/>
              <w:autoSpaceDE w:val="0"/>
              <w:autoSpaceDN w:val="0"/>
              <w:adjustRightInd w:val="0"/>
              <w:ind w:left="539"/>
              <w:jc w:val="both"/>
            </w:pPr>
            <w:r>
              <w:lastRenderedPageBreak/>
              <w:t>Ugyanaz a meghatározás, mint a Z 02.00 (LIAB 1), 0390. sorában</w:t>
            </w:r>
          </w:p>
          <w:p w14:paraId="7FE1B798" w14:textId="77777777" w:rsidR="00896468" w:rsidRDefault="00B31E50">
            <w:pPr>
              <w:pStyle w:val="P68B1DB1-ListParagraph25"/>
              <w:numPr>
                <w:ilvl w:val="0"/>
                <w:numId w:val="54"/>
              </w:numPr>
              <w:autoSpaceDE w:val="0"/>
              <w:autoSpaceDN w:val="0"/>
              <w:adjustRightInd w:val="0"/>
              <w:ind w:left="539" w:hanging="454"/>
              <w:contextualSpacing/>
              <w:jc w:val="both"/>
            </w:pPr>
            <w:r>
              <w:t>Egyéb kötelezettségek</w:t>
            </w:r>
          </w:p>
          <w:p w14:paraId="7FE1B799" w14:textId="5EC9828E" w:rsidR="00896468" w:rsidRDefault="00B31E50">
            <w:pPr>
              <w:pStyle w:val="P68B1DB1-ListParagraph25"/>
              <w:autoSpaceDE w:val="0"/>
              <w:autoSpaceDN w:val="0"/>
              <w:adjustRightInd w:val="0"/>
              <w:ind w:left="539"/>
              <w:jc w:val="both"/>
            </w:pPr>
            <w:r>
              <w:t>Ugyanaz a meghatározás, mint a Z 02.00 (LIAB 1), 0400. sorában</w:t>
            </w:r>
            <w:r w:rsidR="000957FA">
              <w:t>.</w:t>
            </w:r>
            <w:r>
              <w:t xml:space="preserve"> Bármely, az előző tétel</w:t>
            </w:r>
            <w:r w:rsidR="00E45002">
              <w:t>ek</w:t>
            </w:r>
            <w:r>
              <w:t xml:space="preserve"> által le nem fedett kötelezettség.</w:t>
            </w:r>
          </w:p>
          <w:p w14:paraId="7FE1B79A" w14:textId="77777777" w:rsidR="00896468" w:rsidRDefault="00B31E50">
            <w:pPr>
              <w:pStyle w:val="P68B1DB1-ListParagraph25"/>
              <w:numPr>
                <w:ilvl w:val="0"/>
                <w:numId w:val="54"/>
              </w:numPr>
              <w:autoSpaceDE w:val="0"/>
              <w:autoSpaceDN w:val="0"/>
              <w:adjustRightInd w:val="0"/>
              <w:ind w:left="539" w:hanging="454"/>
              <w:contextualSpacing/>
              <w:jc w:val="both"/>
            </w:pPr>
            <w:r>
              <w:t>Járulékos tőke (Tier 2)</w:t>
            </w:r>
          </w:p>
          <w:p w14:paraId="7FE1B79B" w14:textId="1DC09C8A" w:rsidR="00896468" w:rsidRDefault="00B31E50">
            <w:pPr>
              <w:pStyle w:val="P68B1DB1-ListParagraph25"/>
              <w:autoSpaceDE w:val="0"/>
              <w:autoSpaceDN w:val="0"/>
              <w:adjustRightInd w:val="0"/>
              <w:ind w:left="539"/>
              <w:jc w:val="both"/>
            </w:pPr>
            <w:r>
              <w:t>Ugyanaz a meghatározás, mint a Z 02.00 (LIAB 1), 0530. sorában</w:t>
            </w:r>
          </w:p>
          <w:p w14:paraId="7FE1B79C" w14:textId="77777777" w:rsidR="00896468" w:rsidRDefault="00B31E50">
            <w:pPr>
              <w:pStyle w:val="P68B1DB1-ListParagraph25"/>
              <w:numPr>
                <w:ilvl w:val="0"/>
                <w:numId w:val="54"/>
              </w:numPr>
              <w:autoSpaceDE w:val="0"/>
              <w:autoSpaceDN w:val="0"/>
              <w:adjustRightInd w:val="0"/>
              <w:ind w:left="539" w:hanging="454"/>
              <w:contextualSpacing/>
              <w:jc w:val="both"/>
            </w:pPr>
            <w:r>
              <w:t>Kiegészítő alapvető tőke</w:t>
            </w:r>
          </w:p>
          <w:p w14:paraId="7FE1B79D" w14:textId="5EB7A3D7" w:rsidR="00896468" w:rsidRDefault="00B31E50">
            <w:pPr>
              <w:pStyle w:val="P68B1DB1-ListParagraph25"/>
              <w:autoSpaceDE w:val="0"/>
              <w:autoSpaceDN w:val="0"/>
              <w:adjustRightInd w:val="0"/>
              <w:ind w:left="539"/>
              <w:jc w:val="both"/>
            </w:pPr>
            <w:r>
              <w:t>Ugyanaz a meghatározás, mint a Z 02.00 (LIAB 1), 0520. sorában</w:t>
            </w:r>
          </w:p>
          <w:p w14:paraId="7FE1B79E" w14:textId="77777777" w:rsidR="00896468" w:rsidRDefault="00B31E50">
            <w:pPr>
              <w:pStyle w:val="P68B1DB1-ListParagraph25"/>
              <w:numPr>
                <w:ilvl w:val="0"/>
                <w:numId w:val="54"/>
              </w:numPr>
              <w:autoSpaceDE w:val="0"/>
              <w:autoSpaceDN w:val="0"/>
              <w:adjustRightInd w:val="0"/>
              <w:ind w:left="539" w:hanging="454"/>
              <w:contextualSpacing/>
              <w:jc w:val="both"/>
            </w:pPr>
            <w:r>
              <w:t>Elsődleges alapvető tőke (CET1)</w:t>
            </w:r>
          </w:p>
          <w:p w14:paraId="7FE1B79F" w14:textId="3DF796DF" w:rsidR="00896468" w:rsidRDefault="00B31E50">
            <w:pPr>
              <w:pStyle w:val="P68B1DB1-ListParagraph25"/>
              <w:autoSpaceDE w:val="0"/>
              <w:autoSpaceDN w:val="0"/>
              <w:adjustRightInd w:val="0"/>
              <w:ind w:left="539"/>
              <w:jc w:val="both"/>
            </w:pPr>
            <w:r>
              <w:t>Ugyanaz a meghatározás, mint a Z 02.00 (LIAB 1), 0510. sorában</w:t>
            </w:r>
          </w:p>
          <w:p w14:paraId="7FE1B7A0" w14:textId="77777777" w:rsidR="00896468" w:rsidRDefault="00B31E50">
            <w:pPr>
              <w:pStyle w:val="P68B1DB1-TableParagraph24"/>
              <w:spacing w:before="108"/>
              <w:ind w:left="85"/>
              <w:jc w:val="both"/>
            </w:pPr>
            <w:r>
              <w:t>Csoporton belüli garanciák</w:t>
            </w:r>
          </w:p>
          <w:p w14:paraId="7FE1B7A1" w14:textId="426DD2CE" w:rsidR="00896468" w:rsidRDefault="00B31E50">
            <w:pPr>
              <w:pStyle w:val="P68B1DB1-ListParagraph25"/>
              <w:numPr>
                <w:ilvl w:val="0"/>
                <w:numId w:val="55"/>
              </w:numPr>
              <w:autoSpaceDE w:val="0"/>
              <w:autoSpaceDN w:val="0"/>
              <w:adjustRightInd w:val="0"/>
              <w:ind w:left="539" w:hanging="454"/>
              <w:contextualSpacing/>
              <w:jc w:val="both"/>
            </w:pPr>
            <w:r>
              <w:t>Kibocsátási garanciák</w:t>
            </w:r>
          </w:p>
          <w:p w14:paraId="7FE1B7A2" w14:textId="77777777" w:rsidR="00896468" w:rsidRDefault="00B31E50">
            <w:pPr>
              <w:pStyle w:val="P68B1DB1-ListParagraph25"/>
              <w:autoSpaceDE w:val="0"/>
              <w:autoSpaceDN w:val="0"/>
              <w:adjustRightInd w:val="0"/>
              <w:ind w:left="539"/>
              <w:jc w:val="both"/>
            </w:pPr>
            <w:r>
              <w:t>A kibocsátott konkrét instrumentumokra/kötelezettségekre vonatkozó garanciák.</w:t>
            </w:r>
          </w:p>
          <w:p w14:paraId="7FE1B7A3" w14:textId="71CD6004" w:rsidR="00896468" w:rsidRDefault="00B31E50">
            <w:pPr>
              <w:pStyle w:val="P68B1DB1-ListParagraph25"/>
              <w:numPr>
                <w:ilvl w:val="0"/>
                <w:numId w:val="55"/>
              </w:numPr>
              <w:autoSpaceDE w:val="0"/>
              <w:autoSpaceDN w:val="0"/>
              <w:adjustRightInd w:val="0"/>
              <w:ind w:left="539" w:hanging="454"/>
              <w:contextualSpacing/>
              <w:jc w:val="both"/>
            </w:pPr>
            <w:r>
              <w:t>Partnergaranciák</w:t>
            </w:r>
          </w:p>
          <w:p w14:paraId="7FE1B7A4" w14:textId="77777777" w:rsidR="00896468" w:rsidRDefault="00B31E50">
            <w:pPr>
              <w:pStyle w:val="P68B1DB1-ListParagraph25"/>
              <w:autoSpaceDE w:val="0"/>
              <w:autoSpaceDN w:val="0"/>
              <w:adjustRightInd w:val="0"/>
              <w:ind w:left="539"/>
              <w:jc w:val="both"/>
            </w:pPr>
            <w:r>
              <w:t>Az intézmény valamely meghatározott partnerének nyújtott garanciák.</w:t>
            </w:r>
          </w:p>
          <w:p w14:paraId="7FE1B7A5" w14:textId="50A984E1" w:rsidR="00896468" w:rsidRDefault="00B31E50">
            <w:pPr>
              <w:pStyle w:val="P68B1DB1-ListParagraph25"/>
              <w:numPr>
                <w:ilvl w:val="0"/>
                <w:numId w:val="55"/>
              </w:numPr>
              <w:autoSpaceDE w:val="0"/>
              <w:autoSpaceDN w:val="0"/>
              <w:adjustRightInd w:val="0"/>
              <w:ind w:left="539" w:hanging="454"/>
              <w:contextualSpacing/>
              <w:jc w:val="both"/>
            </w:pPr>
            <w:r>
              <w:t>Korlátlan garanciák</w:t>
            </w:r>
          </w:p>
          <w:p w14:paraId="7FE1B7A6" w14:textId="77777777" w:rsidR="00896468" w:rsidRDefault="00B31E50">
            <w:pPr>
              <w:pStyle w:val="P68B1DB1-ListParagraph25"/>
              <w:autoSpaceDE w:val="0"/>
              <w:autoSpaceDN w:val="0"/>
              <w:adjustRightInd w:val="0"/>
              <w:ind w:left="539"/>
              <w:jc w:val="both"/>
            </w:pPr>
            <w:r>
              <w:t xml:space="preserve">Nem meghatározott összegre vonatkozó, általános garanciák </w:t>
            </w:r>
          </w:p>
          <w:p w14:paraId="7FE1B7A7" w14:textId="391BAF8D" w:rsidR="00896468" w:rsidRDefault="00B31E50">
            <w:pPr>
              <w:pStyle w:val="P68B1DB1-ListParagraph25"/>
              <w:numPr>
                <w:ilvl w:val="0"/>
                <w:numId w:val="55"/>
              </w:numPr>
              <w:autoSpaceDE w:val="0"/>
              <w:autoSpaceDN w:val="0"/>
              <w:adjustRightInd w:val="0"/>
              <w:ind w:left="539" w:hanging="454"/>
              <w:contextualSpacing/>
              <w:jc w:val="both"/>
            </w:pPr>
            <w:r>
              <w:t>Egyéb garanciák</w:t>
            </w:r>
          </w:p>
          <w:p w14:paraId="7FE1B7A8" w14:textId="77777777" w:rsidR="00896468" w:rsidRDefault="00B31E50">
            <w:pPr>
              <w:pStyle w:val="P68B1DB1-ListParagraph25"/>
              <w:autoSpaceDE w:val="0"/>
              <w:autoSpaceDN w:val="0"/>
              <w:adjustRightInd w:val="0"/>
              <w:ind w:left="539"/>
              <w:jc w:val="both"/>
            </w:pPr>
            <w:r>
              <w:t xml:space="preserve">Bármely, a korábbi típusok alá nem sorolható garancia. </w:t>
            </w:r>
          </w:p>
        </w:tc>
      </w:tr>
      <w:tr w:rsidR="00896468"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896468" w:rsidRDefault="00B31E50">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896468" w:rsidRDefault="00B31E50">
            <w:pPr>
              <w:pStyle w:val="P68B1DB1-TableParagraph14"/>
              <w:spacing w:before="108"/>
              <w:ind w:left="85"/>
              <w:jc w:val="both"/>
              <w:rPr>
                <w:bCs/>
              </w:rPr>
            </w:pPr>
            <w:r>
              <w:t>Kintlévőség összege</w:t>
            </w:r>
          </w:p>
          <w:p w14:paraId="7FE1B7AC" w14:textId="42F5DE02" w:rsidR="00896468" w:rsidRDefault="00B31E50">
            <w:pPr>
              <w:pStyle w:val="P68B1DB1-TableParagraph17"/>
              <w:spacing w:before="108"/>
              <w:ind w:left="85"/>
              <w:jc w:val="both"/>
            </w:pPr>
            <w:r>
              <w:t xml:space="preserve">A 0050-es oszlopban szereplő kötelezettségek esetében a csoporton belüli kötelezettségek </w:t>
            </w:r>
            <w:r w:rsidR="00E97BB3">
              <w:t xml:space="preserve">kintlévő </w:t>
            </w:r>
            <w:r>
              <w:t>összege; a származtatott ügyletekből eredő kötelezettségek esetében (L.3. típus) a Z 02.00 (LIAB 1) tábla 0333. sora szerinti lezárási összegek.</w:t>
            </w:r>
          </w:p>
          <w:p w14:paraId="7FE1B7AD" w14:textId="674A22F5" w:rsidR="00896468" w:rsidRDefault="00B31E50">
            <w:pPr>
              <w:pStyle w:val="P68B1DB1-TableParagraph17"/>
              <w:spacing w:before="108"/>
              <w:ind w:left="85"/>
              <w:jc w:val="both"/>
            </w:pPr>
            <w:r>
              <w:t>A 0050-es oszlopban szereplő garanciák esetében a garancia keretében történő jövőbeli kifizetések maximális potenciális összege</w:t>
            </w:r>
            <w:r w:rsidR="000957FA">
              <w:t>.</w:t>
            </w:r>
            <w:r>
              <w:t xml:space="preserve"> </w:t>
            </w:r>
          </w:p>
        </w:tc>
      </w:tr>
      <w:tr w:rsidR="00896468"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896468" w:rsidRDefault="00B31E50">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896468" w:rsidRDefault="00B31E50">
            <w:pPr>
              <w:pStyle w:val="P68B1DB1-TableParagraph14"/>
              <w:spacing w:before="108"/>
              <w:ind w:left="85"/>
              <w:jc w:val="both"/>
              <w:rPr>
                <w:bCs/>
              </w:rPr>
            </w:pPr>
            <w:r>
              <w:t>ebből harmadik ország joga szerint kibocsátott</w:t>
            </w:r>
          </w:p>
          <w:p w14:paraId="7FE1B7B1" w14:textId="77777777" w:rsidR="00896468" w:rsidRDefault="00B31E50">
            <w:pPr>
              <w:pStyle w:val="P68B1DB1-TableParagraph13"/>
              <w:spacing w:before="108"/>
              <w:ind w:left="85"/>
              <w:jc w:val="both"/>
              <w:rPr>
                <w:bCs/>
              </w:rPr>
            </w:pPr>
            <w:r>
              <w:t>Egy harmadik ország joga által szabályozott kintlévőség pénzben kifejezett összege.</w:t>
            </w:r>
          </w:p>
        </w:tc>
      </w:tr>
      <w:tr w:rsidR="00896468"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896468" w:rsidRDefault="00B31E50">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896468" w:rsidRDefault="00B31E50">
            <w:pPr>
              <w:pStyle w:val="P68B1DB1-TableParagraph14"/>
              <w:spacing w:before="108"/>
              <w:ind w:left="85"/>
              <w:jc w:val="both"/>
              <w:rPr>
                <w:rFonts w:eastAsia="Cambria"/>
              </w:rPr>
            </w:pPr>
            <w:r>
              <w:t>ebből: Az MREL teljesítéséhez figyelembe vehető</w:t>
            </w:r>
          </w:p>
          <w:p w14:paraId="7FE1B7B5" w14:textId="26B21030"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2014/59/EU irányelv 45. cikkében foglalt követelmények teljesítése céljából figyelembe vehető szavatoló</w:t>
            </w:r>
            <w:r w:rsidR="00082480">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tőke és kötelezettségek összege az említett irányelv 45e. vagy 45f. cikkével összhangban.</w:t>
            </w:r>
            <w:r>
              <w:rPr>
                <w:rFonts w:ascii="Times New Roman" w:hAnsi="Times New Roman" w:cs="Times New Roman"/>
              </w:rPr>
              <w:t xml:space="preserve"> </w:t>
            </w:r>
            <w:r>
              <w:rPr>
                <w:rFonts w:ascii="Times New Roman" w:eastAsia="Cambria" w:hAnsi="Times New Roman" w:cs="Times New Roman"/>
                <w:color w:val="000000" w:themeColor="text1"/>
                <w:sz w:val="20"/>
                <w:szCs w:val="20"/>
              </w:rPr>
              <w:t>Csak azt a szavatoló</w:t>
            </w:r>
            <w:r w:rsidR="00082480">
              <w:rPr>
                <w:rFonts w:ascii="Times New Roman" w:eastAsia="Cambria" w:hAnsi="Times New Roman" w:cs="Times New Roman"/>
                <w:color w:val="000000" w:themeColor="text1"/>
                <w:sz w:val="20"/>
                <w:szCs w:val="20"/>
              </w:rPr>
              <w:t xml:space="preserve"> </w:t>
            </w:r>
            <w:r>
              <w:rPr>
                <w:rFonts w:ascii="Times New Roman" w:eastAsia="Cambria" w:hAnsi="Times New Roman" w:cs="Times New Roman"/>
                <w:color w:val="000000" w:themeColor="text1"/>
                <w:sz w:val="20"/>
                <w:szCs w:val="20"/>
              </w:rPr>
              <w:t xml:space="preserve">tőkét és kötelezettségeket kell feltüntetni, amelyek – adott esetben figyelembe véve a </w:t>
            </w:r>
            <w:r w:rsidR="00E97BB3">
              <w:rPr>
                <w:rFonts w:ascii="Times New Roman" w:eastAsia="Cambria" w:hAnsi="Times New Roman" w:cs="Times New Roman"/>
                <w:color w:val="000000" w:themeColor="text1"/>
                <w:sz w:val="20"/>
                <w:szCs w:val="20"/>
              </w:rPr>
              <w:t>BRRD</w:t>
            </w:r>
            <w:r>
              <w:rPr>
                <w:rFonts w:ascii="Times New Roman" w:eastAsia="Cambria" w:hAnsi="Times New Roman" w:cs="Times New Roman"/>
                <w:color w:val="000000" w:themeColor="text1"/>
                <w:sz w:val="20"/>
                <w:szCs w:val="20"/>
              </w:rPr>
              <w:t xml:space="preserve"> 89. cikkének (2) bekezdését és 55. cikkét – megfelelnek a 2014/59/EU irányelv 45b. cikkében vagy 45f. cikkének (2) bekezdésében foglalt kritériumoknak.</w:t>
            </w:r>
          </w:p>
        </w:tc>
      </w:tr>
    </w:tbl>
    <w:p w14:paraId="7FE1B7B7" w14:textId="77777777" w:rsidR="00896468" w:rsidRDefault="00896468">
      <w:pPr>
        <w:jc w:val="both"/>
        <w:rPr>
          <w:rFonts w:ascii="Times New Roman" w:hAnsi="Times New Roman" w:cs="Times New Roman"/>
          <w:color w:val="000000" w:themeColor="text1"/>
          <w:sz w:val="20"/>
          <w:szCs w:val="20"/>
        </w:rPr>
      </w:pPr>
    </w:p>
    <w:p w14:paraId="7FE1B7B8" w14:textId="1823CB52" w:rsidR="00896468" w:rsidRDefault="00B31E50">
      <w:pPr>
        <w:pStyle w:val="P68B1DB1-Instructionsberschrift25"/>
        <w:numPr>
          <w:ilvl w:val="1"/>
          <w:numId w:val="49"/>
        </w:numPr>
        <w:ind w:left="357" w:hanging="357"/>
      </w:pPr>
      <w:bookmarkStart w:id="66" w:name="_Toc492542325"/>
      <w:bookmarkStart w:id="67" w:name="_Toc81454183"/>
      <w:bookmarkStart w:id="68" w:name="_Toc210982871"/>
      <w:r>
        <w:t xml:space="preserve">Fő </w:t>
      </w:r>
      <w:r w:rsidR="00CC7F83">
        <w:t>partnerek</w:t>
      </w:r>
      <w:r>
        <w:t xml:space="preserve"> (LIAB 5 &amp; 6)</w:t>
      </w:r>
      <w:bookmarkEnd w:id="66"/>
      <w:bookmarkEnd w:id="67"/>
      <w:bookmarkEnd w:id="68"/>
    </w:p>
    <w:p w14:paraId="7FE1B7B9" w14:textId="77777777" w:rsidR="00896468" w:rsidRDefault="00B31E50">
      <w:pPr>
        <w:pStyle w:val="Instructionsberschrift3"/>
      </w:pPr>
      <w:r>
        <w:t>Általános megjegyzések</w:t>
      </w:r>
    </w:p>
    <w:p w14:paraId="7FE1B7BA" w14:textId="77777777" w:rsidR="00896468" w:rsidRDefault="00B31E50">
      <w:pPr>
        <w:pStyle w:val="P68B1DB1-InstructionsText26"/>
        <w:numPr>
          <w:ilvl w:val="0"/>
          <w:numId w:val="232"/>
        </w:numPr>
        <w:spacing w:before="0"/>
      </w:pPr>
      <w:r>
        <w:t>Ezek a táblák a fő partnerekkel szembeni kötelezettségekre (Z 05.01) és a fő partnerektől kapott mérlegen kívüli tételekre (Z 05.02) vonatkozó információkat tartalmazzák. A feltüntetett összegeket összesíteni kell, amennyiben azok ugyanazon partnerekre vagy ugyanolyan típusú kötelezettségekre vagy mérlegen kívüli tételekre vonatkoznak.</w:t>
      </w:r>
    </w:p>
    <w:p w14:paraId="7FE1B7BB" w14:textId="77777777" w:rsidR="00896468" w:rsidRDefault="00B31E50">
      <w:pPr>
        <w:pStyle w:val="P68B1DB1-InstructionsText26"/>
        <w:numPr>
          <w:ilvl w:val="0"/>
          <w:numId w:val="232"/>
        </w:numPr>
        <w:spacing w:before="0"/>
      </w:pPr>
      <w:r>
        <w:t>Nem kell feltüntetni e táblákban azokat a kötelezettségeket és mérlegen kívüli tételeket, amelyeknél a partner nem azonosítható. Nem kell feltüntetni azokat a kötelezettségeket és mérlegen kívüli tételeket sem, amelyek esetében a partner a konszolidált pénzügyi kimutatásban szereplő szervezet.</w:t>
      </w:r>
    </w:p>
    <w:p w14:paraId="7FE1B7BC" w14:textId="04BE316A" w:rsidR="00896468" w:rsidRDefault="00896468">
      <w:pPr>
        <w:pStyle w:val="InstructionsText2"/>
        <w:numPr>
          <w:ilvl w:val="0"/>
          <w:numId w:val="0"/>
        </w:numPr>
        <w:spacing w:before="0"/>
        <w:ind w:left="753" w:hanging="720"/>
        <w:rPr>
          <w:rFonts w:ascii="Times New Roman" w:hAnsi="Times New Roman" w:cs="Times New Roman"/>
          <w:sz w:val="20"/>
          <w:szCs w:val="20"/>
        </w:rPr>
      </w:pPr>
    </w:p>
    <w:p w14:paraId="7FE1B7BD" w14:textId="2FF0322B" w:rsidR="00896468" w:rsidRDefault="00B31E50">
      <w:pPr>
        <w:pStyle w:val="P68B1DB1-Instructionsberschrift25"/>
        <w:numPr>
          <w:ilvl w:val="1"/>
          <w:numId w:val="49"/>
        </w:numPr>
        <w:ind w:left="357" w:hanging="357"/>
      </w:pPr>
      <w:bookmarkStart w:id="69" w:name="_Toc210982872"/>
      <w:bookmarkStart w:id="70" w:name="_Toc81454184"/>
      <w:r>
        <w:lastRenderedPageBreak/>
        <w:t xml:space="preserve">Z 05.01 – Fő partnerek (kötelezettségek </w:t>
      </w:r>
      <w:r w:rsidR="00CC7F83">
        <w:t>tekintetében</w:t>
      </w:r>
      <w:r>
        <w:t>) (LIAB 5)</w:t>
      </w:r>
      <w:bookmarkEnd w:id="69"/>
    </w:p>
    <w:p w14:paraId="7FE1B7BE" w14:textId="0F7A6C34" w:rsidR="00896468" w:rsidRDefault="00B31E50">
      <w:pPr>
        <w:pStyle w:val="P68B1DB1-body26"/>
      </w:pPr>
      <w:r>
        <w:t>A táblák egyes részeire vonatkozó útmutatások</w:t>
      </w:r>
      <w:bookmarkEnd w:id="70"/>
    </w:p>
    <w:p w14:paraId="7FE1B7BF" w14:textId="77777777" w:rsidR="00896468" w:rsidRDefault="00B31E50">
      <w:pPr>
        <w:pStyle w:val="P68B1DB1-InstructionsText26"/>
        <w:numPr>
          <w:ilvl w:val="0"/>
          <w:numId w:val="232"/>
        </w:numPr>
        <w:spacing w:before="0"/>
      </w:pPr>
      <w:r>
        <w:t>Az e tábla 0020. és 0060. oszlopában feltüntetett értékek kombinációja elsődleges kulcsot képez, amelynek a tábla minden sorát egyedileg kell azonosítania.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896468"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896468" w:rsidRDefault="00B31E50">
            <w:pPr>
              <w:pStyle w:val="P68B1DB1-TableParagraph13"/>
              <w:spacing w:before="66"/>
              <w:rPr>
                <w:rFonts w:eastAsia="Cambria"/>
              </w:rPr>
            </w:pPr>
            <w:r>
              <w:t>Oszlopok</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896468" w:rsidRDefault="00B31E50">
            <w:pPr>
              <w:pStyle w:val="P68B1DB1-TableParagraph13"/>
              <w:spacing w:before="66"/>
              <w:ind w:right="1"/>
              <w:jc w:val="center"/>
              <w:rPr>
                <w:rFonts w:eastAsia="Cambria"/>
              </w:rPr>
            </w:pPr>
            <w:r>
              <w:t>Útmutató</w:t>
            </w:r>
          </w:p>
        </w:tc>
      </w:tr>
      <w:tr w:rsidR="00896468"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896468" w:rsidRDefault="00B31E50">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896468" w:rsidRDefault="00B31E50">
            <w:pPr>
              <w:pStyle w:val="P68B1DB1-TableParagraph14"/>
              <w:spacing w:before="108"/>
              <w:ind w:left="85"/>
              <w:jc w:val="both"/>
              <w:rPr>
                <w:bCs/>
              </w:rPr>
            </w:pPr>
            <w:r>
              <w:t>Partner</w:t>
            </w:r>
          </w:p>
          <w:p w14:paraId="7FE1B7C5" w14:textId="77777777" w:rsidR="00896468" w:rsidRDefault="00B31E50">
            <w:pPr>
              <w:pStyle w:val="P68B1DB1-TableParagraph17"/>
              <w:spacing w:before="108"/>
              <w:ind w:left="85"/>
              <w:jc w:val="both"/>
            </w:pPr>
            <w:r>
              <w:t xml:space="preserve">Azon fő partnerre vonatkozó információk, amelynek tekintetében a kötelezettség felmerül. </w:t>
            </w:r>
          </w:p>
          <w:p w14:paraId="7FE1B7C6" w14:textId="77777777" w:rsidR="00896468" w:rsidRDefault="00B31E50">
            <w:pPr>
              <w:pStyle w:val="P68B1DB1-TableParagraph17"/>
              <w:spacing w:before="108"/>
              <w:ind w:left="85"/>
              <w:jc w:val="both"/>
            </w:pPr>
            <w:r>
              <w:t>A fő partnerek azonosításához minden egyes partnerre vagy egymással kapcsolatban álló ügyfelek csoportjára vonatkozóan össze kell vonni az adatot szolgáltató szervezet vagy csoport e partnerrel vagy csoporttal szembeni összes kintlévő kötelezettségét, kivéve a konszolidált pénzügyi kimutatásokban szereplő szervezetekkel szembeni kötelezettségeket.</w:t>
            </w:r>
          </w:p>
          <w:p w14:paraId="7FE1B7C7" w14:textId="77777777" w:rsidR="00896468" w:rsidRDefault="00B31E50">
            <w:pPr>
              <w:pStyle w:val="P68B1DB1-TableParagraph17"/>
              <w:spacing w:before="108"/>
              <w:ind w:left="85"/>
              <w:jc w:val="both"/>
            </w:pPr>
            <w:r>
              <w:t>Ezt követően e partnereket vagy az egymással kapcsolatban álló partnerek e csoportjait az aggregált kintlévő összeg alapján rangsorolni kell, és az adatokat a 10 legfőbb partnerre vonatkozóan kell jelenteni.</w:t>
            </w:r>
          </w:p>
          <w:p w14:paraId="7FE1B7CB" w14:textId="1879B990" w:rsidR="00896468" w:rsidRDefault="00B31E50">
            <w:pPr>
              <w:pStyle w:val="P68B1DB1-TableParagraph17"/>
              <w:spacing w:before="108"/>
              <w:ind w:left="85"/>
              <w:jc w:val="both"/>
              <w:rPr>
                <w:b/>
                <w:bCs/>
              </w:rPr>
            </w:pPr>
            <w:r>
              <w:t xml:space="preserve">Az „egymással kapcsolatban álló partnerek csoportjának” fogalommeghatározása azonos az 575/2013/EU rendelet 4. cikke (1) bekezdésének 39. pontjában meghatározott „kapcsolatban álló ügyfelek csoportja” fogalommeghatározásával. </w:t>
            </w:r>
          </w:p>
        </w:tc>
      </w:tr>
      <w:tr w:rsidR="00896468"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896468" w:rsidRDefault="00B31E50">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896468" w:rsidRDefault="00B31E50">
            <w:pPr>
              <w:pStyle w:val="P68B1DB1-TableParagraph14"/>
              <w:spacing w:before="108"/>
              <w:ind w:left="85"/>
              <w:jc w:val="both"/>
              <w:rPr>
                <w:bCs/>
              </w:rPr>
            </w:pPr>
            <w:r>
              <w:t>Szervezet neve</w:t>
            </w:r>
          </w:p>
          <w:p w14:paraId="7FE1B7CF" w14:textId="77777777" w:rsidR="00896468" w:rsidRDefault="00B31E50">
            <w:pPr>
              <w:pStyle w:val="P68B1DB1-Normal18"/>
              <w:spacing w:before="108"/>
              <w:ind w:left="85"/>
              <w:jc w:val="both"/>
            </w:pPr>
            <w:r>
              <w:t>A fő partner vagy adott esetben az egymással kapcsolatban álló ügyfelek csoportjának neve.</w:t>
            </w:r>
          </w:p>
          <w:p w14:paraId="7FE1B7D0" w14:textId="77777777" w:rsidR="00896468" w:rsidRDefault="00B31E50">
            <w:pPr>
              <w:pStyle w:val="P68B1DB1-TableParagraph17"/>
              <w:spacing w:before="108"/>
              <w:ind w:left="85"/>
              <w:jc w:val="both"/>
            </w:pPr>
            <w:r>
              <w:t>Az egymással kapcsolatban álló ügyfelek csoportjának neve az anyavállalat neve, vagy ha az egymással kapcsolatban álló ügyfelek csoportjának nincs anyavállalata, a csoport kereskedelmi neve.</w:t>
            </w:r>
          </w:p>
        </w:tc>
      </w:tr>
      <w:tr w:rsidR="00896468"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896468" w:rsidRDefault="00B31E50">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896468" w:rsidRDefault="00B31E50">
            <w:pPr>
              <w:pStyle w:val="P68B1DB1-TableParagraph14"/>
              <w:spacing w:before="108"/>
              <w:ind w:left="85"/>
              <w:jc w:val="both"/>
              <w:rPr>
                <w:bCs/>
              </w:rPr>
            </w:pPr>
            <w:r>
              <w:t>Kód</w:t>
            </w:r>
          </w:p>
          <w:p w14:paraId="188AB748" w14:textId="77777777" w:rsidR="00896468" w:rsidRDefault="00B31E50">
            <w:pPr>
              <w:pStyle w:val="P68B1DB1-TableParagraph17"/>
              <w:spacing w:before="108"/>
            </w:pPr>
            <w:r>
              <w:t xml:space="preserve">A fő partner kódja vagy az egymással kapcsolatban álló ügyfelek csoportjának kódja. </w:t>
            </w:r>
          </w:p>
          <w:p w14:paraId="0DD02B7A" w14:textId="4FE17D24" w:rsidR="00896468" w:rsidRDefault="00B31E50">
            <w:pPr>
              <w:pStyle w:val="P68B1DB1-TableParagraph13"/>
              <w:spacing w:before="108"/>
              <w:rPr>
                <w:bCs/>
              </w:rPr>
            </w:pPr>
            <w:r>
              <w:t>Jogalany-azonosítóval (LEI) rendelkező intézmények esetében a 20 jegyű alfanumerikus LEI-kód;</w:t>
            </w:r>
          </w:p>
          <w:p w14:paraId="7FE1B7D4" w14:textId="10D08A5A" w:rsidR="00896468" w:rsidRDefault="00B31E50">
            <w:pPr>
              <w:pStyle w:val="P68B1DB1-TableParagraph13"/>
              <w:spacing w:before="108"/>
              <w:jc w:val="both"/>
              <w:rPr>
                <w:rFonts w:eastAsia="Cambria"/>
              </w:rPr>
            </w:pPr>
            <w:r>
              <w:t>Ha nem áll rendelkezésre, használja az MPI-kódot vagy az Unióban alkalmazandó egységes kódolás szerinti kódot.</w:t>
            </w:r>
          </w:p>
          <w:p w14:paraId="7FE1B7D5" w14:textId="77777777" w:rsidR="00896468" w:rsidRDefault="00B31E50">
            <w:pPr>
              <w:pStyle w:val="P68B1DB1-TableParagraph17"/>
              <w:spacing w:before="108"/>
              <w:ind w:left="85"/>
              <w:jc w:val="both"/>
            </w:pPr>
            <w:r>
              <w:t>A kódnak egyedinek kell lennie, és azt valamennyi táblán következetesen kell használni.</w:t>
            </w:r>
          </w:p>
        </w:tc>
      </w:tr>
      <w:tr w:rsidR="00896468"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896468" w:rsidRDefault="00B31E50">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896468" w:rsidRDefault="00B31E50">
            <w:pPr>
              <w:pStyle w:val="P68B1DB1-TableParagraph14"/>
              <w:spacing w:before="108"/>
              <w:ind w:left="85"/>
              <w:jc w:val="both"/>
              <w:rPr>
                <w:bCs/>
              </w:rPr>
            </w:pPr>
            <w:r>
              <w:t>Kód típusa</w:t>
            </w:r>
          </w:p>
          <w:p w14:paraId="2BEBBD8E" w14:textId="55A001F3" w:rsidR="00896468" w:rsidRDefault="00B31E50">
            <w:pPr>
              <w:pStyle w:val="P68B1DB1-TableParagraph13"/>
              <w:spacing w:before="108"/>
              <w:rPr>
                <w:bCs/>
              </w:rPr>
            </w:pPr>
            <w:r>
              <w:t>A következő listából választandó: „LEI-kód”, „MPI-kód” vagy „Az azonosító típusa, a LEI- vagy MPI-kód kivételével”.</w:t>
            </w:r>
          </w:p>
          <w:p w14:paraId="5CA49443" w14:textId="30D8A3AF" w:rsidR="00896468" w:rsidRDefault="00B31E50">
            <w:pPr>
              <w:pStyle w:val="P68B1DB1-TableParagraph13"/>
              <w:spacing w:before="108" w:line="276" w:lineRule="auto"/>
              <w:ind w:left="85"/>
              <w:jc w:val="both"/>
              <w:rPr>
                <w:color w:val="000000"/>
              </w:rPr>
            </w:pPr>
            <w:r>
              <w:t>A gazdálkodó egységek azonosítását a táblákban következetesen kell elvégezni.</w:t>
            </w:r>
          </w:p>
          <w:p w14:paraId="7FE1B7DA" w14:textId="4204707F" w:rsidR="00896468" w:rsidRDefault="00896468">
            <w:pPr>
              <w:pStyle w:val="TableParagraph"/>
              <w:spacing w:before="108"/>
              <w:rPr>
                <w:rFonts w:ascii="Times New Roman" w:hAnsi="Times New Roman" w:cs="Times New Roman"/>
                <w:color w:val="000000" w:themeColor="text1"/>
                <w:sz w:val="20"/>
                <w:szCs w:val="20"/>
              </w:rPr>
            </w:pPr>
          </w:p>
        </w:tc>
      </w:tr>
      <w:tr w:rsidR="00896468"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896468" w:rsidRDefault="00B31E50">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4304789B" w:rsidR="00896468" w:rsidRDefault="00B31E50">
            <w:pPr>
              <w:pStyle w:val="P68B1DB1-TableParagraph14"/>
              <w:spacing w:before="108"/>
              <w:ind w:left="85"/>
              <w:jc w:val="both"/>
              <w:rPr>
                <w:bCs/>
              </w:rPr>
            </w:pPr>
            <w:r>
              <w:t>Csoport vagy egy</w:t>
            </w:r>
            <w:r w:rsidR="00C17DC7">
              <w:t>éni partner</w:t>
            </w:r>
          </w:p>
          <w:p w14:paraId="4E4D0057" w14:textId="77777777" w:rsidR="00896468" w:rsidRDefault="00B31E50">
            <w:pPr>
              <w:pStyle w:val="P68B1DB1-Normal18"/>
              <w:ind w:left="85"/>
            </w:pPr>
            <w:r>
              <w:t>Az intézménynek adatot kell szolgáltatnia a következőkről:</w:t>
            </w:r>
          </w:p>
          <w:p w14:paraId="0242F822" w14:textId="1D93A1A9" w:rsidR="00896468" w:rsidRDefault="00B31E50">
            <w:pPr>
              <w:pStyle w:val="P68B1DB1-ListParagraph25"/>
              <w:numPr>
                <w:ilvl w:val="0"/>
                <w:numId w:val="297"/>
              </w:numPr>
            </w:pPr>
            <w:r>
              <w:t xml:space="preserve">Egyéni </w:t>
            </w:r>
            <w:r w:rsidR="00C17DC7">
              <w:t>partnerek</w:t>
            </w:r>
            <w:r>
              <w:t>;</w:t>
            </w:r>
          </w:p>
          <w:p w14:paraId="7FE1B7DE" w14:textId="6F55D54C" w:rsidR="00896468" w:rsidRDefault="00B31E50">
            <w:pPr>
              <w:pStyle w:val="P68B1DB1-ListParagraph25"/>
              <w:numPr>
                <w:ilvl w:val="0"/>
                <w:numId w:val="297"/>
              </w:numPr>
            </w:pPr>
            <w:r>
              <w:t>Egymással kapcsolatban álló ügyfelek csoportjai</w:t>
            </w:r>
          </w:p>
        </w:tc>
      </w:tr>
      <w:tr w:rsidR="00896468"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896468" w:rsidRDefault="00B31E50">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896468" w:rsidRDefault="00B31E50">
            <w:pPr>
              <w:pStyle w:val="P68B1DB1-TableParagraph14"/>
              <w:spacing w:before="108"/>
              <w:ind w:left="85"/>
              <w:jc w:val="both"/>
              <w:rPr>
                <w:bCs/>
              </w:rPr>
            </w:pPr>
            <w:r>
              <w:t>Ország</w:t>
            </w:r>
          </w:p>
          <w:p w14:paraId="7FE1B7E2" w14:textId="77777777" w:rsidR="00896468" w:rsidRDefault="00B31E50">
            <w:pPr>
              <w:pStyle w:val="P68B1DB1-Normal18"/>
              <w:spacing w:before="108"/>
              <w:ind w:left="85"/>
              <w:contextualSpacing/>
              <w:jc w:val="both"/>
            </w:pPr>
            <w:r>
              <w:t xml:space="preserve">A partner bejegyzése szerinti ország ISO 3166–1-alpha-2 kódja. Idetartoznak a nemzetközi szervezetekre vonatkozó pszeudo-ISO-kódok, amelyek az Eurostat fizetési mérleggel foglalkozó Vademecumának (Balance of Payments Vademecum) legfrissebb kiadásában találhatók. </w:t>
            </w:r>
          </w:p>
          <w:p w14:paraId="7FE1B7E3" w14:textId="77777777" w:rsidR="00896468" w:rsidRDefault="00B31E50">
            <w:pPr>
              <w:pStyle w:val="P68B1DB1-TableParagraph17"/>
              <w:spacing w:before="108"/>
              <w:ind w:left="85"/>
              <w:jc w:val="both"/>
            </w:pPr>
            <w:r>
              <w:t xml:space="preserve">Az országot a partner létesítő okirat szerinti székhelye alapján határozzák meg. Egymással kapcsolatban álló ügyfelek csoportja esetében az anyavállalat bejegyzése szerinti ország. </w:t>
            </w:r>
          </w:p>
        </w:tc>
      </w:tr>
      <w:tr w:rsidR="00896468"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896468" w:rsidRDefault="00B31E50">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896468" w:rsidRDefault="00B31E50">
            <w:pPr>
              <w:pStyle w:val="P68B1DB1-TableParagraph14"/>
              <w:spacing w:before="108"/>
              <w:ind w:left="85"/>
              <w:jc w:val="both"/>
              <w:rPr>
                <w:bCs/>
              </w:rPr>
            </w:pPr>
            <w:r>
              <w:t>Szektor</w:t>
            </w:r>
          </w:p>
          <w:p w14:paraId="7FE1B7E7" w14:textId="77777777" w:rsidR="00896468" w:rsidRDefault="00B31E50">
            <w:pPr>
              <w:pStyle w:val="P68B1DB1-TableParagraph17"/>
              <w:spacing w:before="108"/>
              <w:ind w:left="85"/>
              <w:jc w:val="both"/>
            </w:pPr>
            <w:r>
              <w:t>Minden partnerhez egy szektort kell rendelni a FINREP szerinti gazdasági ágazati kategóriák alapján (FINREP, V. melléklet, 1. rész, 6. fejezet):</w:t>
            </w:r>
          </w:p>
          <w:p w14:paraId="7FE1B7E8" w14:textId="77777777" w:rsidR="00896468" w:rsidRDefault="00B31E50">
            <w:pPr>
              <w:pStyle w:val="P68B1DB1-List127"/>
              <w:numPr>
                <w:ilvl w:val="0"/>
                <w:numId w:val="64"/>
              </w:numPr>
            </w:pPr>
            <w:r>
              <w:t>Központi bankok</w:t>
            </w:r>
          </w:p>
          <w:p w14:paraId="7FE1B7E9" w14:textId="77777777" w:rsidR="00896468" w:rsidRDefault="00B31E50">
            <w:pPr>
              <w:pStyle w:val="P68B1DB1-List127"/>
              <w:numPr>
                <w:ilvl w:val="0"/>
                <w:numId w:val="64"/>
              </w:numPr>
            </w:pPr>
            <w:r>
              <w:t>Államháztartások</w:t>
            </w:r>
          </w:p>
          <w:p w14:paraId="7FE1B7EA" w14:textId="77777777" w:rsidR="00896468" w:rsidRDefault="00B31E50">
            <w:pPr>
              <w:pStyle w:val="P68B1DB1-List127"/>
              <w:numPr>
                <w:ilvl w:val="0"/>
                <w:numId w:val="64"/>
              </w:numPr>
            </w:pPr>
            <w:r>
              <w:t xml:space="preserve">Hitelintézetek: </w:t>
            </w:r>
          </w:p>
          <w:p w14:paraId="7FE1B7EB" w14:textId="77777777" w:rsidR="00896468" w:rsidRDefault="00B31E50">
            <w:pPr>
              <w:pStyle w:val="P68B1DB1-List127"/>
              <w:numPr>
                <w:ilvl w:val="0"/>
                <w:numId w:val="64"/>
              </w:numPr>
            </w:pPr>
            <w:r>
              <w:t>Egyéb pénzügyi vállalatok</w:t>
            </w:r>
          </w:p>
          <w:p w14:paraId="7FE1B7EC" w14:textId="77777777" w:rsidR="00896468" w:rsidRDefault="00B31E50">
            <w:pPr>
              <w:pStyle w:val="P68B1DB1-List127"/>
              <w:numPr>
                <w:ilvl w:val="0"/>
                <w:numId w:val="64"/>
              </w:numPr>
            </w:pPr>
            <w:r>
              <w:t>Nem pénzügyi vállalatok</w:t>
            </w:r>
          </w:p>
          <w:p w14:paraId="7FE1B7ED" w14:textId="77777777" w:rsidR="00896468" w:rsidRDefault="00B31E50">
            <w:pPr>
              <w:pStyle w:val="P68B1DB1-List127"/>
              <w:numPr>
                <w:ilvl w:val="0"/>
                <w:numId w:val="64"/>
              </w:numPr>
            </w:pPr>
            <w:r>
              <w:t>Háztartások</w:t>
            </w:r>
          </w:p>
          <w:p w14:paraId="7FE1B7EE" w14:textId="77777777" w:rsidR="00896468" w:rsidRDefault="00B31E50">
            <w:pPr>
              <w:pStyle w:val="P68B1DB1-TableParagraph17"/>
              <w:spacing w:before="108"/>
              <w:ind w:left="85"/>
              <w:jc w:val="both"/>
            </w:pPr>
            <w:r>
              <w:t>Egymással kapcsolatban álló ügyfelek csoportja esetében nem kell ágazatot feltüntetni.</w:t>
            </w:r>
          </w:p>
        </w:tc>
      </w:tr>
      <w:tr w:rsidR="00896468"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896468" w:rsidRDefault="00B31E50">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896468" w:rsidRDefault="00B31E50">
            <w:pPr>
              <w:pStyle w:val="P68B1DB1-TableParagraph14"/>
              <w:spacing w:before="108"/>
              <w:ind w:left="85"/>
              <w:jc w:val="both"/>
              <w:rPr>
                <w:bCs/>
              </w:rPr>
            </w:pPr>
            <w:r>
              <w:t>Típus</w:t>
            </w:r>
          </w:p>
          <w:p w14:paraId="7FE1B7F2" w14:textId="43CE2DD3" w:rsidR="00896468" w:rsidRDefault="00B31E50">
            <w:pPr>
              <w:pStyle w:val="P68B1DB1-Normal18"/>
              <w:spacing w:before="108"/>
              <w:ind w:left="85"/>
              <w:jc w:val="both"/>
            </w:pPr>
            <w:r>
              <w:t>A kötelezettségtípus a „Z 02.00 – Kötelezettségek szerkezete (LIAB 1)” táblában felsorolt kötelezettségtípusok egyike lehet, nevezetesen:</w:t>
            </w:r>
          </w:p>
          <w:p w14:paraId="7FE1B7F3" w14:textId="4AE4B095" w:rsidR="00896468" w:rsidRDefault="00B31E50">
            <w:pPr>
              <w:pStyle w:val="P68B1DB1-ListParagraph25"/>
              <w:numPr>
                <w:ilvl w:val="0"/>
                <w:numId w:val="298"/>
              </w:numPr>
              <w:spacing w:before="108"/>
              <w:jc w:val="both"/>
            </w:pPr>
            <w:r>
              <w:t>A hitelezői feltőkésítésből kizárt kötelezettségek</w:t>
            </w:r>
          </w:p>
          <w:p w14:paraId="7FE1B7F4" w14:textId="4257143A" w:rsidR="00896468" w:rsidRDefault="00B31E50">
            <w:pPr>
              <w:pStyle w:val="P68B1DB1-ListParagraph25"/>
              <w:numPr>
                <w:ilvl w:val="0"/>
                <w:numId w:val="298"/>
              </w:numPr>
              <w:spacing w:before="108"/>
              <w:jc w:val="both"/>
            </w:pPr>
            <w:r>
              <w:t>Nem biztosított, de elsőbbségi betétek</w:t>
            </w:r>
          </w:p>
          <w:p w14:paraId="7FE1B7F5" w14:textId="21AFD595" w:rsidR="00896468" w:rsidRDefault="00B31E50">
            <w:pPr>
              <w:pStyle w:val="P68B1DB1-ListParagraph25"/>
              <w:numPr>
                <w:ilvl w:val="0"/>
                <w:numId w:val="298"/>
              </w:numPr>
              <w:spacing w:before="108"/>
              <w:jc w:val="both"/>
            </w:pPr>
            <w:r>
              <w:t>Nem biztosított és nem elsőbbségi betétek</w:t>
            </w:r>
          </w:p>
          <w:p w14:paraId="7FE1B7F6" w14:textId="71A166CE" w:rsidR="00896468" w:rsidRDefault="00B31E50">
            <w:pPr>
              <w:pStyle w:val="P68B1DB1-ListParagraph25"/>
              <w:numPr>
                <w:ilvl w:val="0"/>
                <w:numId w:val="298"/>
              </w:numPr>
              <w:spacing w:before="108"/>
              <w:jc w:val="both"/>
            </w:pPr>
            <w:r>
              <w:t>Származtatott ügyletekből eredő kötelezettségek</w:t>
            </w:r>
          </w:p>
          <w:p w14:paraId="7FE1B7F7" w14:textId="57F1D715" w:rsidR="00896468" w:rsidRDefault="00B31E50">
            <w:pPr>
              <w:pStyle w:val="P68B1DB1-ListParagraph25"/>
              <w:numPr>
                <w:ilvl w:val="0"/>
                <w:numId w:val="298"/>
              </w:numPr>
              <w:spacing w:before="108"/>
              <w:jc w:val="both"/>
            </w:pPr>
            <w:r>
              <w:t>Biztosítékkal nem fedezett, biztosított kötelezettségek</w:t>
            </w:r>
          </w:p>
          <w:p w14:paraId="7FE1B7F8" w14:textId="73D53058" w:rsidR="00896468" w:rsidRDefault="00B31E50">
            <w:pPr>
              <w:pStyle w:val="P68B1DB1-ListParagraph25"/>
              <w:numPr>
                <w:ilvl w:val="0"/>
                <w:numId w:val="298"/>
              </w:numPr>
              <w:spacing w:before="108"/>
              <w:jc w:val="both"/>
            </w:pPr>
            <w:r>
              <w:t>Strukturált értékpapírok</w:t>
            </w:r>
          </w:p>
          <w:p w14:paraId="7FE1B7F9" w14:textId="54AC9980" w:rsidR="00896468" w:rsidRDefault="00B31E50">
            <w:pPr>
              <w:pStyle w:val="P68B1DB1-ListParagraph25"/>
              <w:numPr>
                <w:ilvl w:val="0"/>
                <w:numId w:val="298"/>
              </w:numPr>
              <w:spacing w:before="108"/>
              <w:jc w:val="both"/>
            </w:pPr>
            <w:r>
              <w:t>Előresorolt, biztosítékkal nem fedezett kötelezettségek</w:t>
            </w:r>
          </w:p>
          <w:p w14:paraId="7FE1B7FA" w14:textId="7C89B550" w:rsidR="00896468" w:rsidRDefault="00B31E50">
            <w:pPr>
              <w:pStyle w:val="P68B1DB1-ListParagraph25"/>
              <w:numPr>
                <w:ilvl w:val="0"/>
                <w:numId w:val="298"/>
              </w:numPr>
              <w:spacing w:before="108"/>
              <w:jc w:val="both"/>
            </w:pPr>
            <w:r>
              <w:t>Előresorolt, nem elsőbbségi kötelezettségek</w:t>
            </w:r>
          </w:p>
          <w:p w14:paraId="7FE1B7FB" w14:textId="74B6DC04" w:rsidR="00896468" w:rsidRDefault="00B31E50">
            <w:pPr>
              <w:pStyle w:val="P68B1DB1-ListParagraph25"/>
              <w:numPr>
                <w:ilvl w:val="0"/>
                <w:numId w:val="298"/>
              </w:numPr>
              <w:spacing w:before="108"/>
              <w:jc w:val="both"/>
            </w:pPr>
            <w:r>
              <w:t>Alárendelt kötelezettségek (szavatoló</w:t>
            </w:r>
            <w:r w:rsidR="00082480">
              <w:t xml:space="preserve"> </w:t>
            </w:r>
            <w:r>
              <w:t xml:space="preserve">tőkeként </w:t>
            </w:r>
            <w:r w:rsidR="00F56F2A">
              <w:t>nem elismert</w:t>
            </w:r>
            <w:r>
              <w:t>)</w:t>
            </w:r>
          </w:p>
          <w:p w14:paraId="7FE1B7FC" w14:textId="25F7AE59" w:rsidR="00896468" w:rsidRDefault="00B31E50">
            <w:pPr>
              <w:pStyle w:val="P68B1DB1-ListParagraph25"/>
              <w:numPr>
                <w:ilvl w:val="0"/>
                <w:numId w:val="298"/>
              </w:numPr>
              <w:spacing w:before="108"/>
              <w:jc w:val="both"/>
            </w:pPr>
            <w:r>
              <w:t>MREL teljesítéséhez figyelembe vehető egyéb kötelezettségek</w:t>
            </w:r>
          </w:p>
          <w:p w14:paraId="7FE1B7FD" w14:textId="29E846ED" w:rsidR="00896468" w:rsidRDefault="00B31E50">
            <w:pPr>
              <w:pStyle w:val="P68B1DB1-ListParagraph25"/>
              <w:numPr>
                <w:ilvl w:val="0"/>
                <w:numId w:val="298"/>
              </w:numPr>
              <w:spacing w:before="108"/>
              <w:jc w:val="both"/>
            </w:pPr>
            <w:r>
              <w:t>Nem pénzügyi kötelezettségek</w:t>
            </w:r>
          </w:p>
          <w:p w14:paraId="7FE1B7FE" w14:textId="4EF5CD96" w:rsidR="00896468" w:rsidRDefault="00B31E50">
            <w:pPr>
              <w:pStyle w:val="P68B1DB1-ListParagraph25"/>
              <w:numPr>
                <w:ilvl w:val="0"/>
                <w:numId w:val="298"/>
              </w:numPr>
              <w:spacing w:before="108"/>
              <w:jc w:val="both"/>
            </w:pPr>
            <w:r>
              <w:t>Egyéb kötelezettségek</w:t>
            </w:r>
          </w:p>
          <w:p w14:paraId="7FE1B7FF" w14:textId="77777777" w:rsidR="00896468" w:rsidRDefault="00B31E50">
            <w:pPr>
              <w:pStyle w:val="P68B1DB1-TableParagraph17"/>
              <w:spacing w:before="108"/>
              <w:ind w:left="85"/>
              <w:jc w:val="both"/>
            </w:pPr>
            <w:r>
              <w:t>Ha valamely fő partnerrel szembeni kötelezettségek a fent említett típusok közül egynél többhöz tartoznak, minden egyes kötelezettségtípust külön sorban kell feltüntetni.</w:t>
            </w:r>
          </w:p>
        </w:tc>
      </w:tr>
      <w:tr w:rsidR="00896468"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896468" w:rsidRDefault="00B31E50">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896468" w:rsidRDefault="00B31E50">
            <w:pPr>
              <w:pStyle w:val="P68B1DB1-TableParagraph14"/>
              <w:spacing w:before="108"/>
              <w:ind w:left="85"/>
              <w:jc w:val="both"/>
              <w:rPr>
                <w:bCs/>
              </w:rPr>
            </w:pPr>
            <w:r>
              <w:t>Összeg</w:t>
            </w:r>
          </w:p>
          <w:p w14:paraId="7FE1B803" w14:textId="26236BF5" w:rsidR="00896468" w:rsidRDefault="00B31E50">
            <w:pPr>
              <w:pStyle w:val="P68B1DB1-TableParagraph17"/>
              <w:spacing w:before="108"/>
              <w:ind w:left="85"/>
              <w:jc w:val="both"/>
            </w:pPr>
            <w:r>
              <w:t xml:space="preserve">Az összeg megegyezik a „kintlévőség összege” Z 02.00 – Kötelezettségek szerkezete táblában szereplő </w:t>
            </w:r>
            <w:r w:rsidR="00F56F2A">
              <w:t>meghatározással</w:t>
            </w:r>
            <w:r>
              <w:t>. A származtatott ügyletekből eredő kötelezettségek esetében (L.3. típus) a Z 02.00 tábla 0333. sora szerinti lezárási összegeket kell feltüntetni</w:t>
            </w:r>
          </w:p>
        </w:tc>
      </w:tr>
    </w:tbl>
    <w:p w14:paraId="7FE1B805" w14:textId="77777777" w:rsidR="00896468" w:rsidRDefault="00896468">
      <w:pPr>
        <w:pStyle w:val="body"/>
        <w:rPr>
          <w:rFonts w:ascii="Times New Roman" w:hAnsi="Times New Roman" w:cs="Times New Roman"/>
          <w:color w:val="000000" w:themeColor="text1"/>
          <w:sz w:val="20"/>
          <w:szCs w:val="20"/>
        </w:rPr>
      </w:pPr>
    </w:p>
    <w:p w14:paraId="7FE1B806" w14:textId="37F15C10" w:rsidR="00896468" w:rsidRDefault="00B31E50">
      <w:pPr>
        <w:pStyle w:val="P68B1DB1-Instructionsberschrift25"/>
        <w:numPr>
          <w:ilvl w:val="1"/>
          <w:numId w:val="49"/>
        </w:numPr>
        <w:ind w:left="357" w:hanging="357"/>
      </w:pPr>
      <w:bookmarkStart w:id="71" w:name="_Toc210982873"/>
      <w:bookmarkStart w:id="72" w:name="_Toc81454185"/>
      <w:r>
        <w:t xml:space="preserve">Z 05.02 – Fő partnerek (mérlegen kívüli tételek </w:t>
      </w:r>
      <w:r w:rsidR="00F56F2A">
        <w:t>tekintetében</w:t>
      </w:r>
      <w:r>
        <w:t>) (LIAB 6)</w:t>
      </w:r>
      <w:bookmarkEnd w:id="71"/>
    </w:p>
    <w:p w14:paraId="7FE1B807" w14:textId="77777777" w:rsidR="00896468" w:rsidRDefault="00B31E50">
      <w:pPr>
        <w:pStyle w:val="P68B1DB1-body26"/>
      </w:pPr>
      <w:r>
        <w:t>A táblák egyes részeire vonatkozó útmutatások</w:t>
      </w:r>
      <w:bookmarkEnd w:id="72"/>
    </w:p>
    <w:p w14:paraId="7FE1B808" w14:textId="77777777" w:rsidR="00896468" w:rsidRDefault="00B31E50">
      <w:pPr>
        <w:pStyle w:val="P68B1DB1-InstructionsText26"/>
        <w:numPr>
          <w:ilvl w:val="0"/>
          <w:numId w:val="232"/>
        </w:numPr>
        <w:spacing w:before="0"/>
      </w:pPr>
      <w:r>
        <w:t>Az e tábla 0020. és 0060. oszlopában feltüntetett értékek kombinációja elsődleges kulcsot képez, amelynek a tábla minden sorát egyedileg kell azonosítania.</w:t>
      </w:r>
    </w:p>
    <w:tbl>
      <w:tblPr>
        <w:tblW w:w="0" w:type="auto"/>
        <w:tblCellMar>
          <w:top w:w="57" w:type="dxa"/>
          <w:left w:w="57" w:type="dxa"/>
          <w:bottom w:w="57" w:type="dxa"/>
          <w:right w:w="0" w:type="dxa"/>
        </w:tblCellMar>
        <w:tblLook w:val="01E0" w:firstRow="1" w:lastRow="1" w:firstColumn="1" w:lastColumn="1" w:noHBand="0" w:noVBand="0"/>
      </w:tblPr>
      <w:tblGrid>
        <w:gridCol w:w="909"/>
        <w:gridCol w:w="8117"/>
      </w:tblGrid>
      <w:tr w:rsidR="00896468"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896468" w:rsidRDefault="00B31E50">
            <w:pPr>
              <w:pStyle w:val="P68B1DB1-TableParagraph17"/>
              <w:spacing w:before="108"/>
              <w:ind w:left="85"/>
              <w:jc w:val="both"/>
            </w:pPr>
            <w:r>
              <w:t>Oszlopok</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896468" w:rsidRDefault="00B31E50">
            <w:pPr>
              <w:pStyle w:val="P68B1DB1-TableParagraph17"/>
              <w:spacing w:before="108"/>
              <w:ind w:left="85" w:right="1"/>
              <w:jc w:val="both"/>
            </w:pPr>
            <w:r>
              <w:t>Útmutató</w:t>
            </w:r>
          </w:p>
        </w:tc>
      </w:tr>
      <w:tr w:rsidR="00896468"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896468" w:rsidRDefault="00B31E50">
            <w:pPr>
              <w:pStyle w:val="P68B1DB1-TableParagraph17"/>
              <w:spacing w:before="108"/>
              <w:ind w:left="85"/>
              <w:jc w:val="both"/>
            </w:pPr>
            <w:r>
              <w:t>0010–</w:t>
            </w:r>
            <w:r>
              <w:lastRenderedPageBreak/>
              <w:t>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896468" w:rsidRDefault="00B31E50">
            <w:pPr>
              <w:pStyle w:val="P68B1DB1-TableParagraph14"/>
              <w:spacing w:before="108"/>
              <w:ind w:left="85"/>
              <w:jc w:val="both"/>
              <w:rPr>
                <w:bCs/>
              </w:rPr>
            </w:pPr>
            <w:r>
              <w:lastRenderedPageBreak/>
              <w:t>Partner</w:t>
            </w:r>
          </w:p>
          <w:p w14:paraId="7FE1B80E" w14:textId="77777777" w:rsidR="00896468" w:rsidRDefault="00B31E50">
            <w:pPr>
              <w:pStyle w:val="P68B1DB1-TableParagraph17"/>
              <w:spacing w:before="108"/>
              <w:ind w:left="85"/>
              <w:jc w:val="both"/>
            </w:pPr>
            <w:r>
              <w:lastRenderedPageBreak/>
              <w:t>A mérlegen kívüli fő partnerekre vonatkozó információk.</w:t>
            </w:r>
          </w:p>
          <w:p w14:paraId="7FE1B80F" w14:textId="4F0506EF" w:rsidR="00896468" w:rsidRDefault="00B31E50">
            <w:pPr>
              <w:pStyle w:val="P68B1DB1-TableParagraph17"/>
              <w:spacing w:before="108"/>
              <w:ind w:left="85"/>
              <w:jc w:val="both"/>
            </w:pPr>
            <w:r>
              <w:t xml:space="preserve">A főbb mérlegen kívüli </w:t>
            </w:r>
            <w:r w:rsidR="00F56F2A">
              <w:t xml:space="preserve">partnereket </w:t>
            </w:r>
            <w:r>
              <w:t xml:space="preserve">a partnerektől vagy az egymással kapcsolatban álló ügyfelek csoportjától a táblában adatot szolgáltató szervezet vagy a csoporthoz tartozó szervezetek által kapott  </w:t>
            </w:r>
            <w:r w:rsidR="005822A2">
              <w:t xml:space="preserve">kötelezettségvállalások </w:t>
            </w:r>
            <w:r>
              <w:t>és pénzügyi garanciák teljes névleges összegének összeadásával kell meghatározni (a FINREP F 09 tábla alkalmazásában meghatározottaknak megfelelően). Nem sorolhatók a mérlegen kívüli fő partnerek közé a csoport konszolidált pénzügyi kimutatásaiban szereplő szervezetek. Ezt követően a partnereket vagy az egymással kapcsolatban álló ügyfelek csoportjait az aggregált összeg alapján rangsorolni kell, és az adatokat a 10 legfőbb mérlegen kívüli partnerre vonatkozóan kell jelenteni.</w:t>
            </w:r>
          </w:p>
          <w:p w14:paraId="7FE1B810" w14:textId="7E8B9744" w:rsidR="00896468" w:rsidRDefault="00B31E50">
            <w:pPr>
              <w:pStyle w:val="P68B1DB1-Normal18"/>
              <w:spacing w:line="257" w:lineRule="auto"/>
              <w:ind w:left="25"/>
              <w:jc w:val="both"/>
            </w:pPr>
            <w:r>
              <w:t>A származtatott ügyletek nem sorolhatók be a fent leírt tíz legmagasabb ranghelybe: itt külön listát kell megadni a mérlegen kívüli származtatott ügylet</w:t>
            </w:r>
            <w:r w:rsidR="00AA16CD">
              <w:t>eket érintő</w:t>
            </w:r>
            <w:r>
              <w:t xml:space="preserve"> 5 </w:t>
            </w:r>
            <w:r w:rsidR="00AA16CD">
              <w:t xml:space="preserve">legnagyobb </w:t>
            </w:r>
            <w:r>
              <w:t>partnerről, hogy elkerülhető legyen a Z 05.02 jelentés</w:t>
            </w:r>
            <w:r w:rsidR="005822A2">
              <w:t>ben csak a származtatott ügyletek egyenlegeinek feltüntetése.</w:t>
            </w:r>
            <w:r>
              <w:t>.</w:t>
            </w:r>
          </w:p>
          <w:p w14:paraId="7FE1B812" w14:textId="5E923404" w:rsidR="00896468" w:rsidRDefault="00896468">
            <w:pPr>
              <w:pStyle w:val="TableParagraph"/>
              <w:spacing w:before="108"/>
              <w:jc w:val="both"/>
              <w:rPr>
                <w:rFonts w:ascii="Times New Roman" w:eastAsia="Cambria" w:hAnsi="Times New Roman" w:cs="Times New Roman"/>
                <w:color w:val="000000" w:themeColor="text1"/>
                <w:sz w:val="20"/>
                <w:szCs w:val="20"/>
              </w:rPr>
            </w:pPr>
          </w:p>
        </w:tc>
      </w:tr>
      <w:tr w:rsidR="00896468"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896468" w:rsidRDefault="00B31E50">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896468" w:rsidRDefault="00B31E50">
            <w:pPr>
              <w:pStyle w:val="P68B1DB1-TableParagraph14"/>
              <w:spacing w:before="108"/>
              <w:ind w:left="85"/>
              <w:jc w:val="both"/>
              <w:rPr>
                <w:bCs/>
              </w:rPr>
            </w:pPr>
            <w:r>
              <w:t>Szervezet neve</w:t>
            </w:r>
          </w:p>
          <w:p w14:paraId="7FE1B816" w14:textId="77777777" w:rsidR="00896468" w:rsidRDefault="00B31E50">
            <w:pPr>
              <w:pStyle w:val="P68B1DB1-Normal18"/>
              <w:spacing w:before="108"/>
              <w:ind w:left="85"/>
              <w:jc w:val="both"/>
            </w:pPr>
            <w:r>
              <w:t>A fő partner vagy adott esetben az egymással kapcsolatban álló ügyfelek csoportjának neve.</w:t>
            </w:r>
          </w:p>
          <w:p w14:paraId="7FE1B817" w14:textId="29E2618F" w:rsidR="00896468" w:rsidRDefault="00B31E50">
            <w:pPr>
              <w:pStyle w:val="P68B1DB1-TableParagraph17"/>
              <w:spacing w:before="108"/>
              <w:ind w:left="85"/>
              <w:jc w:val="both"/>
            </w:pPr>
            <w:r>
              <w:t>Az egymással kapcsolatban álló ügyfelek csoportjának neve az anyavállalat neve, vagy ha az egymással kapcsolatban álló ügyfelek csoportjának nincs anyavállalata, a csoport kereskedelmi neve.</w:t>
            </w:r>
          </w:p>
        </w:tc>
      </w:tr>
      <w:tr w:rsidR="00896468"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896468" w:rsidRDefault="00B31E50">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896468" w:rsidRDefault="00B31E50">
            <w:pPr>
              <w:pStyle w:val="P68B1DB1-TableParagraph14"/>
              <w:spacing w:before="108"/>
              <w:ind w:left="85"/>
              <w:jc w:val="both"/>
              <w:rPr>
                <w:bCs/>
              </w:rPr>
            </w:pPr>
            <w:r>
              <w:t>Kód</w:t>
            </w:r>
          </w:p>
          <w:p w14:paraId="7FE1B81B" w14:textId="77777777" w:rsidR="00896468" w:rsidRDefault="00B31E50">
            <w:pPr>
              <w:pStyle w:val="P68B1DB1-TableParagraph17"/>
              <w:spacing w:before="108"/>
              <w:ind w:left="85"/>
              <w:jc w:val="both"/>
            </w:pPr>
            <w:r>
              <w:t>A fő partner kódja vagy az egymással kapcsolatban álló ügyfelek csoportjának kódja. Intézmények esetében a kód a 20 jegyű, alfanumerikus LEI-kód. Más szervezetek esetében a kód a 20 jegyű, alfanumerikus LEI-kód, vagy ha nem áll rendelkezésre, az Unióban alkalmazandó egységes kódrendszer szerinti kód, vagy ha ez sem áll rendelkezésre, valamely nemzeti kód.</w:t>
            </w:r>
          </w:p>
          <w:p w14:paraId="7FE1B81C" w14:textId="6CC57833" w:rsidR="00896468" w:rsidRDefault="00B31E50">
            <w:pPr>
              <w:pStyle w:val="P68B1DB1-TableParagraph17"/>
              <w:spacing w:before="108"/>
              <w:ind w:left="85"/>
              <w:jc w:val="both"/>
            </w:pPr>
            <w:r>
              <w:t>A kódnak egyedinek kell lennie, és azt valamennyi táblán következetesen kell használni.</w:t>
            </w:r>
          </w:p>
        </w:tc>
      </w:tr>
      <w:tr w:rsidR="00896468"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896468" w:rsidRDefault="00B31E50">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896468" w:rsidRDefault="00B31E50">
            <w:pPr>
              <w:pStyle w:val="P68B1DB1-TableParagraph14"/>
              <w:spacing w:before="108"/>
              <w:ind w:left="85"/>
              <w:jc w:val="both"/>
              <w:rPr>
                <w:bCs/>
              </w:rPr>
            </w:pPr>
            <w:r>
              <w:t>Kód típusa</w:t>
            </w:r>
          </w:p>
          <w:p w14:paraId="7FE1B821" w14:textId="6020ACA4" w:rsidR="00896468" w:rsidRDefault="00B31E50">
            <w:pPr>
              <w:pStyle w:val="P68B1DB1-TableParagraph13"/>
              <w:spacing w:before="108"/>
            </w:pPr>
            <w:r>
              <w:t>A következő listából választandó: „LEI-kód”, „MPI-kód” vagy „Az azonosító típusa, a LEI- vagy MPI-kód kivételével”.</w:t>
            </w:r>
          </w:p>
          <w:p w14:paraId="7FE1B822" w14:textId="4C371280" w:rsidR="00896468" w:rsidRDefault="00B31E50">
            <w:pPr>
              <w:pStyle w:val="P68B1DB1-TableParagraph13"/>
              <w:spacing w:before="108"/>
              <w:ind w:left="85"/>
              <w:jc w:val="both"/>
              <w:rPr>
                <w:b/>
                <w:bCs/>
              </w:rPr>
            </w:pPr>
            <w:r>
              <w:t xml:space="preserve">A </w:t>
            </w:r>
            <w:r w:rsidR="00137301">
              <w:t>szervezetek</w:t>
            </w:r>
            <w:r>
              <w:t xml:space="preserve"> azonosítását a táblákban következetesen kell elvégezni.</w:t>
            </w:r>
          </w:p>
        </w:tc>
      </w:tr>
      <w:tr w:rsidR="00896468"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896468" w:rsidRDefault="00B31E50">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CD89A5" w:rsidR="00896468" w:rsidRDefault="00B31E50">
            <w:pPr>
              <w:pStyle w:val="P68B1DB1-TableParagraph14"/>
              <w:spacing w:before="108"/>
              <w:ind w:left="85"/>
              <w:jc w:val="both"/>
              <w:rPr>
                <w:bCs/>
              </w:rPr>
            </w:pPr>
            <w:r>
              <w:t>Csoport vagy egy</w:t>
            </w:r>
            <w:r w:rsidR="00137301">
              <w:t>éni partner</w:t>
            </w:r>
          </w:p>
          <w:p w14:paraId="2E0A09DE" w14:textId="77777777" w:rsidR="00896468" w:rsidRDefault="00B31E50">
            <w:pPr>
              <w:pStyle w:val="P68B1DB1-Normal18"/>
              <w:ind w:left="85"/>
            </w:pPr>
            <w:r>
              <w:t>Az intézménynek adatot kell szolgáltatnia a következőkről:</w:t>
            </w:r>
          </w:p>
          <w:p w14:paraId="52295733" w14:textId="23267448" w:rsidR="00896468" w:rsidRDefault="00B31E50">
            <w:pPr>
              <w:pStyle w:val="P68B1DB1-ListParagraph25"/>
              <w:numPr>
                <w:ilvl w:val="0"/>
                <w:numId w:val="297"/>
              </w:numPr>
            </w:pPr>
            <w:r>
              <w:t xml:space="preserve">Egyéni </w:t>
            </w:r>
            <w:r w:rsidR="00137301">
              <w:t>partnerek</w:t>
            </w:r>
            <w:r>
              <w:t>;</w:t>
            </w:r>
          </w:p>
          <w:p w14:paraId="7FE1B826" w14:textId="76B98F2C" w:rsidR="00896468" w:rsidRDefault="00B31E50">
            <w:pPr>
              <w:pStyle w:val="P68B1DB1-TableParagraph17"/>
              <w:numPr>
                <w:ilvl w:val="0"/>
                <w:numId w:val="297"/>
              </w:numPr>
              <w:spacing w:before="108"/>
              <w:jc w:val="both"/>
            </w:pPr>
            <w:r>
              <w:t>Egymással kapcsolatban álló ügyfelek csoportjai</w:t>
            </w:r>
          </w:p>
        </w:tc>
      </w:tr>
      <w:tr w:rsidR="00896468"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896468" w:rsidRDefault="00B31E50">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896468" w:rsidRDefault="00B31E50">
            <w:pPr>
              <w:pStyle w:val="P68B1DB1-TableParagraph14"/>
              <w:spacing w:before="108"/>
              <w:ind w:left="85"/>
              <w:jc w:val="both"/>
              <w:rPr>
                <w:bCs/>
              </w:rPr>
            </w:pPr>
            <w:r>
              <w:t>Ország</w:t>
            </w:r>
          </w:p>
          <w:p w14:paraId="7FE1B82A" w14:textId="77777777" w:rsidR="00896468" w:rsidRDefault="00B31E50">
            <w:pPr>
              <w:pStyle w:val="P68B1DB1-Normal18"/>
              <w:spacing w:before="108"/>
              <w:ind w:left="85"/>
              <w:contextualSpacing/>
              <w:jc w:val="both"/>
            </w:pPr>
            <w:r>
              <w:t xml:space="preserve">A partner bejegyzése szerinti ország ISO 3166–1-alpha-2 kódja. Idetartoznak a nemzetközi szervezetekre vonatkozó pszeudo-ISO-kódok, amelyek az Eurostat fizetési mérleggel foglalkozó Vademecumának (Balance of Payments Vademecum) legfrissebb kiadásában találhatók. </w:t>
            </w:r>
          </w:p>
          <w:p w14:paraId="7FE1B82B" w14:textId="47B683FE" w:rsidR="00896468" w:rsidRDefault="00B31E50">
            <w:pPr>
              <w:pStyle w:val="P68B1DB1-TableParagraph17"/>
              <w:spacing w:before="108"/>
              <w:ind w:left="85"/>
              <w:jc w:val="both"/>
            </w:pPr>
            <w:r>
              <w:t>Az országot a partner létesítő okirat szerinti székhelye alapján határozzák meg. Egymással kapcsolatban álló ügyfelek csoportja esetében az anyavállalat bejegyzése szerinti ország.</w:t>
            </w:r>
          </w:p>
        </w:tc>
      </w:tr>
      <w:tr w:rsidR="00896468"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896468" w:rsidRDefault="00B31E50">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896468" w:rsidRDefault="00B31E50">
            <w:pPr>
              <w:pStyle w:val="P68B1DB1-TableParagraph14"/>
              <w:spacing w:before="108"/>
              <w:ind w:left="85"/>
              <w:jc w:val="both"/>
              <w:rPr>
                <w:bCs/>
              </w:rPr>
            </w:pPr>
            <w:r>
              <w:t>Szektor</w:t>
            </w:r>
          </w:p>
          <w:p w14:paraId="7FE1B82F" w14:textId="77777777" w:rsidR="00896468" w:rsidRDefault="00B31E50">
            <w:pPr>
              <w:pStyle w:val="P68B1DB1-TableParagraph17"/>
              <w:spacing w:before="108"/>
              <w:ind w:left="85"/>
              <w:jc w:val="both"/>
            </w:pPr>
            <w:r>
              <w:t>Minden partnerhez egy szektort kell rendelni a FINREP szerinti gazdasági ágazati kategóriák alapján (FINREP, V. melléklet, 1. rész, 6. fejezet):</w:t>
            </w:r>
          </w:p>
          <w:p w14:paraId="7FE1B830" w14:textId="77777777" w:rsidR="00896468" w:rsidRDefault="00B31E50">
            <w:pPr>
              <w:pStyle w:val="P68B1DB1-List127"/>
              <w:numPr>
                <w:ilvl w:val="0"/>
                <w:numId w:val="64"/>
              </w:numPr>
            </w:pPr>
            <w:r>
              <w:t>Központi bankok</w:t>
            </w:r>
          </w:p>
          <w:p w14:paraId="7FE1B831" w14:textId="77777777" w:rsidR="00896468" w:rsidRDefault="00B31E50">
            <w:pPr>
              <w:pStyle w:val="P68B1DB1-List127"/>
              <w:numPr>
                <w:ilvl w:val="0"/>
                <w:numId w:val="64"/>
              </w:numPr>
            </w:pPr>
            <w:r>
              <w:t>Államháztartások</w:t>
            </w:r>
          </w:p>
          <w:p w14:paraId="7FE1B832" w14:textId="77777777" w:rsidR="00896468" w:rsidRDefault="00B31E50">
            <w:pPr>
              <w:pStyle w:val="P68B1DB1-List127"/>
              <w:numPr>
                <w:ilvl w:val="0"/>
                <w:numId w:val="64"/>
              </w:numPr>
            </w:pPr>
            <w:r>
              <w:t xml:space="preserve">Hitelintézetek: </w:t>
            </w:r>
          </w:p>
          <w:p w14:paraId="7FE1B833" w14:textId="77777777" w:rsidR="00896468" w:rsidRDefault="00B31E50">
            <w:pPr>
              <w:pStyle w:val="P68B1DB1-List127"/>
              <w:numPr>
                <w:ilvl w:val="0"/>
                <w:numId w:val="64"/>
              </w:numPr>
            </w:pPr>
            <w:r>
              <w:t>Egyéb pénzügyi vállalatok</w:t>
            </w:r>
          </w:p>
          <w:p w14:paraId="7FE1B834" w14:textId="77777777" w:rsidR="00896468" w:rsidRDefault="00B31E50">
            <w:pPr>
              <w:pStyle w:val="P68B1DB1-List127"/>
              <w:numPr>
                <w:ilvl w:val="0"/>
                <w:numId w:val="64"/>
              </w:numPr>
            </w:pPr>
            <w:r>
              <w:lastRenderedPageBreak/>
              <w:t>Nem pénzügyi vállalatok</w:t>
            </w:r>
          </w:p>
          <w:p w14:paraId="7FE1B835" w14:textId="77777777" w:rsidR="00896468" w:rsidRDefault="00B31E50">
            <w:pPr>
              <w:pStyle w:val="P68B1DB1-List127"/>
              <w:numPr>
                <w:ilvl w:val="0"/>
                <w:numId w:val="64"/>
              </w:numPr>
            </w:pPr>
            <w:r>
              <w:t>Háztartások</w:t>
            </w:r>
          </w:p>
          <w:p w14:paraId="7FE1B836" w14:textId="3FF28E9A" w:rsidR="00896468" w:rsidRDefault="00B31E50">
            <w:pPr>
              <w:pStyle w:val="P68B1DB1-TableParagraph17"/>
              <w:spacing w:before="108"/>
              <w:ind w:left="85"/>
              <w:jc w:val="both"/>
            </w:pPr>
            <w:r>
              <w:t>Egymással kapcsolatban álló ügyfelek csoportja esetében nem kell ágazatot feltüntetni.</w:t>
            </w:r>
          </w:p>
        </w:tc>
      </w:tr>
      <w:tr w:rsidR="00896468"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896468" w:rsidRDefault="00B31E50">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896468" w:rsidRDefault="00B31E50">
            <w:pPr>
              <w:pStyle w:val="P68B1DB1-TableParagraph14"/>
              <w:spacing w:before="108"/>
              <w:ind w:left="85"/>
              <w:jc w:val="both"/>
              <w:rPr>
                <w:bCs/>
              </w:rPr>
            </w:pPr>
            <w:r>
              <w:t>Típus</w:t>
            </w:r>
          </w:p>
          <w:p w14:paraId="7FE1B83A" w14:textId="77777777" w:rsidR="00896468" w:rsidRDefault="00B31E50">
            <w:pPr>
              <w:pStyle w:val="P68B1DB1-TableParagraph17"/>
              <w:spacing w:before="108"/>
              <w:ind w:left="85"/>
              <w:jc w:val="both"/>
            </w:pPr>
            <w:r>
              <w:t>A mérlegen kívüli kitettség típusa a következők egyike a FINREP F 09.02 táblában meghatározottak szerint:</w:t>
            </w:r>
          </w:p>
          <w:p w14:paraId="7FE1B83B" w14:textId="57556FED" w:rsidR="00896468" w:rsidRDefault="00B31E50">
            <w:pPr>
              <w:pStyle w:val="P68B1DB1-TableParagraph17"/>
              <w:numPr>
                <w:ilvl w:val="0"/>
                <w:numId w:val="299"/>
              </w:numPr>
              <w:spacing w:before="108"/>
              <w:jc w:val="both"/>
            </w:pPr>
            <w:r>
              <w:t>Kapott hitelnyújtási kötelezettségvállalások</w:t>
            </w:r>
          </w:p>
          <w:p w14:paraId="7FE1B83C" w14:textId="03B3C9F7" w:rsidR="00896468" w:rsidRDefault="00B31E50">
            <w:pPr>
              <w:pStyle w:val="P68B1DB1-TableParagraph17"/>
              <w:numPr>
                <w:ilvl w:val="0"/>
                <w:numId w:val="299"/>
              </w:numPr>
              <w:spacing w:before="108"/>
              <w:jc w:val="both"/>
            </w:pPr>
            <w:r>
              <w:t>Kapott pénzügyi garanciák</w:t>
            </w:r>
          </w:p>
          <w:p w14:paraId="7FE1B83D" w14:textId="1547B305" w:rsidR="00896468" w:rsidRDefault="00B31E50">
            <w:pPr>
              <w:pStyle w:val="P68B1DB1-TableParagraph17"/>
              <w:numPr>
                <w:ilvl w:val="0"/>
                <w:numId w:val="299"/>
              </w:numPr>
              <w:spacing w:before="108"/>
              <w:jc w:val="both"/>
            </w:pPr>
            <w:r>
              <w:t xml:space="preserve">Kapott egyéb </w:t>
            </w:r>
            <w:r w:rsidR="00687135">
              <w:t>kötelezettségvállalások</w:t>
            </w:r>
          </w:p>
          <w:p w14:paraId="7FE1B83E" w14:textId="7A79D0CA" w:rsidR="00896468" w:rsidRDefault="00B31E50">
            <w:pPr>
              <w:pStyle w:val="P68B1DB1-TableParagraph17"/>
              <w:numPr>
                <w:ilvl w:val="0"/>
                <w:numId w:val="299"/>
              </w:numPr>
              <w:spacing w:before="108"/>
              <w:jc w:val="both"/>
            </w:pPr>
            <w:r>
              <w:t>Származtatott termékek</w:t>
            </w:r>
          </w:p>
          <w:p w14:paraId="7FE1B83F" w14:textId="77777777" w:rsidR="00896468" w:rsidRDefault="00B31E50">
            <w:pPr>
              <w:pStyle w:val="P68B1DB1-TableParagraph17"/>
              <w:spacing w:before="108"/>
              <w:ind w:left="85"/>
              <w:jc w:val="both"/>
            </w:pPr>
            <w:r>
              <w:t>Ha valamely fő partnertől kapott mérlegen kívüli tételek a fent említett típusok közül egynél többhöz tartoznak, minden egyes típust külön sorban kell feltüntetni.</w:t>
            </w:r>
          </w:p>
        </w:tc>
      </w:tr>
      <w:tr w:rsidR="00896468"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896468" w:rsidRDefault="00B31E50">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896468" w:rsidRDefault="00B31E50">
            <w:pPr>
              <w:pStyle w:val="P68B1DB1-TableParagraph14"/>
              <w:spacing w:before="108"/>
              <w:ind w:left="85"/>
              <w:jc w:val="both"/>
              <w:rPr>
                <w:bCs/>
              </w:rPr>
            </w:pPr>
            <w:r>
              <w:t xml:space="preserve">Összeg </w:t>
            </w:r>
          </w:p>
          <w:p w14:paraId="7FE1B843" w14:textId="7AAB7784" w:rsidR="00896468" w:rsidRDefault="00B31E50">
            <w:pPr>
              <w:pStyle w:val="P68B1DB1-TableParagraph17"/>
              <w:spacing w:before="108"/>
              <w:ind w:left="85"/>
              <w:jc w:val="both"/>
              <w:rPr>
                <w:bCs/>
              </w:rPr>
            </w:pPr>
            <w:r>
              <w:t xml:space="preserve">Az összeg megegyezik a „kintlévőség összege” Z 02.00 – Kötelezettségek szerkezete táblában szereplő </w:t>
            </w:r>
            <w:r w:rsidR="00137301">
              <w:t>meghatározással</w:t>
            </w:r>
            <w:r>
              <w:t>. A származtatott ügyletekből eredő kötelezettségek esetében (L.3. típus) a Z 02.00 tábla 0333. sora szerinti lezárási összegeket kell feltüntetni</w:t>
            </w:r>
          </w:p>
        </w:tc>
      </w:tr>
    </w:tbl>
    <w:p w14:paraId="7FE1B845" w14:textId="77777777" w:rsidR="00896468" w:rsidRDefault="00896468">
      <w:pPr>
        <w:rPr>
          <w:rFonts w:ascii="Times New Roman" w:hAnsi="Times New Roman" w:cs="Times New Roman"/>
          <w:color w:val="000000" w:themeColor="text1"/>
          <w:sz w:val="20"/>
          <w:szCs w:val="20"/>
        </w:rPr>
      </w:pPr>
    </w:p>
    <w:p w14:paraId="7FE1B846" w14:textId="77777777" w:rsidR="00896468" w:rsidRDefault="00896468">
      <w:pPr>
        <w:rPr>
          <w:rFonts w:ascii="Times New Roman" w:eastAsia="MS Mincho" w:hAnsi="Times New Roman" w:cs="Times New Roman"/>
          <w:color w:val="000000" w:themeColor="text1"/>
          <w:sz w:val="20"/>
          <w:szCs w:val="20"/>
        </w:rPr>
      </w:pPr>
    </w:p>
    <w:p w14:paraId="7FE1B849" w14:textId="5330C525" w:rsidR="00896468" w:rsidRDefault="00B31E50">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1098287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Betétbiztosítás (LIAB 7)</w:t>
      </w:r>
      <w:bookmarkEnd w:id="95"/>
      <w:bookmarkEnd w:id="96"/>
      <w:bookmarkEnd w:id="97"/>
      <w:bookmarkEnd w:id="98"/>
      <w:bookmarkEnd w:id="99"/>
    </w:p>
    <w:p w14:paraId="7FE1B84A" w14:textId="77777777" w:rsidR="00896468" w:rsidRDefault="00B31E50">
      <w:pPr>
        <w:pStyle w:val="Instructionsberschrift3"/>
      </w:pPr>
      <w:r>
        <w:t>Általános megjegyzések</w:t>
      </w:r>
    </w:p>
    <w:p w14:paraId="7FE1B84B" w14:textId="2FD8975A" w:rsidR="00896468" w:rsidRDefault="00B31E50">
      <w:pPr>
        <w:pStyle w:val="P68B1DB1-InstructionsText26"/>
        <w:numPr>
          <w:ilvl w:val="0"/>
          <w:numId w:val="71"/>
        </w:numPr>
        <w:spacing w:before="0"/>
        <w:ind w:left="714" w:hanging="357"/>
      </w:pPr>
      <w:r>
        <w:t xml:space="preserve">Ez a tábla áttekintést nyújt a csoporton belüli betétbiztosításról és azon betétbiztosítási rendszerekről, amelyeknek a releváns szervezetnek minősülő hitelintézetek </w:t>
      </w:r>
      <w:r w:rsidR="002E0220">
        <w:t xml:space="preserve">a </w:t>
      </w:r>
      <w:r>
        <w:t>tagjai.</w:t>
      </w:r>
    </w:p>
    <w:p w14:paraId="7FE1B84C" w14:textId="77777777" w:rsidR="00896468" w:rsidRDefault="00B31E50">
      <w:pPr>
        <w:pStyle w:val="P68B1DB1-InstructionsText26"/>
        <w:numPr>
          <w:ilvl w:val="0"/>
          <w:numId w:val="71"/>
        </w:numPr>
        <w:spacing w:before="0"/>
        <w:ind w:left="714" w:hanging="357"/>
      </w:pPr>
      <w:r>
        <w:t>A csoporthoz tartozó minden hitelintézetet külön sorban kell feltüntetni.</w:t>
      </w:r>
    </w:p>
    <w:p w14:paraId="7FE1B84D" w14:textId="77777777" w:rsidR="00896468" w:rsidRDefault="00B31E50">
      <w:pPr>
        <w:pStyle w:val="Instructionsberschrift3"/>
        <w:numPr>
          <w:ilvl w:val="0"/>
          <w:numId w:val="0"/>
        </w:numPr>
        <w:ind w:left="720"/>
      </w:pPr>
      <w:r>
        <w:t>A táblák egyes részeire vonatkozó útmutatások</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96468"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896468" w:rsidRDefault="00B31E50">
            <w:pPr>
              <w:pStyle w:val="P68B1DB1-TableParagraph17"/>
              <w:spacing w:before="108"/>
              <w:ind w:left="85"/>
              <w:jc w:val="both"/>
            </w:pPr>
            <w:r>
              <w:t>Oszlopok</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896468" w:rsidRDefault="00B31E50">
            <w:pPr>
              <w:pStyle w:val="P68B1DB1-TableParagraph17"/>
              <w:spacing w:before="108"/>
              <w:ind w:left="85" w:right="1"/>
              <w:jc w:val="both"/>
            </w:pPr>
            <w:r>
              <w:t>Útmutató</w:t>
            </w:r>
          </w:p>
        </w:tc>
      </w:tr>
      <w:tr w:rsidR="00896468"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896468" w:rsidRDefault="00B31E50">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896468" w:rsidRDefault="00B31E50">
            <w:pPr>
              <w:pStyle w:val="P68B1DB1-TableParagraph14"/>
              <w:spacing w:before="108"/>
              <w:ind w:left="85"/>
              <w:jc w:val="both"/>
              <w:rPr>
                <w:rFonts w:eastAsia="Cambria"/>
              </w:rPr>
            </w:pPr>
            <w:r>
              <w:t>Jogi személy</w:t>
            </w:r>
          </w:p>
        </w:tc>
      </w:tr>
      <w:tr w:rsidR="00896468"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896468" w:rsidRDefault="00B31E50">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896468" w:rsidRDefault="00B31E50">
            <w:pPr>
              <w:pStyle w:val="P68B1DB1-TableParagraph14"/>
              <w:spacing w:before="108"/>
              <w:ind w:left="85"/>
              <w:jc w:val="both"/>
              <w:rPr>
                <w:bCs/>
              </w:rPr>
            </w:pPr>
            <w:r>
              <w:t>Szervezet neve</w:t>
            </w:r>
          </w:p>
          <w:p w14:paraId="7FE1B856" w14:textId="1F1505B5" w:rsidR="00896468" w:rsidRDefault="00B31E50">
            <w:pPr>
              <w:pStyle w:val="P68B1DB1-TableParagraph17"/>
              <w:spacing w:before="108"/>
              <w:ind w:left="85"/>
              <w:jc w:val="both"/>
            </w:pPr>
            <w:r>
              <w:t xml:space="preserve">A szervezet Z 01.01 – </w:t>
            </w:r>
            <w:r w:rsidR="00E3628D">
              <w:t xml:space="preserve">Jogi személyek </w:t>
            </w:r>
            <w:r>
              <w:t xml:space="preserve">(ORG 1) táblában feltüntetett neve. </w:t>
            </w:r>
          </w:p>
        </w:tc>
      </w:tr>
      <w:tr w:rsidR="00896468"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896468" w:rsidRDefault="00B31E50">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896468" w:rsidRDefault="00B31E50">
            <w:pPr>
              <w:pStyle w:val="P68B1DB1-TableParagraph14"/>
              <w:spacing w:before="108"/>
              <w:ind w:left="85"/>
              <w:jc w:val="both"/>
              <w:rPr>
                <w:bCs/>
              </w:rPr>
            </w:pPr>
            <w:r>
              <w:t xml:space="preserve">Kód </w:t>
            </w:r>
          </w:p>
          <w:p w14:paraId="7FE1B85A" w14:textId="08DD7F70" w:rsidR="00896468" w:rsidRDefault="00B31E50">
            <w:pPr>
              <w:pStyle w:val="P68B1DB1-TableParagraph17"/>
              <w:spacing w:before="108"/>
              <w:ind w:left="85"/>
              <w:jc w:val="both"/>
            </w:pPr>
            <w:r>
              <w:t>A szervezet Z 01.01 –</w:t>
            </w:r>
            <w:r w:rsidR="00E3628D">
              <w:t xml:space="preserve">Jogi </w:t>
            </w:r>
            <w:r>
              <w:t>személyek (ORG 1) táblában feltüntetett kódja.</w:t>
            </w:r>
          </w:p>
          <w:p w14:paraId="7FE1B85B" w14:textId="77777777" w:rsidR="00896468" w:rsidRDefault="00B31E50">
            <w:pPr>
              <w:pStyle w:val="P68B1DB1-TableParagraph17"/>
              <w:spacing w:before="108"/>
              <w:ind w:left="85"/>
              <w:jc w:val="both"/>
            </w:pPr>
            <w:r>
              <w:t>Ez egy sorazonosító, amely a tábla minden egyes sorát egyedileg azonosítja.</w:t>
            </w:r>
          </w:p>
        </w:tc>
      </w:tr>
      <w:tr w:rsidR="00896468"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896468" w:rsidRDefault="00B31E50">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1269E51B" w:rsidR="00896468" w:rsidRDefault="002E0220">
            <w:pPr>
              <w:pStyle w:val="P68B1DB1-TableParagraph14"/>
              <w:spacing w:before="108"/>
              <w:ind w:left="85"/>
              <w:jc w:val="both"/>
              <w:rPr>
                <w:bCs/>
              </w:rPr>
            </w:pPr>
            <w:r>
              <w:t xml:space="preserve">Betétbiztosítási rendszerben (DGS) való </w:t>
            </w:r>
            <w:r w:rsidR="00B31E50">
              <w:t>tagság</w:t>
            </w:r>
          </w:p>
        </w:tc>
      </w:tr>
      <w:tr w:rsidR="00896468"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896468" w:rsidRDefault="00B31E50">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6C609F4F" w:rsidR="00896468" w:rsidRDefault="002E0220">
            <w:pPr>
              <w:pStyle w:val="P68B1DB1-TableParagraph14"/>
              <w:spacing w:before="108"/>
              <w:ind w:left="85"/>
              <w:jc w:val="both"/>
              <w:rPr>
                <w:bCs/>
              </w:rPr>
            </w:pPr>
            <w:r>
              <w:t>Betétbiztosítási rendszer</w:t>
            </w:r>
            <w:r w:rsidR="004268F4">
              <w:t xml:space="preserve"> (DGS)</w:t>
            </w:r>
            <w:r>
              <w:t xml:space="preserve"> </w:t>
            </w:r>
          </w:p>
          <w:p w14:paraId="7FE1B862" w14:textId="41C69940" w:rsidR="00896468" w:rsidRDefault="00B31E50">
            <w:pPr>
              <w:pStyle w:val="P68B1DB1-TableParagraph17"/>
              <w:spacing w:before="108"/>
              <w:ind w:left="85"/>
              <w:jc w:val="both"/>
            </w:pPr>
            <w:r>
              <w:t>A 2014/49/EU irányelv 4. cikkének (3) bekezdése</w:t>
            </w:r>
          </w:p>
          <w:p w14:paraId="7FE1B863" w14:textId="77777777" w:rsidR="00896468" w:rsidRDefault="00B31E50">
            <w:pPr>
              <w:pStyle w:val="P68B1DB1-TableParagraph17"/>
              <w:spacing w:before="108"/>
              <w:ind w:left="85"/>
              <w:jc w:val="both"/>
            </w:pPr>
            <w:r>
              <w:t xml:space="preserve">Azon hivatalosan elismert betétbiztosítási rendszerek neve, amelyeknek a szervezet a 2014/49/EU irányelv alkalmazásában tagja. Ez a szervezet bejegyzése szerinti tagállamban működő </w:t>
            </w:r>
            <w:r>
              <w:lastRenderedPageBreak/>
              <w:t>betétbiztosítási rendszer, azon más betétbiztosítási rendszerek kizárásával, amelyek más tagállamokban további védelmet („top up”) biztosíthatnak a szervezet ügyfeleinek az adott tagállamban lévő fióktelepnél. Amennyiben egy intézmény olyan intézményvédelmi rendszer tagja, amelyet a 2014/49/EU irányelv 4. cikkének (2) bekezdése értelmében betétbiztosítási rendszerként is elismertek, a betétbiztosítási rendszer neve megegyezik az intézményvédelmi rendszer 050. sorban feltüntetett nevével.</w:t>
            </w:r>
          </w:p>
          <w:p w14:paraId="7FE1B864" w14:textId="77777777" w:rsidR="00896468" w:rsidRDefault="00B31E50">
            <w:pPr>
              <w:pStyle w:val="P68B1DB1-TableParagraph17"/>
              <w:spacing w:before="108"/>
              <w:ind w:left="85"/>
              <w:jc w:val="both"/>
            </w:pPr>
            <w:r>
              <w:t>A betétbiztosítási rendszert a bejegyzés szerinti tagállamnak megfelelően a következők közül kell kiválasztani:</w:t>
            </w:r>
          </w:p>
          <w:p w14:paraId="7FE1B865" w14:textId="77777777" w:rsidR="00896468" w:rsidRDefault="00B31E50">
            <w:pPr>
              <w:pStyle w:val="P68B1DB1-TableParagraph28"/>
              <w:spacing w:before="108"/>
              <w:ind w:left="85"/>
              <w:jc w:val="both"/>
            </w:pPr>
            <w:r>
              <w:t>Ausztria esetében</w:t>
            </w:r>
          </w:p>
          <w:p w14:paraId="7FE1B866" w14:textId="7AF21273" w:rsidR="00896468" w:rsidRDefault="00B31E50">
            <w:pPr>
              <w:pStyle w:val="P68B1DB1-TableParagraph17"/>
              <w:numPr>
                <w:ilvl w:val="0"/>
                <w:numId w:val="70"/>
              </w:numPr>
              <w:spacing w:before="108"/>
              <w:jc w:val="both"/>
            </w:pPr>
            <w:r>
              <w:t xml:space="preserve">Einlagensicherung AUSTRIA Ges.m.b.H. </w:t>
            </w:r>
          </w:p>
          <w:p w14:paraId="7FE1B867" w14:textId="77777777" w:rsidR="00896468" w:rsidRDefault="00B31E50">
            <w:pPr>
              <w:pStyle w:val="P68B1DB1-TableParagraph17"/>
              <w:numPr>
                <w:ilvl w:val="0"/>
                <w:numId w:val="70"/>
              </w:numPr>
              <w:spacing w:before="108"/>
              <w:jc w:val="both"/>
            </w:pPr>
            <w:r>
              <w:t>„Sparkassen-Haftungs AG”</w:t>
            </w:r>
          </w:p>
          <w:p w14:paraId="7FE1B868" w14:textId="77777777" w:rsidR="00896468" w:rsidRDefault="00B31E50">
            <w:pPr>
              <w:pStyle w:val="P68B1DB1-TableParagraph17"/>
              <w:numPr>
                <w:ilvl w:val="0"/>
                <w:numId w:val="70"/>
              </w:numPr>
              <w:spacing w:before="108"/>
              <w:jc w:val="both"/>
            </w:pPr>
            <w:r>
              <w:t>„Österreichische Raiffeisen-Sicherungszervezet eGen”</w:t>
            </w:r>
          </w:p>
          <w:p w14:paraId="7FE1B869" w14:textId="77777777" w:rsidR="00896468" w:rsidRDefault="00B31E50">
            <w:pPr>
              <w:pStyle w:val="P68B1DB1-TableParagraph28"/>
              <w:spacing w:before="108"/>
              <w:ind w:left="85"/>
              <w:jc w:val="both"/>
            </w:pPr>
            <w:r>
              <w:t>Belgium</w:t>
            </w:r>
          </w:p>
          <w:p w14:paraId="7FE1B86A" w14:textId="77777777" w:rsidR="00896468" w:rsidRDefault="00B31E50">
            <w:pPr>
              <w:pStyle w:val="P68B1DB1-TableParagraph17"/>
              <w:numPr>
                <w:ilvl w:val="0"/>
                <w:numId w:val="70"/>
              </w:numPr>
              <w:spacing w:before="108"/>
              <w:jc w:val="both"/>
            </w:pPr>
            <w:r>
              <w:t>„Garantiefonds voor Financiële diensten/Fonds de garantie pour les services financiers”</w:t>
            </w:r>
          </w:p>
          <w:p w14:paraId="7FE1B86B" w14:textId="77777777" w:rsidR="00896468" w:rsidRDefault="00B31E50">
            <w:pPr>
              <w:pStyle w:val="P68B1DB1-TableParagraph28"/>
              <w:spacing w:before="108"/>
              <w:ind w:left="85"/>
              <w:jc w:val="both"/>
            </w:pPr>
            <w:r>
              <w:t>Bulgária</w:t>
            </w:r>
          </w:p>
          <w:p w14:paraId="7FE1B86C" w14:textId="33BABCB1" w:rsidR="00896468" w:rsidRDefault="00B31E50">
            <w:pPr>
              <w:pStyle w:val="P68B1DB1-TableParagraph17"/>
              <w:numPr>
                <w:ilvl w:val="0"/>
                <w:numId w:val="70"/>
              </w:numPr>
              <w:spacing w:before="108"/>
              <w:jc w:val="both"/>
            </w:pPr>
            <w:r>
              <w:t>„Фонд за гарантиране на влоговете в банките”</w:t>
            </w:r>
          </w:p>
          <w:p w14:paraId="7FE1B86D" w14:textId="77777777" w:rsidR="00896468" w:rsidRDefault="00B31E50">
            <w:pPr>
              <w:pStyle w:val="P68B1DB1-TableParagraph28"/>
              <w:spacing w:before="108"/>
              <w:ind w:left="85"/>
              <w:jc w:val="both"/>
            </w:pPr>
            <w:r>
              <w:t>Horvátország</w:t>
            </w:r>
          </w:p>
          <w:p w14:paraId="7FE1B86E" w14:textId="77777777" w:rsidR="00896468" w:rsidRDefault="00B31E50">
            <w:pPr>
              <w:pStyle w:val="P68B1DB1-TableParagraph17"/>
              <w:numPr>
                <w:ilvl w:val="0"/>
                <w:numId w:val="70"/>
              </w:numPr>
              <w:spacing w:before="108"/>
              <w:jc w:val="both"/>
            </w:pPr>
            <w:r>
              <w:t>„Hrvatska agencija za osiguranje depozita”</w:t>
            </w:r>
          </w:p>
          <w:p w14:paraId="7FE1B86F" w14:textId="77777777" w:rsidR="00896468" w:rsidRDefault="00B31E50">
            <w:pPr>
              <w:pStyle w:val="P68B1DB1-TableParagraph28"/>
              <w:spacing w:before="108"/>
              <w:ind w:left="85"/>
              <w:jc w:val="both"/>
            </w:pPr>
            <w:r>
              <w:t>Ciprus</w:t>
            </w:r>
          </w:p>
          <w:p w14:paraId="7FE1B870" w14:textId="77777777" w:rsidR="00896468" w:rsidRDefault="00B31E50">
            <w:pPr>
              <w:pStyle w:val="P68B1DB1-TableParagraph17"/>
              <w:numPr>
                <w:ilvl w:val="0"/>
                <w:numId w:val="70"/>
              </w:numPr>
              <w:spacing w:before="108"/>
              <w:jc w:val="both"/>
            </w:pPr>
            <w:r>
              <w:t>„Σύστημα Εγγύσης των Καταθέσεων και Εξυγίανσης Πιστωτικών και Άλλων Ιδρυμάτων”</w:t>
            </w:r>
          </w:p>
          <w:p w14:paraId="7FE1B871" w14:textId="77777777" w:rsidR="00896468" w:rsidRDefault="00B31E50">
            <w:pPr>
              <w:pStyle w:val="P68B1DB1-TableParagraph28"/>
              <w:spacing w:before="108"/>
              <w:ind w:left="85"/>
              <w:jc w:val="both"/>
            </w:pPr>
            <w:r>
              <w:t>Cseh</w:t>
            </w:r>
          </w:p>
          <w:p w14:paraId="7FE1B872" w14:textId="77777777" w:rsidR="00896468" w:rsidRDefault="00B31E50">
            <w:pPr>
              <w:pStyle w:val="P68B1DB1-TableParagraph17"/>
              <w:numPr>
                <w:ilvl w:val="0"/>
                <w:numId w:val="70"/>
              </w:numPr>
              <w:spacing w:before="108"/>
              <w:jc w:val="both"/>
            </w:pPr>
            <w:r>
              <w:t>„Garanční ssystem finančního trhu”</w:t>
            </w:r>
          </w:p>
          <w:p w14:paraId="7FE1B873" w14:textId="77777777" w:rsidR="00896468" w:rsidRDefault="00B31E50">
            <w:pPr>
              <w:pStyle w:val="P68B1DB1-TableParagraph28"/>
              <w:spacing w:before="108"/>
              <w:ind w:left="85"/>
              <w:jc w:val="both"/>
            </w:pPr>
            <w:r>
              <w:t>Dánia</w:t>
            </w:r>
          </w:p>
          <w:p w14:paraId="7FE1B874" w14:textId="77777777" w:rsidR="00896468" w:rsidRDefault="00B31E50">
            <w:pPr>
              <w:pStyle w:val="P68B1DB1-TableParagraph17"/>
              <w:numPr>
                <w:ilvl w:val="0"/>
                <w:numId w:val="70"/>
              </w:numPr>
              <w:spacing w:before="108"/>
              <w:jc w:val="both"/>
            </w:pPr>
            <w:r>
              <w:t>„Garantiformuen”</w:t>
            </w:r>
          </w:p>
          <w:p w14:paraId="7FE1B875" w14:textId="77777777" w:rsidR="00896468" w:rsidRDefault="00B31E50">
            <w:pPr>
              <w:pStyle w:val="P68B1DB1-TableParagraph28"/>
              <w:spacing w:before="108"/>
              <w:ind w:left="85"/>
              <w:jc w:val="both"/>
            </w:pPr>
            <w:r>
              <w:t xml:space="preserve">Észtország </w:t>
            </w:r>
          </w:p>
          <w:p w14:paraId="7FE1B876" w14:textId="77777777" w:rsidR="00896468" w:rsidRDefault="00B31E50">
            <w:pPr>
              <w:pStyle w:val="P68B1DB1-TableParagraph17"/>
              <w:numPr>
                <w:ilvl w:val="0"/>
                <w:numId w:val="70"/>
              </w:numPr>
              <w:spacing w:before="108"/>
              <w:jc w:val="both"/>
            </w:pPr>
            <w:r>
              <w:t>„Tagastifond”</w:t>
            </w:r>
          </w:p>
          <w:p w14:paraId="7FE1B877" w14:textId="77777777" w:rsidR="00896468" w:rsidRDefault="00B31E50">
            <w:pPr>
              <w:pStyle w:val="P68B1DB1-TableParagraph28"/>
              <w:spacing w:before="108"/>
              <w:ind w:left="85"/>
              <w:jc w:val="both"/>
            </w:pPr>
            <w:r>
              <w:t xml:space="preserve">Finnország </w:t>
            </w:r>
          </w:p>
          <w:p w14:paraId="7FE1B878" w14:textId="77777777" w:rsidR="00896468" w:rsidRDefault="00B31E50">
            <w:pPr>
              <w:pStyle w:val="P68B1DB1-TableParagraph17"/>
              <w:numPr>
                <w:ilvl w:val="0"/>
                <w:numId w:val="70"/>
              </w:numPr>
              <w:spacing w:before="108"/>
              <w:jc w:val="both"/>
            </w:pPr>
            <w:r>
              <w:t>„Talletussuojarahasto”</w:t>
            </w:r>
          </w:p>
          <w:p w14:paraId="7FE1B879" w14:textId="77777777" w:rsidR="00896468" w:rsidRDefault="00B31E50">
            <w:pPr>
              <w:pStyle w:val="P68B1DB1-TableParagraph28"/>
              <w:spacing w:before="108"/>
              <w:ind w:left="85"/>
              <w:jc w:val="both"/>
            </w:pPr>
            <w:r>
              <w:t>Franciaország</w:t>
            </w:r>
          </w:p>
          <w:p w14:paraId="7FE1B87A" w14:textId="77777777" w:rsidR="00896468" w:rsidRDefault="00B31E50">
            <w:pPr>
              <w:pStyle w:val="P68B1DB1-TableParagraph17"/>
              <w:numPr>
                <w:ilvl w:val="0"/>
                <w:numId w:val="70"/>
              </w:numPr>
              <w:spacing w:before="108"/>
              <w:jc w:val="both"/>
            </w:pPr>
            <w:r>
              <w:t>„Fonds de Garantie des Dépôts et de Résolution”</w:t>
            </w:r>
          </w:p>
          <w:p w14:paraId="7FE1B87B" w14:textId="77777777" w:rsidR="00896468" w:rsidRDefault="00B31E50">
            <w:pPr>
              <w:pStyle w:val="P68B1DB1-TableParagraph28"/>
              <w:spacing w:before="108"/>
              <w:ind w:left="85"/>
              <w:jc w:val="both"/>
            </w:pPr>
            <w:r>
              <w:t xml:space="preserve">Németország </w:t>
            </w:r>
          </w:p>
          <w:p w14:paraId="7FE1B87C" w14:textId="77777777" w:rsidR="00896468" w:rsidRDefault="00B31E50">
            <w:pPr>
              <w:pStyle w:val="P68B1DB1-TableParagraph17"/>
              <w:numPr>
                <w:ilvl w:val="0"/>
                <w:numId w:val="70"/>
              </w:numPr>
              <w:spacing w:before="108"/>
              <w:jc w:val="both"/>
            </w:pPr>
            <w:r>
              <w:t>„Entschädigungseinrichtung deutscher Banken GmbH”</w:t>
            </w:r>
          </w:p>
          <w:p w14:paraId="7FE1B87D" w14:textId="77777777" w:rsidR="00896468" w:rsidRDefault="00B31E50">
            <w:pPr>
              <w:pStyle w:val="P68B1DB1-TableParagraph17"/>
              <w:numPr>
                <w:ilvl w:val="0"/>
                <w:numId w:val="70"/>
              </w:numPr>
              <w:spacing w:before="108"/>
              <w:jc w:val="both"/>
            </w:pPr>
            <w:r>
              <w:t>„Entschädigungseinrichtung des Bundesverbandes Öffentlicher Banken Deutschlands GmbH”</w:t>
            </w:r>
          </w:p>
          <w:p w14:paraId="7FE1B87E" w14:textId="77777777" w:rsidR="00896468" w:rsidRDefault="00B31E50">
            <w:pPr>
              <w:pStyle w:val="P68B1DB1-TableParagraph17"/>
              <w:numPr>
                <w:ilvl w:val="0"/>
                <w:numId w:val="70"/>
              </w:numPr>
              <w:spacing w:before="108"/>
              <w:jc w:val="both"/>
            </w:pPr>
            <w:r>
              <w:t>„Sicherungsseinrichtung des Deutschen Sparkassen- und Giroverbandes (DSGV-Haftungsverbund)”</w:t>
            </w:r>
          </w:p>
          <w:p w14:paraId="7FE1B87F" w14:textId="77777777" w:rsidR="00896468" w:rsidRDefault="00B31E50">
            <w:pPr>
              <w:pStyle w:val="P68B1DB1-TableParagraph17"/>
              <w:numPr>
                <w:ilvl w:val="0"/>
                <w:numId w:val="70"/>
              </w:numPr>
              <w:spacing w:before="108"/>
              <w:jc w:val="both"/>
            </w:pPr>
            <w:r>
              <w:t>„BVR Institutssischerung GmbH”</w:t>
            </w:r>
          </w:p>
          <w:p w14:paraId="7FE1B882" w14:textId="77777777" w:rsidR="00896468" w:rsidRDefault="00B31E50">
            <w:pPr>
              <w:pStyle w:val="P68B1DB1-TableParagraph28"/>
              <w:spacing w:before="108"/>
              <w:ind w:left="85"/>
              <w:jc w:val="both"/>
            </w:pPr>
            <w:r>
              <w:t xml:space="preserve">Görögország </w:t>
            </w:r>
          </w:p>
          <w:p w14:paraId="7FE1B883" w14:textId="77777777" w:rsidR="00896468" w:rsidRDefault="00B31E50">
            <w:pPr>
              <w:pStyle w:val="P68B1DB1-TableParagraph17"/>
              <w:numPr>
                <w:ilvl w:val="0"/>
                <w:numId w:val="70"/>
              </w:numPr>
              <w:spacing w:before="108"/>
              <w:jc w:val="both"/>
            </w:pPr>
            <w:r>
              <w:t>„Ταμείο Εγγύησης Καταθέσεων και Επενδύσεων”</w:t>
            </w:r>
          </w:p>
          <w:p w14:paraId="7FE1B884" w14:textId="77777777" w:rsidR="00896468" w:rsidRDefault="00B31E50">
            <w:pPr>
              <w:pStyle w:val="P68B1DB1-TableParagraph28"/>
              <w:spacing w:before="108"/>
              <w:ind w:left="85"/>
              <w:jc w:val="both"/>
            </w:pPr>
            <w:r>
              <w:t xml:space="preserve">Magyarország </w:t>
            </w:r>
          </w:p>
          <w:p w14:paraId="7FE1B885" w14:textId="77777777" w:rsidR="00896468" w:rsidRDefault="00B31E50">
            <w:pPr>
              <w:pStyle w:val="P68B1DB1-TableParagraph17"/>
              <w:numPr>
                <w:ilvl w:val="0"/>
                <w:numId w:val="70"/>
              </w:numPr>
              <w:spacing w:before="108"/>
              <w:jc w:val="both"/>
            </w:pPr>
            <w:r>
              <w:t>„Országos Betétbiztosítási Alap”</w:t>
            </w:r>
          </w:p>
          <w:p w14:paraId="7FE1B886" w14:textId="77777777" w:rsidR="00896468" w:rsidRDefault="00B31E50">
            <w:pPr>
              <w:pStyle w:val="P68B1DB1-TableParagraph28"/>
              <w:spacing w:before="108"/>
              <w:ind w:left="85"/>
              <w:jc w:val="both"/>
            </w:pPr>
            <w:r>
              <w:t>Izland</w:t>
            </w:r>
          </w:p>
          <w:p w14:paraId="7FE1B887" w14:textId="44E06D46" w:rsidR="00896468" w:rsidRDefault="00B31E50">
            <w:pPr>
              <w:pStyle w:val="P68B1DB1-TableParagraph17"/>
              <w:numPr>
                <w:ilvl w:val="0"/>
                <w:numId w:val="70"/>
              </w:numPr>
              <w:spacing w:before="108"/>
              <w:jc w:val="both"/>
            </w:pPr>
            <w:r>
              <w:lastRenderedPageBreak/>
              <w:t>„Tryggingarsjóður vegna fjármálafyrirtækja”</w:t>
            </w:r>
          </w:p>
          <w:p w14:paraId="7FE1B888" w14:textId="77777777" w:rsidR="00896468" w:rsidRDefault="00B31E50">
            <w:pPr>
              <w:pStyle w:val="P68B1DB1-TableParagraph28"/>
              <w:spacing w:before="108"/>
              <w:ind w:left="85"/>
              <w:jc w:val="both"/>
            </w:pPr>
            <w:r>
              <w:t>Írország</w:t>
            </w:r>
          </w:p>
          <w:p w14:paraId="7FE1B889" w14:textId="77777777" w:rsidR="00896468" w:rsidRDefault="00B31E50">
            <w:pPr>
              <w:pStyle w:val="P68B1DB1-TableParagraph17"/>
              <w:numPr>
                <w:ilvl w:val="0"/>
                <w:numId w:val="70"/>
              </w:numPr>
              <w:spacing w:before="108"/>
              <w:jc w:val="both"/>
            </w:pPr>
            <w:r>
              <w:t>„Irish Deposit Protection Scheme”</w:t>
            </w:r>
          </w:p>
          <w:p w14:paraId="7FE1B88A" w14:textId="77777777" w:rsidR="00896468" w:rsidRDefault="00B31E50">
            <w:pPr>
              <w:pStyle w:val="P68B1DB1-TableParagraph28"/>
              <w:spacing w:before="108"/>
              <w:ind w:left="85"/>
              <w:jc w:val="both"/>
            </w:pPr>
            <w:r>
              <w:t xml:space="preserve">Olaszország </w:t>
            </w:r>
          </w:p>
          <w:p w14:paraId="7FE1B88B" w14:textId="77777777" w:rsidR="00896468" w:rsidRDefault="00B31E50">
            <w:pPr>
              <w:pStyle w:val="P68B1DB1-TableParagraph17"/>
              <w:numPr>
                <w:ilvl w:val="0"/>
                <w:numId w:val="70"/>
              </w:numPr>
              <w:spacing w:before="108"/>
              <w:jc w:val="both"/>
            </w:pPr>
            <w:r>
              <w:t>„Fondo Interbancario di Tutela dei Depositi”</w:t>
            </w:r>
          </w:p>
          <w:p w14:paraId="7FE1B88C" w14:textId="77777777" w:rsidR="00896468" w:rsidRDefault="00B31E50">
            <w:pPr>
              <w:pStyle w:val="P68B1DB1-TableParagraph17"/>
              <w:numPr>
                <w:ilvl w:val="0"/>
                <w:numId w:val="70"/>
              </w:numPr>
              <w:spacing w:before="108"/>
              <w:jc w:val="both"/>
            </w:pPr>
            <w:r>
              <w:t>„Fondo di Garanzia dei Depositanti del Credito Cooperativo”</w:t>
            </w:r>
          </w:p>
          <w:p w14:paraId="7FE1B88D" w14:textId="77777777" w:rsidR="00896468" w:rsidRDefault="00B31E50">
            <w:pPr>
              <w:pStyle w:val="P68B1DB1-TableParagraph28"/>
              <w:spacing w:before="108"/>
              <w:ind w:left="85"/>
              <w:jc w:val="both"/>
            </w:pPr>
            <w:r>
              <w:t>Lettország</w:t>
            </w:r>
          </w:p>
          <w:p w14:paraId="7FE1B88E" w14:textId="77777777" w:rsidR="00896468" w:rsidRDefault="00B31E50">
            <w:pPr>
              <w:pStyle w:val="P68B1DB1-TableParagraph17"/>
              <w:numPr>
                <w:ilvl w:val="0"/>
                <w:numId w:val="70"/>
              </w:numPr>
              <w:spacing w:before="108"/>
              <w:jc w:val="both"/>
            </w:pPr>
            <w:r>
              <w:t>„Latvijas Noguldījumu garantiju fonds”</w:t>
            </w:r>
          </w:p>
          <w:p w14:paraId="7FE1B88F" w14:textId="77777777" w:rsidR="00896468" w:rsidRDefault="00B31E50">
            <w:pPr>
              <w:pStyle w:val="P68B1DB1-TableParagraph28"/>
              <w:spacing w:before="108"/>
              <w:ind w:left="85"/>
              <w:jc w:val="both"/>
            </w:pPr>
            <w:r>
              <w:t xml:space="preserve">Liechtenstein </w:t>
            </w:r>
          </w:p>
          <w:p w14:paraId="7FE1B890" w14:textId="77777777" w:rsidR="00896468" w:rsidRDefault="00B31E50">
            <w:pPr>
              <w:pStyle w:val="P68B1DB1-TableParagraph17"/>
              <w:numPr>
                <w:ilvl w:val="0"/>
                <w:numId w:val="70"/>
              </w:numPr>
              <w:spacing w:before="108"/>
              <w:jc w:val="both"/>
            </w:pPr>
            <w:r>
              <w:t>„Einlagensicherungs- und Anlegerentschädigungs-Stiftung SV”</w:t>
            </w:r>
          </w:p>
          <w:p w14:paraId="7FE1B891" w14:textId="77777777" w:rsidR="00896468" w:rsidRDefault="00B31E50">
            <w:pPr>
              <w:pStyle w:val="P68B1DB1-TableParagraph28"/>
              <w:spacing w:before="108"/>
              <w:ind w:left="85"/>
              <w:jc w:val="both"/>
            </w:pPr>
            <w:r>
              <w:t>Litvánia</w:t>
            </w:r>
          </w:p>
          <w:p w14:paraId="7FE1B892" w14:textId="77777777" w:rsidR="00896468" w:rsidRDefault="00B31E50">
            <w:pPr>
              <w:pStyle w:val="P68B1DB1-TableParagraph17"/>
              <w:numPr>
                <w:ilvl w:val="0"/>
                <w:numId w:val="70"/>
              </w:numPr>
              <w:spacing w:before="108"/>
              <w:jc w:val="both"/>
            </w:pPr>
            <w:r>
              <w:t>„Indėlių ir investicijų draudimas”</w:t>
            </w:r>
          </w:p>
          <w:p w14:paraId="7FE1B893" w14:textId="77777777" w:rsidR="00896468" w:rsidRDefault="00B31E50">
            <w:pPr>
              <w:pStyle w:val="P68B1DB1-TableParagraph28"/>
              <w:spacing w:before="108"/>
              <w:ind w:left="85"/>
              <w:jc w:val="both"/>
            </w:pPr>
            <w:r>
              <w:t>Luxemburg</w:t>
            </w:r>
          </w:p>
          <w:p w14:paraId="7FE1B894" w14:textId="59F3019A" w:rsidR="00896468" w:rsidRDefault="00B31E50">
            <w:pPr>
              <w:pStyle w:val="P68B1DB1-TableParagraph17"/>
              <w:numPr>
                <w:ilvl w:val="0"/>
                <w:numId w:val="70"/>
              </w:numPr>
              <w:spacing w:before="108"/>
              <w:jc w:val="both"/>
            </w:pPr>
            <w:r>
              <w:t>„Fonds de garantie des Dépôts Luxembourg”</w:t>
            </w:r>
          </w:p>
          <w:p w14:paraId="7FE1B895" w14:textId="77777777" w:rsidR="00896468" w:rsidRDefault="00B31E50">
            <w:pPr>
              <w:pStyle w:val="P68B1DB1-TableParagraph28"/>
              <w:spacing w:before="108"/>
              <w:ind w:left="85"/>
              <w:jc w:val="both"/>
            </w:pPr>
            <w:r>
              <w:t>Málta</w:t>
            </w:r>
          </w:p>
          <w:p w14:paraId="7FE1B896" w14:textId="77777777" w:rsidR="00896468" w:rsidRDefault="00B31E50">
            <w:pPr>
              <w:pStyle w:val="P68B1DB1-TableParagraph17"/>
              <w:numPr>
                <w:ilvl w:val="0"/>
                <w:numId w:val="70"/>
              </w:numPr>
              <w:spacing w:before="108"/>
              <w:jc w:val="both"/>
            </w:pPr>
            <w:r>
              <w:t>„Depositor Compensation Scheme”</w:t>
            </w:r>
          </w:p>
          <w:p w14:paraId="7FE1B897" w14:textId="77777777" w:rsidR="00896468" w:rsidRDefault="00B31E50">
            <w:pPr>
              <w:pStyle w:val="P68B1DB1-TableParagraph28"/>
              <w:spacing w:before="108"/>
              <w:ind w:left="85"/>
              <w:jc w:val="both"/>
            </w:pPr>
            <w:r>
              <w:t xml:space="preserve">Hollandia </w:t>
            </w:r>
          </w:p>
          <w:p w14:paraId="7FE1B898" w14:textId="77777777" w:rsidR="00896468" w:rsidRDefault="00B31E50">
            <w:pPr>
              <w:pStyle w:val="P68B1DB1-TableParagraph17"/>
              <w:numPr>
                <w:ilvl w:val="0"/>
                <w:numId w:val="70"/>
              </w:numPr>
              <w:spacing w:before="108"/>
              <w:jc w:val="both"/>
            </w:pPr>
            <w:r>
              <w:t>„De Nederlandsche Bank, Depositogarantiestelsel”</w:t>
            </w:r>
          </w:p>
          <w:p w14:paraId="7FE1B899" w14:textId="77777777" w:rsidR="00896468" w:rsidRDefault="00B31E50">
            <w:pPr>
              <w:pStyle w:val="P68B1DB1-TableParagraph28"/>
              <w:spacing w:before="108"/>
              <w:ind w:left="85"/>
              <w:jc w:val="both"/>
            </w:pPr>
            <w:r>
              <w:t>Norvégia</w:t>
            </w:r>
          </w:p>
          <w:p w14:paraId="7FE1B89A" w14:textId="77777777" w:rsidR="00896468" w:rsidRDefault="00B31E50">
            <w:pPr>
              <w:pStyle w:val="P68B1DB1-TableParagraph17"/>
              <w:numPr>
                <w:ilvl w:val="0"/>
                <w:numId w:val="70"/>
              </w:numPr>
              <w:spacing w:before="108"/>
              <w:jc w:val="both"/>
            </w:pPr>
            <w:r>
              <w:t>„Bankenes sikringsfond”</w:t>
            </w:r>
          </w:p>
          <w:p w14:paraId="7FE1B89B" w14:textId="77777777" w:rsidR="00896468" w:rsidRDefault="00B31E50">
            <w:pPr>
              <w:pStyle w:val="P68B1DB1-TableParagraph28"/>
              <w:spacing w:before="108"/>
              <w:ind w:left="85"/>
              <w:jc w:val="both"/>
            </w:pPr>
            <w:r>
              <w:t>Lengyelország</w:t>
            </w:r>
          </w:p>
          <w:p w14:paraId="7FE1B89C" w14:textId="77777777" w:rsidR="00896468" w:rsidRDefault="00B31E50">
            <w:pPr>
              <w:pStyle w:val="P68B1DB1-TableParagraph17"/>
              <w:numPr>
                <w:ilvl w:val="0"/>
                <w:numId w:val="70"/>
              </w:numPr>
              <w:spacing w:before="108"/>
              <w:jc w:val="both"/>
            </w:pPr>
            <w:r>
              <w:t>„Bankowy Fundusz Gwarancyjny”</w:t>
            </w:r>
          </w:p>
          <w:p w14:paraId="7FE1B89D" w14:textId="77777777" w:rsidR="00896468" w:rsidRDefault="00B31E50">
            <w:pPr>
              <w:pStyle w:val="P68B1DB1-TableParagraph28"/>
              <w:spacing w:before="108"/>
              <w:ind w:left="85"/>
              <w:jc w:val="both"/>
            </w:pPr>
            <w:r>
              <w:t>Portugália</w:t>
            </w:r>
          </w:p>
          <w:p w14:paraId="7FE1B89E" w14:textId="77777777" w:rsidR="00896468" w:rsidRDefault="00B31E50">
            <w:pPr>
              <w:pStyle w:val="P68B1DB1-TableParagraph17"/>
              <w:numPr>
                <w:ilvl w:val="0"/>
                <w:numId w:val="70"/>
              </w:numPr>
              <w:spacing w:before="108"/>
              <w:jc w:val="both"/>
            </w:pPr>
            <w:r>
              <w:t>„Fundo de Garantia de Depósitos”</w:t>
            </w:r>
          </w:p>
          <w:p w14:paraId="7FE1B89F" w14:textId="77777777" w:rsidR="00896468" w:rsidRDefault="00B31E50">
            <w:pPr>
              <w:pStyle w:val="P68B1DB1-TableParagraph17"/>
              <w:numPr>
                <w:ilvl w:val="0"/>
                <w:numId w:val="70"/>
              </w:numPr>
              <w:spacing w:before="108"/>
              <w:jc w:val="both"/>
            </w:pPr>
            <w:r>
              <w:t>„Fundo de Garantia do Crédito Agrícola Mútuo”</w:t>
            </w:r>
          </w:p>
          <w:p w14:paraId="7FE1B8A0" w14:textId="77777777" w:rsidR="00896468" w:rsidRDefault="00B31E50">
            <w:pPr>
              <w:pStyle w:val="P68B1DB1-TableParagraph28"/>
              <w:spacing w:before="108"/>
              <w:ind w:left="85"/>
              <w:jc w:val="both"/>
            </w:pPr>
            <w:r>
              <w:t>Románia</w:t>
            </w:r>
          </w:p>
          <w:p w14:paraId="7FE1B8A1" w14:textId="77777777" w:rsidR="00896468" w:rsidRDefault="00B31E50">
            <w:pPr>
              <w:pStyle w:val="P68B1DB1-TableParagraph17"/>
              <w:numPr>
                <w:ilvl w:val="0"/>
                <w:numId w:val="70"/>
              </w:numPr>
              <w:spacing w:before="108"/>
              <w:jc w:val="both"/>
            </w:pPr>
            <w:r>
              <w:t>„Fondul de Garantare a Depozitelor in Sistemul Bancar”</w:t>
            </w:r>
          </w:p>
          <w:p w14:paraId="7FE1B8A2" w14:textId="77777777" w:rsidR="00896468" w:rsidRDefault="00B31E50">
            <w:pPr>
              <w:pStyle w:val="P68B1DB1-TableParagraph28"/>
              <w:spacing w:before="108"/>
              <w:ind w:left="85"/>
              <w:jc w:val="both"/>
            </w:pPr>
            <w:r>
              <w:t>Szlovákia</w:t>
            </w:r>
          </w:p>
          <w:p w14:paraId="7FE1B8A3" w14:textId="77777777" w:rsidR="00896468" w:rsidRDefault="00B31E50">
            <w:pPr>
              <w:pStyle w:val="P68B1DB1-TableParagraph17"/>
              <w:numPr>
                <w:ilvl w:val="0"/>
                <w:numId w:val="70"/>
              </w:numPr>
              <w:spacing w:before="108"/>
              <w:jc w:val="both"/>
            </w:pPr>
            <w:r>
              <w:t>„Fond ochrany vkladov”</w:t>
            </w:r>
          </w:p>
          <w:p w14:paraId="7FE1B8A4" w14:textId="77777777" w:rsidR="00896468" w:rsidRDefault="00B31E50">
            <w:pPr>
              <w:pStyle w:val="P68B1DB1-TableParagraph28"/>
              <w:spacing w:before="108"/>
              <w:ind w:left="85"/>
              <w:jc w:val="both"/>
            </w:pPr>
            <w:r>
              <w:t xml:space="preserve">Szlovénia </w:t>
            </w:r>
          </w:p>
          <w:p w14:paraId="7FE1B8A5" w14:textId="77777777" w:rsidR="00896468" w:rsidRDefault="00B31E50">
            <w:pPr>
              <w:pStyle w:val="P68B1DB1-TableParagraph17"/>
              <w:numPr>
                <w:ilvl w:val="0"/>
                <w:numId w:val="70"/>
              </w:numPr>
              <w:spacing w:before="108"/>
              <w:jc w:val="both"/>
            </w:pPr>
            <w:r>
              <w:t>„Banka Slovenije”</w:t>
            </w:r>
          </w:p>
          <w:p w14:paraId="7FE1B8A6" w14:textId="77777777" w:rsidR="00896468" w:rsidRDefault="00B31E50">
            <w:pPr>
              <w:pStyle w:val="P68B1DB1-TableParagraph28"/>
              <w:spacing w:before="108"/>
              <w:ind w:left="85"/>
              <w:jc w:val="both"/>
            </w:pPr>
            <w:r>
              <w:t>Spanyolország</w:t>
            </w:r>
          </w:p>
          <w:p w14:paraId="7FE1B8A7" w14:textId="77777777" w:rsidR="00896468" w:rsidRDefault="00B31E50">
            <w:pPr>
              <w:pStyle w:val="P68B1DB1-TableParagraph17"/>
              <w:numPr>
                <w:ilvl w:val="0"/>
                <w:numId w:val="70"/>
              </w:numPr>
              <w:spacing w:before="108"/>
              <w:jc w:val="both"/>
            </w:pPr>
            <w:r>
              <w:t>„Fondo de Garantía de Depósitos de Entidades de Crédito”</w:t>
            </w:r>
          </w:p>
          <w:p w14:paraId="7FE1B8A8" w14:textId="77777777" w:rsidR="00896468" w:rsidRDefault="00B31E50">
            <w:pPr>
              <w:pStyle w:val="P68B1DB1-TableParagraph28"/>
              <w:spacing w:before="108"/>
              <w:ind w:left="85"/>
              <w:jc w:val="both"/>
            </w:pPr>
            <w:r>
              <w:t>Svédország</w:t>
            </w:r>
          </w:p>
          <w:p w14:paraId="7FE1B8A9" w14:textId="77777777" w:rsidR="00896468" w:rsidRDefault="00B31E50">
            <w:pPr>
              <w:pStyle w:val="P68B1DB1-TableParagraph17"/>
              <w:numPr>
                <w:ilvl w:val="0"/>
                <w:numId w:val="70"/>
              </w:numPr>
              <w:spacing w:before="108"/>
              <w:jc w:val="both"/>
            </w:pPr>
            <w:r>
              <w:t>„Riksgälden”</w:t>
            </w:r>
          </w:p>
          <w:p w14:paraId="7FE1B8AC" w14:textId="77777777" w:rsidR="00896468" w:rsidRDefault="00896468">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896468" w:rsidRDefault="00B31E50">
            <w:pPr>
              <w:pStyle w:val="P68B1DB1-TableParagraph17"/>
              <w:spacing w:before="108"/>
              <w:ind w:left="85"/>
              <w:jc w:val="both"/>
            </w:pPr>
            <w:r>
              <w:t>Ha a hivatalosan elismert betétbiztosítási rendszer, amelynek a szervezet tagja, nem szerepel a fenti felsorolásban, az „egyéb” megjelölést kell feltüntetni.</w:t>
            </w:r>
          </w:p>
        </w:tc>
      </w:tr>
      <w:tr w:rsidR="00896468"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896468" w:rsidRDefault="00B31E50">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896468" w:rsidRDefault="00B31E50">
            <w:pPr>
              <w:pStyle w:val="P68B1DB1-TableParagraph14"/>
              <w:spacing w:before="108"/>
              <w:ind w:left="85"/>
              <w:jc w:val="both"/>
              <w:rPr>
                <w:bCs/>
              </w:rPr>
            </w:pPr>
            <w:r>
              <w:t>Biztosított betétek összege</w:t>
            </w:r>
          </w:p>
          <w:p w14:paraId="7FE1B8B1" w14:textId="77777777" w:rsidR="00896468" w:rsidRDefault="00B31E50">
            <w:pPr>
              <w:pStyle w:val="P68B1DB1-TableParagraph17"/>
              <w:spacing w:before="108"/>
              <w:ind w:left="85"/>
            </w:pPr>
            <w:r>
              <w:t>A 2014/49/EU irányelv 2. cikkének (1) bekezdésének 5. pontja és 6. cikkének (2) bekezdése</w:t>
            </w:r>
          </w:p>
          <w:p w14:paraId="7FE1B8B2" w14:textId="77777777" w:rsidR="00896468" w:rsidRDefault="00B31E50">
            <w:pPr>
              <w:pStyle w:val="P68B1DB1-TableParagraph17"/>
              <w:spacing w:before="108"/>
              <w:ind w:left="85"/>
              <w:jc w:val="both"/>
            </w:pPr>
            <w:r>
              <w:lastRenderedPageBreak/>
              <w:t>A 2014/49/EU irányelv 2. cikke (1) bekezdésének 5. pontjában – a 6. cikkel együtt értelmezve – meghatározott biztosított betéteknek a 0030. sorban megadott betétbiztosítási rendszer által fedezett összege, az említett irányelv 6. cikkének (2) bekezdésében meghatározott ideiglenes túllépés kizárásával.</w:t>
            </w:r>
          </w:p>
        </w:tc>
      </w:tr>
      <w:tr w:rsidR="00896468"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896468" w:rsidRDefault="00B31E50">
            <w:pPr>
              <w:pStyle w:val="P68B1DB1-TableParagraph17"/>
              <w:spacing w:before="108"/>
              <w:ind w:left="85"/>
              <w:jc w:val="both"/>
            </w:pPr>
            <w:r>
              <w:lastRenderedPageBreak/>
              <w:t>0050</w:t>
            </w:r>
          </w:p>
        </w:tc>
        <w:tc>
          <w:tcPr>
            <w:tcW w:w="7892" w:type="dxa"/>
            <w:tcBorders>
              <w:top w:val="single" w:sz="4" w:space="0" w:color="1A171C"/>
              <w:left w:val="single" w:sz="4" w:space="0" w:color="1A171C"/>
              <w:bottom w:val="single" w:sz="4" w:space="0" w:color="1A171C"/>
              <w:right w:val="nil"/>
            </w:tcBorders>
          </w:tcPr>
          <w:p w14:paraId="7FE1B8B5" w14:textId="77777777" w:rsidR="00896468" w:rsidRDefault="00B31E50">
            <w:pPr>
              <w:pStyle w:val="P68B1DB1-TableParagraph14"/>
              <w:spacing w:before="108"/>
              <w:ind w:left="85"/>
              <w:jc w:val="both"/>
              <w:rPr>
                <w:bCs/>
              </w:rPr>
            </w:pPr>
            <w:r>
              <w:t>Intézményvédelmi rendszer</w:t>
            </w:r>
          </w:p>
          <w:p w14:paraId="7FE1B8B6" w14:textId="77777777" w:rsidR="00896468" w:rsidRDefault="00B31E50">
            <w:pPr>
              <w:pStyle w:val="P68B1DB1-TableParagraph17"/>
              <w:spacing w:before="108"/>
              <w:ind w:left="85"/>
            </w:pPr>
            <w:r>
              <w:t>Az 575/2013/EU rendelet 113. cikkének (7) bekezdése</w:t>
            </w:r>
          </w:p>
          <w:p w14:paraId="7FE1B8B7" w14:textId="77777777" w:rsidR="00896468" w:rsidRDefault="00B31E50">
            <w:pPr>
              <w:pStyle w:val="P68B1DB1-TableParagraph17"/>
              <w:spacing w:before="108"/>
              <w:ind w:left="85"/>
              <w:jc w:val="both"/>
            </w:pPr>
            <w:r>
              <w:t>Az 575/2013/EU rendelet 113. cikkének (7) bekezdésében említett azon intézményvédelmi rendszer neve, amelynek a szervezet tagja. Ha a szervezet nem tagja intézményvédelmi rendszernek, a mezőt üresen kell hagyni. Ha a szervezet olyan intézményvédelmi rendszer tagja, amelyet a 2014/49/EU irányelv 4. cikkének (2) bekezdése értelmében hivatalosan betétbiztosítási rendszerként is elismernek, az intézményvédelmi rendszer neve megegyezik a betétbiztosítási rendszer 0030. sorban megadott nevével.</w:t>
            </w:r>
          </w:p>
          <w:p w14:paraId="7FE1B8B8" w14:textId="77777777" w:rsidR="00896468" w:rsidRDefault="00896468">
            <w:pPr>
              <w:pStyle w:val="TableParagraph"/>
              <w:spacing w:before="108"/>
              <w:ind w:left="85"/>
              <w:jc w:val="both"/>
              <w:rPr>
                <w:rFonts w:ascii="Times New Roman" w:eastAsia="Cambria" w:hAnsi="Times New Roman" w:cs="Times New Roman"/>
                <w:color w:val="000000" w:themeColor="text1"/>
                <w:sz w:val="20"/>
                <w:szCs w:val="20"/>
              </w:rPr>
            </w:pPr>
          </w:p>
        </w:tc>
      </w:tr>
      <w:tr w:rsidR="00896468"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896468" w:rsidRDefault="00B31E50">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896468" w:rsidRDefault="00B31E50">
            <w:pPr>
              <w:pStyle w:val="P68B1DB1-TableParagraph14"/>
              <w:spacing w:before="108"/>
              <w:ind w:left="85"/>
              <w:jc w:val="both"/>
              <w:rPr>
                <w:bCs/>
              </w:rPr>
            </w:pPr>
            <w:r>
              <w:t>Kiegészítő védelem önkéntes rendszer alapján</w:t>
            </w:r>
          </w:p>
          <w:p w14:paraId="7FE1B8BC" w14:textId="77777777" w:rsidR="00896468" w:rsidRDefault="00B31E50">
            <w:pPr>
              <w:pStyle w:val="P68B1DB1-TableParagraph17"/>
              <w:spacing w:before="108"/>
              <w:ind w:left="85"/>
            </w:pPr>
            <w:r>
              <w:t>A 2014/49/EU irányelv 1. cikke (3) bekezdésének a) pontja</w:t>
            </w:r>
          </w:p>
          <w:p w14:paraId="7FE1B8BD" w14:textId="77777777" w:rsidR="00896468" w:rsidRDefault="00B31E50">
            <w:pPr>
              <w:pStyle w:val="P68B1DB1-TableParagraph17"/>
              <w:spacing w:before="108"/>
              <w:ind w:left="85"/>
              <w:jc w:val="both"/>
            </w:pPr>
            <w:r>
              <w:t>A szervezetnél elhelyezett, önkéntes betétbiztosítási rendszer hatálya alá tartozó betétek összege.</w:t>
            </w:r>
          </w:p>
        </w:tc>
      </w:tr>
    </w:tbl>
    <w:p w14:paraId="7FE1B8BF" w14:textId="77777777" w:rsidR="00896468" w:rsidRDefault="00896468">
      <w:pPr>
        <w:rPr>
          <w:rFonts w:ascii="Times New Roman" w:hAnsi="Times New Roman" w:cs="Times New Roman"/>
          <w:b/>
          <w:color w:val="000000" w:themeColor="text1"/>
          <w:sz w:val="20"/>
          <w:szCs w:val="20"/>
          <w:u w:val="single"/>
        </w:rPr>
      </w:pPr>
    </w:p>
    <w:p w14:paraId="7FE1B8C0" w14:textId="18B05465" w:rsidR="00896468" w:rsidRDefault="00B31E50">
      <w:pPr>
        <w:pStyle w:val="P68B1DB1-Instructionsberschrift25"/>
        <w:numPr>
          <w:ilvl w:val="1"/>
          <w:numId w:val="49"/>
        </w:numPr>
        <w:ind w:left="357" w:hanging="357"/>
      </w:pPr>
      <w:bookmarkStart w:id="100" w:name="_Toc492542327"/>
      <w:bookmarkStart w:id="101" w:name="_Toc81454186"/>
      <w:bookmarkStart w:id="102" w:name="_Toc210982875"/>
      <w:r>
        <w:t>Kritikus funkciók és fő üzletágak</w:t>
      </w:r>
      <w:bookmarkEnd w:id="100"/>
      <w:bookmarkEnd w:id="101"/>
      <w:bookmarkEnd w:id="102"/>
      <w:r w:rsidR="00AF1553">
        <w:t xml:space="preserve"> </w:t>
      </w:r>
    </w:p>
    <w:p w14:paraId="7FE1B8C2" w14:textId="77777777" w:rsidR="00896468" w:rsidRDefault="00B31E50">
      <w:pPr>
        <w:pStyle w:val="Instructionsberschrift3"/>
      </w:pPr>
      <w:bookmarkStart w:id="103" w:name="_Toc189492773"/>
      <w:bookmarkStart w:id="104" w:name="_Toc192249050"/>
      <w:bookmarkEnd w:id="103"/>
      <w:bookmarkEnd w:id="104"/>
      <w:r>
        <w:t>Általános megjegyzések</w:t>
      </w:r>
    </w:p>
    <w:p w14:paraId="7FE1B8C3" w14:textId="7339E089" w:rsidR="00896468" w:rsidRDefault="00B31E50">
      <w:pPr>
        <w:pStyle w:val="P68B1DB1-InstructionsText26"/>
        <w:numPr>
          <w:ilvl w:val="0"/>
          <w:numId w:val="232"/>
        </w:numPr>
        <w:spacing w:before="0"/>
      </w:pPr>
      <w:r>
        <w:t xml:space="preserve">E szakasz négy táblája kulcsfontosságú adatokat és minőségi értékeléseket </w:t>
      </w:r>
      <w:r w:rsidR="004C7A6E">
        <w:t xml:space="preserve">tartalmaz </w:t>
      </w:r>
      <w:r>
        <w:t>a csoport gazdasági funkcióinak hatásáról, helyettesíthetőségéről és kritikusságáról, amit e kritikus funkciók fő üzletágakhoz és jog</w:t>
      </w:r>
      <w:r w:rsidR="004C7A6E">
        <w:t>i személyekhez</w:t>
      </w:r>
      <w:r>
        <w:t xml:space="preserve"> való hozzárendelése egészít ki, valamint a fő üzletágak jog</w:t>
      </w:r>
      <w:r w:rsidR="004C7A6E">
        <w:t>i személyekhez</w:t>
      </w:r>
      <w:r>
        <w:t xml:space="preserve"> való hozzárendelése.</w:t>
      </w:r>
    </w:p>
    <w:p w14:paraId="7FE1B8C4" w14:textId="77777777" w:rsidR="00896468" w:rsidRDefault="00B31E50">
      <w:pPr>
        <w:pStyle w:val="P68B1DB1-InstructionsText26"/>
        <w:numPr>
          <w:ilvl w:val="0"/>
          <w:numId w:val="232"/>
        </w:numPr>
        <w:spacing w:before="0"/>
      </w:pPr>
      <w:r>
        <w:t>Az egyes táblák a következő témákkal foglalkoznak:</w:t>
      </w:r>
    </w:p>
    <w:p w14:paraId="7FE1B8C5" w14:textId="65C75356" w:rsidR="00896468" w:rsidRDefault="00B31E50">
      <w:pPr>
        <w:pStyle w:val="P68B1DB1-InstructionsText26"/>
        <w:numPr>
          <w:ilvl w:val="0"/>
          <w:numId w:val="153"/>
        </w:numPr>
        <w:spacing w:before="0"/>
      </w:pPr>
      <w:r>
        <w:t xml:space="preserve">A Z 07.01 – A gazdasági funkciók kritikusságának értékelése (FUNC 1) tábla a csoport által ellátott gazdasági funkciók kritikussági értékelésének eredményeit tartalmazza, mennyiségi és minőségi mutatók, valamint az ellátott nem kritikus és kritikus funkciók alapján. A csoportnak külön </w:t>
      </w:r>
      <w:r w:rsidR="004C7A6E">
        <w:t xml:space="preserve">táblát </w:t>
      </w:r>
      <w:r>
        <w:t xml:space="preserve">kell </w:t>
      </w:r>
      <w:r w:rsidR="004C7A6E">
        <w:t xml:space="preserve">benyújtania </w:t>
      </w:r>
      <w:r>
        <w:t xml:space="preserve">minden olyan tagállamra vonatkozóan, amelyben a csoport tevékenykedik. A gazdasági funkciók következő kategóriáit jelölték meg </w:t>
      </w:r>
      <w:r w:rsidR="004C7A6E">
        <w:t xml:space="preserve">az </w:t>
      </w:r>
      <w:r>
        <w:t>a</w:t>
      </w:r>
      <w:r w:rsidR="004C7A6E">
        <w:t>datszolgáltatás céljára</w:t>
      </w:r>
      <w:r>
        <w:t>:</w:t>
      </w:r>
    </w:p>
    <w:p w14:paraId="7FE1B8C6" w14:textId="400D8B25" w:rsidR="00896468" w:rsidRDefault="00B31E50">
      <w:pPr>
        <w:pStyle w:val="P68B1DB1-InstructionsText26"/>
        <w:numPr>
          <w:ilvl w:val="1"/>
          <w:numId w:val="153"/>
        </w:numPr>
        <w:spacing w:before="0"/>
      </w:pPr>
      <w:r>
        <w:t xml:space="preserve">Z 07.01.1 </w:t>
      </w:r>
      <w:r w:rsidR="00BA1C43">
        <w:t xml:space="preserve"> Betét</w:t>
      </w:r>
      <w:r w:rsidR="00BF6DC7">
        <w:t>gyűjtés</w:t>
      </w:r>
    </w:p>
    <w:p w14:paraId="7FE1B8C7" w14:textId="629FE421" w:rsidR="00896468" w:rsidRDefault="00B31E50">
      <w:pPr>
        <w:pStyle w:val="P68B1DB1-InstructionsText26"/>
        <w:numPr>
          <w:ilvl w:val="1"/>
          <w:numId w:val="153"/>
        </w:numPr>
        <w:spacing w:before="0"/>
      </w:pPr>
      <w:r>
        <w:t xml:space="preserve">Z 07.01.2 </w:t>
      </w:r>
      <w:r w:rsidR="00BA1C43">
        <w:t xml:space="preserve"> Hitelezés</w:t>
      </w:r>
      <w:r>
        <w:t>.</w:t>
      </w:r>
    </w:p>
    <w:p w14:paraId="7FE1B8C8" w14:textId="7EDFE706" w:rsidR="00896468" w:rsidRDefault="004C7A6E">
      <w:pPr>
        <w:pStyle w:val="P68B1DB1-InstructionsText26"/>
        <w:numPr>
          <w:ilvl w:val="1"/>
          <w:numId w:val="153"/>
        </w:numPr>
        <w:spacing w:before="0"/>
      </w:pPr>
      <w:r w:rsidRPr="004C7A6E">
        <w:t>Z 07.01.</w:t>
      </w:r>
      <w:r>
        <w:t>3</w:t>
      </w:r>
      <w:r w:rsidRPr="004C7A6E">
        <w:t xml:space="preserve">  </w:t>
      </w:r>
      <w:r w:rsidR="00B31E50">
        <w:t>Pénzforgalmi, készpénz-, kiegyenlítési, elszámolási, letéti őrzési szolgáltatások</w:t>
      </w:r>
    </w:p>
    <w:p w14:paraId="7FE1B8C9" w14:textId="12E4110D" w:rsidR="00896468" w:rsidRDefault="00B31E50">
      <w:pPr>
        <w:pStyle w:val="P68B1DB1-InstructionsText26"/>
        <w:numPr>
          <w:ilvl w:val="1"/>
          <w:numId w:val="153"/>
        </w:numPr>
        <w:spacing w:before="0"/>
      </w:pPr>
      <w:r>
        <w:t>Z 07.01.4 Tőkepiacok</w:t>
      </w:r>
    </w:p>
    <w:p w14:paraId="7FE1B8CA" w14:textId="2AFFB017" w:rsidR="00896468" w:rsidRDefault="00B31E50">
      <w:pPr>
        <w:pStyle w:val="P68B1DB1-InstructionsText26"/>
        <w:numPr>
          <w:ilvl w:val="1"/>
          <w:numId w:val="153"/>
        </w:numPr>
        <w:spacing w:before="0"/>
      </w:pPr>
      <w:r>
        <w:t xml:space="preserve">Z 07.01.5 </w:t>
      </w:r>
      <w:r w:rsidR="008441DA">
        <w:t xml:space="preserve">Bankközi </w:t>
      </w:r>
      <w:r>
        <w:t>finanszírozás</w:t>
      </w:r>
    </w:p>
    <w:p w14:paraId="7FE1B8CB" w14:textId="3A2952F8" w:rsidR="00896468" w:rsidRDefault="00B31E50">
      <w:pPr>
        <w:pStyle w:val="P68B1DB1-InstructionsText26"/>
        <w:numPr>
          <w:ilvl w:val="0"/>
          <w:numId w:val="153"/>
        </w:numPr>
        <w:spacing w:before="0"/>
      </w:pPr>
      <w:r>
        <w:t xml:space="preserve">Z 07.02 tábla – A gazdasági funkciók </w:t>
      </w:r>
      <w:r w:rsidR="004E56F0">
        <w:t xml:space="preserve">szervezetekhez való </w:t>
      </w:r>
      <w:r>
        <w:t>hozzárendelése (FUNC 2)</w:t>
      </w:r>
      <w:r w:rsidR="004E7F67">
        <w:t>:</w:t>
      </w:r>
      <w:r>
        <w:t xml:space="preserve"> a Z 07.01 mezőben értékelt</w:t>
      </w:r>
      <w:r w:rsidR="004C7A6E">
        <w:t xml:space="preserve"> </w:t>
      </w:r>
      <w:r w:rsidR="00096A35">
        <w:t xml:space="preserve">gazdasági funkciók rendeli hozzá </w:t>
      </w:r>
      <w:r>
        <w:t xml:space="preserve">a Z 01.01 mezőben azonosított jogi </w:t>
      </w:r>
      <w:r w:rsidR="00096A35">
        <w:t xml:space="preserve">személyekhez </w:t>
      </w:r>
      <w:r>
        <w:t>vagy nemzetközi fióktelepek</w:t>
      </w:r>
      <w:r w:rsidR="00096A35">
        <w:t>hez</w:t>
      </w:r>
      <w:r>
        <w:t>.</w:t>
      </w:r>
    </w:p>
    <w:p w14:paraId="7FE1B8CC" w14:textId="38108CE8" w:rsidR="00896468" w:rsidRDefault="00B31E50">
      <w:pPr>
        <w:pStyle w:val="P68B1DB1-InstructionsText26"/>
        <w:numPr>
          <w:ilvl w:val="0"/>
          <w:numId w:val="153"/>
        </w:numPr>
        <w:spacing w:before="0"/>
      </w:pPr>
      <w:r>
        <w:t>Z 07.03 tábla – A fő üzletágak szervezetekhez való hozzárendelése (FUNC 3):</w:t>
      </w:r>
      <w:r w:rsidR="00EA15E9">
        <w:t xml:space="preserve"> </w:t>
      </w:r>
      <w:r>
        <w:t>a fő üzletágak teljes listája és ezek hozzárendelése a szervezetekhez;</w:t>
      </w:r>
    </w:p>
    <w:p w14:paraId="7FE1B8CD" w14:textId="5E60C58A" w:rsidR="00896468" w:rsidRDefault="00B31E50">
      <w:pPr>
        <w:pStyle w:val="P68B1DB1-InstructionsText26"/>
        <w:numPr>
          <w:ilvl w:val="0"/>
          <w:numId w:val="153"/>
        </w:numPr>
        <w:spacing w:before="0"/>
      </w:pPr>
      <w:r>
        <w:lastRenderedPageBreak/>
        <w:t xml:space="preserve">Z 07.04 tábla – A </w:t>
      </w:r>
      <w:r w:rsidR="00D75732">
        <w:t xml:space="preserve">kritikus </w:t>
      </w:r>
      <w:r>
        <w:t xml:space="preserve">funkciók fő üzletágakhoz való hozzárendelése (FUNC 4): az azonosított gazdasági funkciók hozzárendelése az üzletágakhoz. </w:t>
      </w:r>
    </w:p>
    <w:p w14:paraId="7FE1B8CE" w14:textId="0BA07F41" w:rsidR="00896468" w:rsidRDefault="00B31E50">
      <w:pPr>
        <w:pStyle w:val="P68B1DB1-InstructionsText26"/>
        <w:numPr>
          <w:ilvl w:val="0"/>
          <w:numId w:val="232"/>
        </w:numPr>
        <w:spacing w:before="0"/>
      </w:pPr>
      <w:r>
        <w:t xml:space="preserve">A 2014/59/EU irányelv 2. cikke (1) bekezdésének 35. pontja értelmében a kritikus funkciók olyan tevékenységek, szolgáltatások vagy működési folyamatok, amelyek megszűnése az intézmény vagy csoport méretéből, piaci részesedéséből, külső vagy belső összekapcsoltságából, összetettségéből vagy határokon átnyúló tevékenységéből adódóan egy vagy több tagállamban valószínűsíthetően fennakadást okoz a reálgazdaság számára létfontosságú szolgáltatások vagy a pénzügyi stabilitás tekintetében, különös tekintettel e tevékenységek, szolgáltatások vagy működési folyamatok helyettesíthetőségére. </w:t>
      </w:r>
    </w:p>
    <w:p w14:paraId="7FE1B8D0" w14:textId="418729FB" w:rsidR="00896468" w:rsidRDefault="00B31E50">
      <w:pPr>
        <w:pStyle w:val="P68B1DB1-InstructionsText26"/>
        <w:numPr>
          <w:ilvl w:val="0"/>
          <w:numId w:val="232"/>
        </w:numPr>
        <w:spacing w:before="0"/>
      </w:pPr>
      <w:r>
        <w:t>Az (EU) 2016/778 bizottsági rendelet 6. cikkének (1) bekezdése értelmében a funkció kritikusnak minősül, ha megfelel mindkét alábbi feltételnek:</w:t>
      </w:r>
    </w:p>
    <w:p w14:paraId="7FE1B8D1" w14:textId="77777777" w:rsidR="00896468" w:rsidRDefault="00B31E50">
      <w:pPr>
        <w:pStyle w:val="P68B1DB1-Normal3"/>
        <w:numPr>
          <w:ilvl w:val="0"/>
          <w:numId w:val="56"/>
        </w:numPr>
        <w:spacing w:line="276" w:lineRule="auto"/>
        <w:contextualSpacing/>
        <w:jc w:val="both"/>
      </w:pPr>
      <w:r>
        <w:t>a funkciót az intézmény az intézményhez vagy a csoporthoz nem tartozó harmadik felek részére biztosítja; valamint</w:t>
      </w:r>
    </w:p>
    <w:p w14:paraId="7FE1B8D2" w14:textId="77777777" w:rsidR="00896468" w:rsidRDefault="00B31E50">
      <w:pPr>
        <w:pStyle w:val="P68B1DB1-Normal3"/>
        <w:numPr>
          <w:ilvl w:val="0"/>
          <w:numId w:val="56"/>
        </w:numPr>
        <w:spacing w:line="276" w:lineRule="auto"/>
        <w:contextualSpacing/>
        <w:jc w:val="both"/>
        <w:rPr>
          <w:i/>
        </w:rPr>
      </w:pPr>
      <w:r>
        <w:t>a funkció hirtelen fellépő zavara valószínűleg lényeges negatív hatást okozna a harmadik felek részére, pénzügyi fertőzést idézne elő vagy aláásná a piaci szereplők általános bizalmát, mivel a kritikus funkció rendszerszintű jelentőséggel bír harmadik felek szempontjából és a funkciót ellátó intézmény vagy csoport rendszerszintű jelentőséggel bír a funkció ellátása szempontjából.</w:t>
      </w:r>
    </w:p>
    <w:p w14:paraId="7FE1B8D3" w14:textId="6B4413EC" w:rsidR="00896468" w:rsidRDefault="00B31E50">
      <w:pPr>
        <w:pStyle w:val="P68B1DB1-InstructionsText26"/>
        <w:numPr>
          <w:ilvl w:val="0"/>
          <w:numId w:val="232"/>
        </w:numPr>
        <w:spacing w:before="0"/>
      </w:pPr>
      <w:r>
        <w:t>A 2014/59/EU irányelv 2. cikke (1) bekezdésének 36. pontja értelmében a fő üzletágak azok az üzletágak és a hozzájuk kapcsolódó szolgáltatások, amelyek egy intézmény vagy csoport – amelynek az intézmény részét képezi – fő bevételi vagy nyereségforrását jelentik, illetve az új befektetésekből származó bevételek jelenértékének jelentős részét képviselik.</w:t>
      </w:r>
    </w:p>
    <w:p w14:paraId="7FE1B8D4" w14:textId="77777777" w:rsidR="00896468" w:rsidRDefault="00B31E50">
      <w:pPr>
        <w:pStyle w:val="P68B1DB1-InstructionsText26"/>
        <w:numPr>
          <w:ilvl w:val="0"/>
          <w:numId w:val="232"/>
        </w:numPr>
        <w:spacing w:before="0"/>
      </w:pPr>
      <w:r>
        <w:t>E tábla alkalmazásában a gazdasági funkciók a táblában alább felsorolt funkciókat jelentik.</w:t>
      </w:r>
    </w:p>
    <w:p w14:paraId="7FE1B8D5" w14:textId="77777777" w:rsidR="00896468" w:rsidRDefault="00B31E50">
      <w:pPr>
        <w:pStyle w:val="P68B1DB1-InstructionsText26"/>
        <w:numPr>
          <w:ilvl w:val="0"/>
          <w:numId w:val="232"/>
        </w:numPr>
        <w:spacing w:before="0"/>
      </w:pPr>
      <w:r>
        <w:t>A gazdasági funkciók minden egyes kategóriája esetében „egyéb” gazdasági funkció is választható, ha a funkciót az előre meghatározott funkciók egyike sem fedi le.</w:t>
      </w:r>
    </w:p>
    <w:p w14:paraId="7FE1B8D6" w14:textId="77777777" w:rsidR="00896468" w:rsidRDefault="00B31E50">
      <w:pPr>
        <w:pStyle w:val="P68B1DB1-InstructionsText26"/>
        <w:numPr>
          <w:ilvl w:val="0"/>
          <w:numId w:val="232"/>
        </w:numPr>
        <w:spacing w:before="0"/>
      </w:pPr>
      <w:r>
        <w:t>A 0010–0070. sorban és a 0080–0150. sorban említett partnerek meghatározása azonos a FINREP V. melléklete 1. részének 6. fejezetében megadott ügyfélszektor-meghatározásokkal. A „kkv-k” meghatározása azonos a FINREP V. melléklete 1. része 5. pontjának i. alpontjában megadott meghatározással.</w:t>
      </w:r>
    </w:p>
    <w:p w14:paraId="55EA999C" w14:textId="4D8DE28F" w:rsidR="00CA50BF" w:rsidRPr="00CA50BF" w:rsidRDefault="00CA50BF" w:rsidP="00CA50BF">
      <w:pPr>
        <w:pStyle w:val="P68B1DB1-InstructionsText229"/>
        <w:rPr>
          <w:lang w:val="hu-HU"/>
        </w:rPr>
      </w:pPr>
      <w:r w:rsidRPr="00CA50BF">
        <w:rPr>
          <w:lang w:val="hu-HU"/>
        </w:rPr>
        <w:t>Minden egyes gazdasági funkciókategóriához külön fülre van szükség.</w:t>
      </w:r>
    </w:p>
    <w:p w14:paraId="072982A7" w14:textId="0688FD4A" w:rsidR="00896468" w:rsidRDefault="00B31E50">
      <w:pPr>
        <w:spacing w:after="200" w:line="276" w:lineRule="auto"/>
      </w:pPr>
      <w:r>
        <w:br w:type="page"/>
      </w:r>
    </w:p>
    <w:p w14:paraId="7FE1B95D" w14:textId="634EB818" w:rsidR="00896468" w:rsidRDefault="00896468">
      <w:pPr>
        <w:pStyle w:val="InstructionsText2"/>
        <w:numPr>
          <w:ilvl w:val="0"/>
          <w:numId w:val="0"/>
        </w:numPr>
        <w:rPr>
          <w:rFonts w:ascii="Times New Roman" w:hAnsi="Times New Roman" w:cs="Times New Roman"/>
          <w:color w:val="000000" w:themeColor="text1"/>
        </w:rPr>
      </w:pPr>
    </w:p>
    <w:p w14:paraId="7FE1B95E" w14:textId="77777777" w:rsidR="00896468" w:rsidRDefault="00B31E50">
      <w:pPr>
        <w:pStyle w:val="P68B1DB1-Instructionsberschrift25"/>
        <w:numPr>
          <w:ilvl w:val="1"/>
          <w:numId w:val="49"/>
        </w:numPr>
        <w:ind w:left="357" w:hanging="357"/>
      </w:pPr>
      <w:bookmarkStart w:id="105" w:name="_Toc210982876"/>
      <w:r>
        <w:t>Z 07.01 – A gazdasági funkciók kritikusságának értékelése (FUNC 1)</w:t>
      </w:r>
      <w:bookmarkEnd w:id="105"/>
    </w:p>
    <w:p w14:paraId="7FE1B960" w14:textId="7174EDC4" w:rsidR="00896468" w:rsidRDefault="00B31E50">
      <w:pPr>
        <w:pStyle w:val="P68B1DB1-Instructionsberschrift25"/>
      </w:pPr>
      <w:r>
        <w:t xml:space="preserve"> </w:t>
      </w:r>
      <w:bookmarkStart w:id="106" w:name="_Toc172723210"/>
      <w:bookmarkEnd w:id="106"/>
    </w:p>
    <w:p w14:paraId="7FE1B961" w14:textId="77777777" w:rsidR="00896468" w:rsidRDefault="00B31E50">
      <w:pPr>
        <w:pStyle w:val="P68B1DB1-body30"/>
      </w:pPr>
      <w:bookmarkStart w:id="107" w:name="_Toc164263845"/>
      <w:r>
        <w:t>A táblák egyes részeire vonatkozó útmutatások</w:t>
      </w:r>
      <w:bookmarkEnd w:id="107"/>
    </w:p>
    <w:p w14:paraId="7FE1B963" w14:textId="77777777" w:rsidR="00896468" w:rsidRDefault="00B31E50">
      <w:pPr>
        <w:pStyle w:val="P68B1DB1-InstructionsText26"/>
        <w:numPr>
          <w:ilvl w:val="0"/>
          <w:numId w:val="232"/>
        </w:numPr>
        <w:spacing w:before="0"/>
      </w:pPr>
      <w:r>
        <w:t>Egy-egy táblát kell benyújtani minden olyan tagállam („ország”) vonatkozásában, amelyben a csoport tevékenykedik. A fióktelepeket minden esetben (a belépési ponttól függetlenül) összesíteni kell annak az országnak a jelentésében, ahol szolgáltatást nyújtanak.</w:t>
      </w:r>
    </w:p>
    <w:p w14:paraId="7FE1B964" w14:textId="77777777" w:rsidR="00896468" w:rsidRDefault="00B31E50">
      <w:pPr>
        <w:pStyle w:val="P68B1DB1-InstructionsText26"/>
        <w:numPr>
          <w:ilvl w:val="0"/>
          <w:numId w:val="232"/>
        </w:numPr>
        <w:spacing w:before="0"/>
      </w:pPr>
      <w:r>
        <w:t>A táblában minden olyan gazdasági funkciót fel kell tüntetni, amelyet az adott tagállamban a csoporthoz tartozó bármely vállalkozás végez, függetlenül attól, hogy ez a funkció kritikus-e vagy sem.</w:t>
      </w:r>
    </w:p>
    <w:p w14:paraId="7FE1B965" w14:textId="2359C381" w:rsidR="00896468" w:rsidRDefault="00B31E50">
      <w:pPr>
        <w:pStyle w:val="P68B1DB1-InstructionsText26"/>
        <w:numPr>
          <w:ilvl w:val="0"/>
          <w:numId w:val="232"/>
        </w:numPr>
      </w:pPr>
      <w:r>
        <w:t>Regionális jelentéstétel (csak adott esetben)</w:t>
      </w:r>
    </w:p>
    <w:p w14:paraId="7FE1B966" w14:textId="4EEAD9BF" w:rsidR="00896468" w:rsidRDefault="00B31E50">
      <w:pPr>
        <w:pStyle w:val="P68B1DB1-InstructionsText26"/>
        <w:numPr>
          <w:ilvl w:val="0"/>
          <w:numId w:val="0"/>
        </w:numPr>
        <w:ind w:left="1440"/>
      </w:pPr>
      <w:r>
        <w:t xml:space="preserve">A régió szintjén történő </w:t>
      </w:r>
      <w:r w:rsidR="00EA6758">
        <w:t xml:space="preserve">adatszolgáltatás </w:t>
      </w:r>
      <w:r>
        <w:t xml:space="preserve">céljából határozza meg a régiót. Adja meg a régió nevét szabad szövegben a következő </w:t>
      </w:r>
      <w:r w:rsidR="003F27B3">
        <w:t xml:space="preserve">konvenció </w:t>
      </w:r>
      <w:r>
        <w:t>alkalmazásával:</w:t>
      </w:r>
    </w:p>
    <w:p w14:paraId="7FE1B967" w14:textId="5BD4C7F8" w:rsidR="00896468" w:rsidRDefault="00B31E50">
      <w:pPr>
        <w:pStyle w:val="P68B1DB1-InstructionsText26"/>
        <w:numPr>
          <w:ilvl w:val="0"/>
          <w:numId w:val="0"/>
        </w:numPr>
        <w:ind w:left="1440" w:firstLine="18"/>
      </w:pPr>
      <w:r>
        <w:t>Tagállam – a régió neve. A tagállamok nevéhez a két betűből álló rövidítést kell használni. A régió nevéhez a 2021. évi NUTS-osztályozásban szereplő kódot vagy kódokat kell használni.</w:t>
      </w:r>
    </w:p>
    <w:p w14:paraId="7FE1B968" w14:textId="77777777" w:rsidR="00896468" w:rsidRDefault="00896468">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96468"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896468" w:rsidRDefault="00B31E50">
            <w:pPr>
              <w:pStyle w:val="P68B1DB1-TableParagraph17"/>
              <w:spacing w:before="108"/>
              <w:ind w:left="85"/>
              <w:jc w:val="both"/>
            </w:pPr>
            <w:r>
              <w:t>Sor</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896468" w:rsidRDefault="00B31E50">
            <w:pPr>
              <w:pStyle w:val="P68B1DB1-TableParagraph17"/>
              <w:spacing w:before="108"/>
              <w:ind w:left="85" w:right="1"/>
              <w:jc w:val="both"/>
            </w:pPr>
            <w:r>
              <w:t>Gazdasági funkciók</w:t>
            </w:r>
          </w:p>
        </w:tc>
      </w:tr>
      <w:tr w:rsidR="00896468" w14:paraId="7FE1B970" w14:textId="77777777">
        <w:tc>
          <w:tcPr>
            <w:tcW w:w="9083" w:type="dxa"/>
            <w:gridSpan w:val="2"/>
            <w:tcBorders>
              <w:top w:val="single" w:sz="4" w:space="0" w:color="1A171C"/>
              <w:left w:val="nil"/>
              <w:bottom w:val="single" w:sz="4" w:space="0" w:color="1A171C"/>
            </w:tcBorders>
          </w:tcPr>
          <w:p w14:paraId="7FE1B96C" w14:textId="0D085442" w:rsidR="00896468" w:rsidRDefault="00B31E50">
            <w:pPr>
              <w:pStyle w:val="P68B1DB1-TableParagraph16"/>
              <w:spacing w:before="108"/>
              <w:ind w:left="85"/>
              <w:jc w:val="both"/>
              <w:rPr>
                <w:b/>
                <w:bCs/>
                <w:color w:val="000000" w:themeColor="text1"/>
                <w:sz w:val="20"/>
                <w:szCs w:val="20"/>
              </w:rPr>
            </w:pPr>
            <w:r>
              <w:t>Z 07.01.1 FUNC 1 DEP.</w:t>
            </w:r>
          </w:p>
          <w:p w14:paraId="7FE1B96D" w14:textId="5F122B9F" w:rsidR="00896468" w:rsidRDefault="00B31E50">
            <w:pPr>
              <w:pStyle w:val="P68B1DB1-TableParagraph17"/>
              <w:spacing w:before="108"/>
              <w:ind w:left="85"/>
            </w:pPr>
            <w:r>
              <w:t xml:space="preserve">A betétgyűjtés a nem pénzügyi </w:t>
            </w:r>
            <w:r w:rsidR="004E56F0">
              <w:t>partnerek</w:t>
            </w:r>
            <w:r>
              <w:t xml:space="preserve"> betéteinek elfogadására vonatkozik. Nem foglalja magában az egyéb pénzügyi </w:t>
            </w:r>
            <w:r w:rsidR="004E56F0">
              <w:t xml:space="preserve">partnerek </w:t>
            </w:r>
            <w:r>
              <w:t xml:space="preserve">betéteinek elfogadását, amelyet külön, a „bankközi finanszírozás” alatt kell feltüntetni. </w:t>
            </w:r>
          </w:p>
          <w:p w14:paraId="7FE1B96E" w14:textId="77777777" w:rsidR="00896468" w:rsidRDefault="00B31E50">
            <w:pPr>
              <w:pStyle w:val="P68B1DB1-TableParagraph17"/>
              <w:spacing w:before="108"/>
              <w:ind w:left="85"/>
            </w:pPr>
            <w:r>
              <w:t>A betétek közé tartoznak a következők: i. folyószámlák/egynapos betétek, ii. megállapodás szerinti futamidejű betétek, és iii. felmondással visszaváltható betétek; nem tartoznak ide a visszavásárlási megállapodások.</w:t>
            </w:r>
          </w:p>
          <w:p w14:paraId="7FE1B96F" w14:textId="77777777" w:rsidR="00896468" w:rsidRDefault="00B31E50">
            <w:pPr>
              <w:pStyle w:val="P68B1DB1-TableParagraph13"/>
              <w:spacing w:before="108"/>
              <w:ind w:left="85"/>
              <w:rPr>
                <w:rFonts w:eastAsia="Cambria"/>
              </w:rPr>
            </w:pPr>
            <w:r>
              <w:t>Hivatkozások: Az FSB iránymutatása a kritikus funkciók és a kritikus megosztott szolgáltatások azonosításáról (2013), 14. o.; Az (EU) 2021/379 rendelet II. melléklete 2. részének 9.1., 9.2. és 9.3. pontja.</w:t>
            </w:r>
          </w:p>
        </w:tc>
      </w:tr>
      <w:tr w:rsidR="00896468"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896468" w:rsidRDefault="00B31E50">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896468" w:rsidRDefault="00B31E50">
            <w:pPr>
              <w:pStyle w:val="P68B1DB1-TableParagraph14"/>
              <w:spacing w:before="108"/>
              <w:ind w:left="85"/>
              <w:jc w:val="both"/>
              <w:rPr>
                <w:rFonts w:eastAsia="Cambria"/>
              </w:rPr>
            </w:pPr>
            <w:r>
              <w:t>Háztartások</w:t>
            </w:r>
          </w:p>
        </w:tc>
      </w:tr>
      <w:tr w:rsidR="00896468"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896468" w:rsidRDefault="00B31E50">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896468" w:rsidRDefault="00B31E50">
            <w:pPr>
              <w:pStyle w:val="P68B1DB1-TableParagraph14"/>
              <w:spacing w:before="108"/>
              <w:ind w:left="85"/>
              <w:jc w:val="both"/>
              <w:rPr>
                <w:rFonts w:eastAsia="Cambria"/>
              </w:rPr>
            </w:pPr>
            <w:r>
              <w:t>Nem pénzügyi vállalatok (kkv-k)</w:t>
            </w:r>
          </w:p>
        </w:tc>
      </w:tr>
      <w:tr w:rsidR="00896468"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896468" w:rsidRDefault="00B31E50">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896468" w:rsidRDefault="00B31E50">
            <w:pPr>
              <w:pStyle w:val="P68B1DB1-TableParagraph14"/>
              <w:spacing w:before="108"/>
              <w:ind w:left="85"/>
              <w:jc w:val="both"/>
              <w:rPr>
                <w:rFonts w:eastAsia="Cambria"/>
              </w:rPr>
            </w:pPr>
            <w:r>
              <w:t>Nem pénzügyi vállalatok (nem kkv-k)</w:t>
            </w:r>
          </w:p>
        </w:tc>
      </w:tr>
      <w:tr w:rsidR="00896468"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896468" w:rsidRDefault="00B31E50">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896468" w:rsidRDefault="00B31E50">
            <w:pPr>
              <w:pStyle w:val="P68B1DB1-TableParagraph14"/>
              <w:spacing w:before="108"/>
              <w:ind w:left="85"/>
              <w:jc w:val="both"/>
              <w:rPr>
                <w:rFonts w:eastAsia="Cambria"/>
              </w:rPr>
            </w:pPr>
            <w:r>
              <w:t>Államháztartások</w:t>
            </w:r>
          </w:p>
        </w:tc>
      </w:tr>
      <w:tr w:rsidR="00896468"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896468" w:rsidRDefault="00B31E50">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896468" w:rsidRDefault="00B31E50">
            <w:pPr>
              <w:pStyle w:val="P68B1DB1-TableParagraph14"/>
              <w:spacing w:before="108"/>
              <w:ind w:left="85"/>
              <w:jc w:val="both"/>
              <w:rPr>
                <w:rFonts w:eastAsia="Cambria"/>
              </w:rPr>
            </w:pPr>
            <w:r>
              <w:t>Egyéb szektorok/partnerek (1), (2) és (3)</w:t>
            </w:r>
          </w:p>
        </w:tc>
      </w:tr>
      <w:tr w:rsidR="00896468" w14:paraId="7FE1B983" w14:textId="77777777">
        <w:tc>
          <w:tcPr>
            <w:tcW w:w="9083" w:type="dxa"/>
            <w:gridSpan w:val="2"/>
            <w:tcBorders>
              <w:top w:val="single" w:sz="4" w:space="0" w:color="1A171C"/>
              <w:left w:val="nil"/>
              <w:bottom w:val="single" w:sz="4" w:space="0" w:color="1A171C"/>
            </w:tcBorders>
          </w:tcPr>
          <w:p w14:paraId="7FE1B980" w14:textId="13950F51" w:rsidR="00896468" w:rsidRDefault="00B31E50">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57206660" w:rsidR="00896468" w:rsidRDefault="00B31E50">
            <w:pPr>
              <w:pStyle w:val="P68B1DB1-TableParagraph17"/>
              <w:spacing w:before="108"/>
              <w:ind w:left="85"/>
            </w:pPr>
            <w:r>
              <w:t>A hitelezés a nem pénzügyi partnerek, például a vállalati vagy lakossági ügyfelek számára nyújtott hitelezést fedi le. A pénzügyi partnerek számára nyújtott hitelezést külön, a „bankközi finanszírozás” rész alatt kell feltüntetni. A hitelek magukba foglalják az intézmények által tartott adósságinstrumentumokat, de nem foglalják magukban a hitelviszonyt megtestesítő értékpapírokat, függetlenül azok számviteli besorolásától (pl. lejáratig tartandó vagy értékesítésre rendelkezésre álló értékpapírok).</w:t>
            </w:r>
          </w:p>
          <w:p w14:paraId="7FE1B982" w14:textId="77777777" w:rsidR="00896468" w:rsidRDefault="00B31E50">
            <w:pPr>
              <w:pStyle w:val="P68B1DB1-TableParagraph13"/>
              <w:spacing w:before="108"/>
              <w:ind w:left="85"/>
              <w:rPr>
                <w:rFonts w:eastAsia="Cambria"/>
              </w:rPr>
            </w:pPr>
            <w:r>
              <w:t>Hivatkozások: Az FSB iránymutatása a kritikus funkciók és a kritikus megosztott szolgáltatások azonosításáról (2013), 17. o.; Az (EU) 2021/379 rendelet II. melléklete 2. részének 2. pontja.</w:t>
            </w:r>
          </w:p>
        </w:tc>
      </w:tr>
      <w:tr w:rsidR="00896468"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896468" w:rsidRDefault="00B31E50">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896468" w:rsidRDefault="00B31E50">
            <w:pPr>
              <w:pStyle w:val="P68B1DB1-TableParagraph14"/>
              <w:spacing w:before="108"/>
              <w:ind w:left="85"/>
              <w:jc w:val="both"/>
              <w:rPr>
                <w:bCs/>
              </w:rPr>
            </w:pPr>
            <w:r>
              <w:t>Háztartások – lakáscélú hitelezés</w:t>
            </w:r>
          </w:p>
          <w:p w14:paraId="7FE1B986" w14:textId="77777777" w:rsidR="00896468" w:rsidRDefault="00B31E50">
            <w:pPr>
              <w:pStyle w:val="P68B1DB1-TableParagraph17"/>
              <w:spacing w:before="108"/>
              <w:ind w:left="85"/>
            </w:pPr>
            <w:r>
              <w:t>Háztartásoknak nyújtott fedezett hitelek, fedezetként ingatlannal</w:t>
            </w:r>
          </w:p>
        </w:tc>
      </w:tr>
      <w:tr w:rsidR="00896468"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896468" w:rsidRDefault="00B31E50">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896468" w:rsidRDefault="00B31E50">
            <w:pPr>
              <w:pStyle w:val="P68B1DB1-TableParagraph14"/>
              <w:spacing w:before="108"/>
              <w:ind w:left="85"/>
              <w:jc w:val="both"/>
              <w:rPr>
                <w:bCs/>
              </w:rPr>
            </w:pPr>
            <w:r>
              <w:t>Háztartások – egyéb hitelezés</w:t>
            </w:r>
          </w:p>
        </w:tc>
      </w:tr>
      <w:tr w:rsidR="00896468"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896468" w:rsidRDefault="00B31E50">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896468" w:rsidRDefault="00B31E50">
            <w:pPr>
              <w:pStyle w:val="P68B1DB1-TableParagraph14"/>
              <w:spacing w:before="108"/>
              <w:ind w:left="85"/>
              <w:jc w:val="both"/>
              <w:rPr>
                <w:bCs/>
              </w:rPr>
            </w:pPr>
            <w:r>
              <w:t>Nem pénzügyi vállalatok (kkv-k)</w:t>
            </w:r>
          </w:p>
        </w:tc>
      </w:tr>
      <w:tr w:rsidR="00896468"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896468" w:rsidRDefault="00B31E50">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896468" w:rsidRDefault="00B31E50">
            <w:pPr>
              <w:pStyle w:val="P68B1DB1-TableParagraph14"/>
              <w:spacing w:before="108"/>
              <w:ind w:left="85"/>
              <w:jc w:val="both"/>
              <w:rPr>
                <w:bCs/>
              </w:rPr>
            </w:pPr>
            <w:r>
              <w:t>Nem pénzügyi vállalatok (nem kkv-k)</w:t>
            </w:r>
          </w:p>
        </w:tc>
      </w:tr>
      <w:tr w:rsidR="00896468"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896468" w:rsidRDefault="00B31E50">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896468" w:rsidRDefault="00B31E50">
            <w:pPr>
              <w:pStyle w:val="P68B1DB1-TableParagraph14"/>
              <w:spacing w:before="108"/>
              <w:ind w:left="85"/>
              <w:jc w:val="both"/>
              <w:rPr>
                <w:bCs/>
              </w:rPr>
            </w:pPr>
            <w:r>
              <w:t>Államháztartások</w:t>
            </w:r>
          </w:p>
        </w:tc>
      </w:tr>
      <w:tr w:rsidR="00896468"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896468" w:rsidRDefault="00B31E50">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896468" w:rsidRDefault="00B31E50">
            <w:pPr>
              <w:pStyle w:val="P68B1DB1-TableParagraph14"/>
              <w:spacing w:before="108"/>
              <w:ind w:left="85"/>
              <w:jc w:val="both"/>
              <w:rPr>
                <w:rFonts w:eastAsia="Cambria"/>
              </w:rPr>
            </w:pPr>
            <w:r>
              <w:t>Egyéb szektorok/partnerek (1), (2) és (3)</w:t>
            </w:r>
          </w:p>
        </w:tc>
      </w:tr>
      <w:tr w:rsidR="00896468" w14:paraId="7FE1B99C" w14:textId="77777777">
        <w:tc>
          <w:tcPr>
            <w:tcW w:w="9083" w:type="dxa"/>
            <w:gridSpan w:val="2"/>
            <w:tcBorders>
              <w:top w:val="single" w:sz="4" w:space="0" w:color="1A171C"/>
              <w:left w:val="nil"/>
              <w:bottom w:val="single" w:sz="4" w:space="0" w:color="1A171C"/>
            </w:tcBorders>
          </w:tcPr>
          <w:p w14:paraId="7FE1B997" w14:textId="6E42AE2C"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w:t>
            </w:r>
            <w:r w:rsidR="004E56F0">
              <w:rPr>
                <w:rFonts w:ascii="Times New Roman" w:eastAsia="Cambria" w:hAnsi="Times New Roman" w:cs="Times New Roman"/>
                <w:color w:val="000000" w:themeColor="text1"/>
                <w:sz w:val="20"/>
                <w:szCs w:val="20"/>
              </w:rPr>
              <w:t xml:space="preserve"> PAY</w:t>
            </w:r>
          </w:p>
          <w:p w14:paraId="7FE1B998" w14:textId="77777777" w:rsidR="00896468" w:rsidRDefault="00B31E50">
            <w:pPr>
              <w:pStyle w:val="P68B1DB1-TableParagraph13"/>
              <w:spacing w:before="108"/>
              <w:ind w:left="85"/>
              <w:jc w:val="both"/>
              <w:rPr>
                <w:rFonts w:eastAsia="Cambria"/>
              </w:rPr>
            </w:pPr>
            <w:r>
              <w:t>Hivatkozás: Az FSB iránymutatása a kritikus funkciók és a kritikus megosztott szolgáltatások azonosításáról (2013), 20. o.</w:t>
            </w:r>
          </w:p>
          <w:p w14:paraId="7FE1B999" w14:textId="77777777" w:rsidR="00896468" w:rsidRDefault="00B31E50">
            <w:pPr>
              <w:pStyle w:val="P68B1DB1-TableParagraph13"/>
              <w:spacing w:before="108"/>
              <w:ind w:left="85"/>
              <w:jc w:val="both"/>
              <w:rPr>
                <w:rFonts w:eastAsia="Cambria"/>
              </w:rPr>
            </w:pPr>
            <w:r>
              <w:t>Az e szakaszba tartozó gazdasági funkciók magukban foglalják a pénzforgalmi, készpénz-, kiegyenlítési, elszámolási és letéti őrzési szolgáltatások hitelintézet általi nyújtását a saját ügyfelek közötti közvetítőként vagy egy ügyfél és egy vagy több releváns pénzügyi piaci infrastruktúra közötti közvetítőként, vagy a pénzügyi piaci infrastruktúrákhoz más bankok számára biztosított (közvetett) hozzáférést. A kritikus funkciók és a kritikus megosztott szolgáltatások azonosításáról szóló FSB-iránymutatással összhangban a pénzforgalmi, kiegyenlítési és elszámolási funkciók a bankok által ügyfeleiknek nyújtott szolgáltatásokra korlátozódnak. Ez a kategória nem terjed ki a (tiszta) pénzügyi piaci infrastruktúraszolgáltatók által nyújtott szolgáltatásokra. E tábla alkalmazásában a pénzügyi piaci infrastruktúrák magukban foglalják a fizetési rendszereket, értékpapír-kiegyenlítési rendszereket, központi értéktárakat és központi szerződő feleket (de nem foglalják magukban a kereskedési adattárakat).</w:t>
            </w:r>
          </w:p>
          <w:p w14:paraId="7FE1B99A" w14:textId="77777777"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„pénzforgalmi szolgáltatás”, a „fizetési művelet” és a „fizetési rendszer” meghatározása megegyezik a belső piaci pénzforgalmi szolgáltatásokról szóló (EU) 2015/2366 irányelv 4. cikke (3), (5), illetve (7) bekezdésében meghatározottakkal</w:t>
            </w:r>
            <w:r>
              <w:rPr>
                <w:rStyle w:val="FootnoteReference"/>
                <w:rFonts w:ascii="Times New Roman" w:eastAsia="Cambria" w:hAnsi="Times New Roman" w:cs="Times New Roman"/>
                <w:color w:val="000000" w:themeColor="text1"/>
                <w:sz w:val="20"/>
                <w:szCs w:val="20"/>
              </w:rPr>
              <w:footnoteReference w:id="18"/>
            </w:r>
            <w:r>
              <w:rPr>
                <w:rFonts w:ascii="Times New Roman" w:eastAsia="Cambria" w:hAnsi="Times New Roman" w:cs="Times New Roman"/>
                <w:color w:val="000000" w:themeColor="text1"/>
                <w:sz w:val="20"/>
                <w:szCs w:val="20"/>
              </w:rPr>
              <w:t>.</w:t>
            </w:r>
          </w:p>
          <w:p w14:paraId="7FE1B99B" w14:textId="77777777" w:rsidR="00896468" w:rsidRDefault="00896468">
            <w:pPr>
              <w:pStyle w:val="TableParagraph"/>
              <w:spacing w:before="108"/>
              <w:ind w:left="85"/>
              <w:jc w:val="both"/>
              <w:rPr>
                <w:rFonts w:ascii="Times New Roman" w:eastAsia="Cambria" w:hAnsi="Times New Roman" w:cs="Times New Roman"/>
                <w:color w:val="000000" w:themeColor="text1"/>
                <w:sz w:val="20"/>
                <w:szCs w:val="20"/>
              </w:rPr>
            </w:pPr>
          </w:p>
        </w:tc>
      </w:tr>
      <w:tr w:rsidR="00896468"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896468" w:rsidRDefault="00B31E50">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896468" w:rsidRDefault="00B31E50">
            <w:pPr>
              <w:pStyle w:val="P68B1DB1-TableParagraph14"/>
              <w:spacing w:before="108"/>
              <w:ind w:left="85"/>
              <w:jc w:val="both"/>
              <w:rPr>
                <w:bCs/>
              </w:rPr>
            </w:pPr>
            <w:r>
              <w:t>Monetáris pénzügyi intézményeknek nyújtott pénzforgalmi szolgáltatások</w:t>
            </w:r>
          </w:p>
          <w:p w14:paraId="7FE1B99F" w14:textId="0F20D05D" w:rsidR="00896468" w:rsidRDefault="00B31E50">
            <w:pPr>
              <w:pStyle w:val="P68B1DB1-TableParagraph17"/>
              <w:spacing w:before="108"/>
              <w:ind w:left="85"/>
              <w:jc w:val="both"/>
            </w:pPr>
            <w:r>
              <w:t>Ez a sor magában foglalja a monetáris pénzügyi intézményeknek külső fizetési rendszerek alkalmazásával vagy anélkül nyújtott pénzforgalmi szolgáltatásokat. Ide</w:t>
            </w:r>
            <w:r w:rsidR="003875C5">
              <w:t xml:space="preserve"> </w:t>
            </w:r>
            <w:r>
              <w:t xml:space="preserve">tartoznak a levelező banki szolgáltatások(hoz kapcsolódó kifizetések) is. A monetáris pénzügyi intézmények közé tartoznak az alábbi alszektorokban szereplő intézményi egységek: i) központi bank; </w:t>
            </w:r>
            <w:r w:rsidR="003875C5">
              <w:t xml:space="preserve">ii) </w:t>
            </w:r>
            <w:r>
              <w:t>betétgyűjtő vállalatok a központi bank kivételével; valamint iii</w:t>
            </w:r>
            <w:r w:rsidR="003875C5">
              <w:t>)</w:t>
            </w:r>
            <w:r>
              <w:t xml:space="preserve"> pénzpiaci alapok.</w:t>
            </w:r>
          </w:p>
        </w:tc>
      </w:tr>
      <w:tr w:rsidR="00896468"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896468" w:rsidRDefault="00B31E50">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896468" w:rsidRDefault="00B31E50">
            <w:pPr>
              <w:pStyle w:val="P68B1DB1-TableParagraph14"/>
              <w:spacing w:before="108"/>
              <w:ind w:left="85"/>
              <w:jc w:val="both"/>
              <w:rPr>
                <w:bCs/>
              </w:rPr>
            </w:pPr>
            <w:r>
              <w:t>Nem monetáris pénzügyi intézményeknek nyújtott pénzforgalmi szolgáltatások</w:t>
            </w:r>
          </w:p>
          <w:p w14:paraId="7FE1B9A3" w14:textId="77777777" w:rsidR="00896468" w:rsidRDefault="00B31E50">
            <w:pPr>
              <w:pStyle w:val="P68B1DB1-TableParagraph17"/>
              <w:spacing w:before="108"/>
              <w:ind w:left="85"/>
            </w:pPr>
            <w:r>
              <w:t>Ügyfeleknek külső fizetési rendszerek alkalmazásával vagy anélkül nyújtott pénzforgalmi szolgáltatások. Ide csak a nem monetáris pénzügyi intézmények közé tartozó természetes vagy jogi személyek sorolhatók. A pénzforgalmi szolgáltatók szintén nem tartoznak a „nem monetáris pénzügyi intézmények” szektorába.</w:t>
            </w:r>
          </w:p>
          <w:p w14:paraId="7FE1B9A4" w14:textId="77777777" w:rsidR="00896468" w:rsidRDefault="00B31E50">
            <w:pPr>
              <w:pStyle w:val="P68B1DB1-TableParagraph17"/>
              <w:spacing w:before="108"/>
              <w:ind w:left="85"/>
            </w:pPr>
            <w:r>
              <w:t>A funkció további három alfunkcióra oszlik:</w:t>
            </w:r>
          </w:p>
          <w:p w14:paraId="7FE1B9A5" w14:textId="77777777" w:rsidR="00896468" w:rsidRDefault="00B31E50">
            <w:pPr>
              <w:pStyle w:val="P68B1DB1-TableParagraph17"/>
              <w:spacing w:before="108"/>
              <w:ind w:left="85"/>
            </w:pPr>
            <w:r>
              <w:t>(1) Háztartások</w:t>
            </w:r>
          </w:p>
          <w:p w14:paraId="7FE1B9A6" w14:textId="77777777" w:rsidR="00896468" w:rsidRDefault="00B31E50">
            <w:pPr>
              <w:pStyle w:val="P68B1DB1-TableParagraph17"/>
              <w:spacing w:before="108"/>
              <w:ind w:left="85"/>
            </w:pPr>
            <w:r>
              <w:t>(2) Nem pénzügyi vállalatok (kkv-k)</w:t>
            </w:r>
          </w:p>
          <w:p w14:paraId="7FE1B9A7" w14:textId="77777777" w:rsidR="00896468" w:rsidRDefault="00B31E50">
            <w:pPr>
              <w:pStyle w:val="P68B1DB1-TableParagraph17"/>
              <w:spacing w:before="108"/>
              <w:ind w:left="85"/>
            </w:pPr>
            <w:r>
              <w:t>(3) Nem pénzügyi vállalatok (nem kkv-k)</w:t>
            </w:r>
          </w:p>
        </w:tc>
      </w:tr>
      <w:tr w:rsidR="00896468"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896468" w:rsidRDefault="00B31E50">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896468" w:rsidRDefault="00B31E50">
            <w:pPr>
              <w:pStyle w:val="P68B1DB1-TableParagraph14"/>
              <w:spacing w:before="108"/>
              <w:ind w:left="85"/>
              <w:jc w:val="both"/>
              <w:rPr>
                <w:bCs/>
              </w:rPr>
            </w:pPr>
            <w:r>
              <w:t>Készpénzszolgáltatások</w:t>
            </w:r>
          </w:p>
          <w:p w14:paraId="7FE1B9AB" w14:textId="0E74A03A" w:rsidR="00896468" w:rsidRDefault="00B31E50">
            <w:pPr>
              <w:pStyle w:val="P68B1DB1-TableParagraph17"/>
              <w:spacing w:before="108"/>
              <w:ind w:left="85"/>
            </w:pPr>
            <w:r>
              <w:t>Készpénzszolgáltatások nyújtása ügyfelek (magánszemélyek és vállalatok, de nem monetáris pénzügyi intézmények) részére. Ide</w:t>
            </w:r>
            <w:r w:rsidR="00E3234A">
              <w:t xml:space="preserve"> </w:t>
            </w:r>
            <w:r>
              <w:t>tartozik az ATM-eknél és a fiókokban történő készpénzfelvétel, de nem tartoznak ide egyéb készpénzszolgáltatások (például a nagybani kiskereskedők számára nyújtott készpénzszállítási szolgáltatások). Idetartozik továbbá a csekkel és a fiókokban banki nyomtatványokkal történő készpénzfelvétel (ahol a kártyák azonosító eszközként használhatók).</w:t>
            </w:r>
          </w:p>
        </w:tc>
      </w:tr>
      <w:tr w:rsidR="00896468"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896468" w:rsidRDefault="00B31E50">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896468" w:rsidRDefault="00B31E50">
            <w:pPr>
              <w:pStyle w:val="P68B1DB1-TableParagraph14"/>
              <w:spacing w:before="108"/>
              <w:ind w:left="85"/>
              <w:jc w:val="both"/>
              <w:rPr>
                <w:bCs/>
              </w:rPr>
            </w:pPr>
            <w:r>
              <w:t>Értékpapír-kiegyenlítési szolgáltatások</w:t>
            </w:r>
          </w:p>
          <w:p w14:paraId="7FE1B9AF" w14:textId="78E6355B" w:rsidR="00896468" w:rsidRDefault="00B31E50">
            <w:pPr>
              <w:pStyle w:val="P68B1DB1-TableParagraph17"/>
              <w:spacing w:before="108"/>
              <w:ind w:left="85"/>
            </w:pPr>
            <w:r>
              <w:t xml:space="preserve">Ügyfeleknek nyújtott szolgáltatások az értékpapírügyletek megerősítése, elszámolása és kiegyenlítése céljából, értékpapír-kiegyenlítési rendszerek alkalmazásával vagy anélkül. A </w:t>
            </w:r>
            <w:r w:rsidR="00E3234A">
              <w:t>„</w:t>
            </w:r>
            <w:r>
              <w:t>kiegyenlítés</w:t>
            </w:r>
            <w:r w:rsidR="00E3234A">
              <w:t>”</w:t>
            </w:r>
            <w:r>
              <w:t xml:space="preserve"> értékpapírügylet </w:t>
            </w:r>
            <w:r w:rsidR="00E3234A">
              <w:t>teljesítését jelenti</w:t>
            </w:r>
            <w:r>
              <w:t>, amely ügyletet azzal a céllal kötöttek meg, hogy az ügyletben részt vevő felek kötelezettségei pénzeszköz-átutalás és/vagy értékpapírtranszfer révén kerüljenek kiegyenlítésre.</w:t>
            </w:r>
          </w:p>
        </w:tc>
      </w:tr>
      <w:tr w:rsidR="00896468"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896468" w:rsidRDefault="00B31E50">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896468" w:rsidRDefault="00B31E50">
            <w:pPr>
              <w:pStyle w:val="P68B1DB1-TableParagraph14"/>
              <w:spacing w:before="108"/>
              <w:ind w:left="85"/>
              <w:jc w:val="both"/>
              <w:rPr>
                <w:bCs/>
              </w:rPr>
            </w:pPr>
            <w:r>
              <w:t>Központi szerződő fél elszámolási szolgáltatásai</w:t>
            </w:r>
          </w:p>
          <w:p w14:paraId="7FE1B9B3" w14:textId="77777777" w:rsidR="00896468" w:rsidRDefault="00B31E50">
            <w:pPr>
              <w:pStyle w:val="P68B1DB1-TableParagraph17"/>
              <w:spacing w:before="108"/>
              <w:ind w:left="85"/>
            </w:pPr>
            <w:r>
              <w:t>Az ügyfeleknek nyújtott, értékpapírokkal és származtatott ügyletekkel kapcsolatos elszámolási szolgáltatások. Idetartozik a központi szerződő félhez történő közvetett hozzáférés biztosítása is.</w:t>
            </w:r>
          </w:p>
        </w:tc>
      </w:tr>
      <w:tr w:rsidR="00896468"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896468" w:rsidRDefault="00B31E50">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3299DF64" w:rsidR="00896468" w:rsidRDefault="00C23337">
            <w:pPr>
              <w:pStyle w:val="P68B1DB1-TableParagraph14"/>
              <w:spacing w:before="108"/>
              <w:ind w:left="85"/>
              <w:jc w:val="both"/>
              <w:rPr>
                <w:bCs/>
              </w:rPr>
            </w:pPr>
            <w:r>
              <w:t>Letéti szolgáltatás</w:t>
            </w:r>
          </w:p>
          <w:p w14:paraId="7FE1B9B7" w14:textId="77777777" w:rsidR="00896468" w:rsidRDefault="00B31E50">
            <w:pPr>
              <w:pStyle w:val="P68B1DB1-TableParagraph17"/>
              <w:spacing w:before="108"/>
              <w:ind w:left="85"/>
            </w:pPr>
            <w:r>
              <w:t>Az ügyfelek pénzügyi eszközeinek megőrzése és kezelése, valamint a letéti őrzéshez kapcsolódó szolgáltatások, például készpénz- és biztosítékkezelés.</w:t>
            </w:r>
          </w:p>
        </w:tc>
      </w:tr>
      <w:tr w:rsidR="00896468"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896468" w:rsidRDefault="00B31E50">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896468" w:rsidRDefault="00B31E50">
            <w:pPr>
              <w:pStyle w:val="P68B1DB1-TableParagraph14"/>
              <w:spacing w:before="108"/>
              <w:ind w:left="85"/>
              <w:jc w:val="both"/>
              <w:rPr>
                <w:rFonts w:eastAsia="Cambria"/>
              </w:rPr>
            </w:pPr>
            <w:r>
              <w:t>Egyéb szolgáltatások/tevékenységek/funkciók (1), (2) és (3)</w:t>
            </w:r>
          </w:p>
        </w:tc>
      </w:tr>
      <w:tr w:rsidR="00896468" w14:paraId="7FE1B9BE" w14:textId="77777777">
        <w:tc>
          <w:tcPr>
            <w:tcW w:w="9083" w:type="dxa"/>
            <w:gridSpan w:val="2"/>
            <w:tcBorders>
              <w:top w:val="single" w:sz="4" w:space="0" w:color="1A171C"/>
              <w:left w:val="nil"/>
              <w:bottom w:val="single" w:sz="4" w:space="0" w:color="1A171C"/>
            </w:tcBorders>
          </w:tcPr>
          <w:p w14:paraId="7FE1B9BC" w14:textId="4228BCAA" w:rsidR="00896468" w:rsidRDefault="00B31E50">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896468" w:rsidRDefault="00B31E50">
            <w:pPr>
              <w:pStyle w:val="P68B1DB1-TableParagraph17"/>
              <w:spacing w:before="108"/>
              <w:ind w:left="85"/>
              <w:jc w:val="both"/>
            </w:pPr>
            <w:r>
              <w:t xml:space="preserve">A tőkepiaci tevékenységek az értékpapírok kibocsátására és kereskedelmére, a kapcsolódó tanácsadási szolgáltatásokra és egyéb kapcsolódó szolgáltatásokra, például kiemelt brókerszolgáltatásra és árjegyzésre vonatkoznak. </w:t>
            </w:r>
          </w:p>
        </w:tc>
      </w:tr>
      <w:tr w:rsidR="00896468"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896468" w:rsidRDefault="00B31E50">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896468" w:rsidRDefault="00B31E50">
            <w:pPr>
              <w:pStyle w:val="P68B1DB1-TableParagraph14"/>
              <w:spacing w:before="108"/>
              <w:ind w:left="85"/>
              <w:jc w:val="both"/>
              <w:rPr>
                <w:bCs/>
              </w:rPr>
            </w:pPr>
            <w:r>
              <w:t>Kereskedési céllal tartott származtatott ügyletek – tőzsdén kívüli</w:t>
            </w:r>
          </w:p>
          <w:p w14:paraId="7FE1B9C1" w14:textId="2FDAA405" w:rsidR="00896468" w:rsidRDefault="00B31E50">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 648/2012/EU rendelet 2. cikkének (5) és (7) bekezdése</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C2" w14:textId="541BD891" w:rsidR="00896468" w:rsidRDefault="00B31E50">
            <w:pPr>
              <w:pStyle w:val="P68B1DB1-TableParagraph17"/>
              <w:spacing w:before="108"/>
              <w:ind w:left="85"/>
            </w:pPr>
            <w:r>
              <w:t xml:space="preserve">Származtatott ügylet vagy </w:t>
            </w:r>
            <w:r w:rsidR="00704912">
              <w:t xml:space="preserve">származtatott szerződés </w:t>
            </w:r>
            <w:r>
              <w:t>a 2014/65/EK irányelv az 1287/2006/EK rendelet 38. és 39. cikkével végrehajtott I. melléklete C. szakaszának 4–10. pontjában felsorolt pénzügyi eszköz.</w:t>
            </w:r>
          </w:p>
          <w:p w14:paraId="7FE1B9C3" w14:textId="4B501954" w:rsidR="00896468" w:rsidRDefault="00B31E50">
            <w:pPr>
              <w:pStyle w:val="P68B1DB1-TableParagraph17"/>
              <w:spacing w:before="108"/>
              <w:ind w:left="85"/>
            </w:pPr>
            <w:r>
              <w:t xml:space="preserve">Tőzsdén kívüli származtatott ügylet vagy </w:t>
            </w:r>
            <w:r w:rsidR="00DA35BF">
              <w:t>tőzsdén kívüli származtatott szerződés olyan származtatott ügyletet jelent</w:t>
            </w:r>
            <w:r>
              <w:t>, amelynek végrehajtására nem a 2014/65/EK irányelv 4. cikke (1) bekezdése 21. pontjának értelmében vett szabályozott piacon vagy a 648/2012/EU rendelet 2a. cikkével összhangban a szabályozott piaccal egyenértékűnek tekintett harmadik országbeli piacon kerül sor.</w:t>
            </w:r>
          </w:p>
          <w:p w14:paraId="7FE1B9C4" w14:textId="77777777" w:rsidR="00896468" w:rsidRDefault="00B31E50">
            <w:pPr>
              <w:pStyle w:val="P68B1DB1-TableParagraph17"/>
              <w:spacing w:before="108"/>
              <w:ind w:left="85"/>
            </w:pPr>
            <w:r>
              <w:t xml:space="preserve">Csak a tőzsdén kívüli piacon forgalmazott származtatott ügyletek értékét kell feltüntetni. </w:t>
            </w:r>
          </w:p>
        </w:tc>
      </w:tr>
      <w:tr w:rsidR="00896468"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896468" w:rsidRDefault="00B31E50">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896468" w:rsidRDefault="00B31E50">
            <w:pPr>
              <w:pStyle w:val="P68B1DB1-TableParagraph14"/>
              <w:spacing w:before="108"/>
              <w:ind w:left="85"/>
              <w:jc w:val="both"/>
              <w:rPr>
                <w:bCs/>
              </w:rPr>
            </w:pPr>
            <w:r>
              <w:t>Kereskedési céllal tartott származtatott ügyletek – nem tőzsdén kívüli</w:t>
            </w:r>
          </w:p>
          <w:p w14:paraId="7FE1B9C8" w14:textId="77777777" w:rsidR="00896468" w:rsidRDefault="00B31E50">
            <w:pPr>
              <w:pStyle w:val="P68B1DB1-TableParagraph17"/>
              <w:spacing w:before="108"/>
              <w:ind w:left="85"/>
            </w:pPr>
            <w:r>
              <w:t xml:space="preserve">A kereskedési céllal tartott összes származtatott ügylet, kivéve a kereskedési céllal tartott tőzsdén kívüli származtatott ügyleteket. </w:t>
            </w:r>
          </w:p>
        </w:tc>
      </w:tr>
      <w:tr w:rsidR="00896468"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896468" w:rsidRDefault="00B31E50">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896468" w:rsidRDefault="00B31E50">
            <w:pPr>
              <w:pStyle w:val="P68B1DB1-TableParagraph14"/>
              <w:spacing w:before="108"/>
              <w:ind w:left="85"/>
              <w:jc w:val="both"/>
              <w:rPr>
                <w:bCs/>
              </w:rPr>
            </w:pPr>
            <w:r>
              <w:t>Másodlagos piacok/kereskedés</w:t>
            </w:r>
          </w:p>
          <w:p w14:paraId="7FE1B9CC" w14:textId="77777777" w:rsidR="00896468" w:rsidRDefault="00B31E50">
            <w:pPr>
              <w:pStyle w:val="P68B1DB1-TableParagraph17"/>
              <w:spacing w:before="108"/>
              <w:ind w:left="85"/>
            </w:pPr>
            <w:r>
              <w:t xml:space="preserve">A másodlagos piac az a hely, ahol az értékpapírok befektetők általi vásárlása és értékesítése </w:t>
            </w:r>
            <w:r>
              <w:lastRenderedPageBreak/>
              <w:t>történik. Ez a funkció a teljes kereskedési portfólióra vonatkozik (részvény, vállalati kötvény, államkötvény).</w:t>
            </w:r>
          </w:p>
          <w:p w14:paraId="7FE1B9CD" w14:textId="24708FD2" w:rsidR="00896468" w:rsidRDefault="00B31E50">
            <w:pPr>
              <w:pStyle w:val="P68B1DB1-TableParagraph17"/>
              <w:spacing w:before="108"/>
              <w:ind w:left="85"/>
            </w:pPr>
            <w:r>
              <w:t>A feltüntetendő érték a kereskedési céllal tartott értékpapírok összértéke. Az értékpapírokat az adatszolgáltatás vonatkozási időpont</w:t>
            </w:r>
            <w:r w:rsidR="002A1428">
              <w:t>jában</w:t>
            </w:r>
            <w:r>
              <w:t xml:space="preserve"> </w:t>
            </w:r>
            <w:r w:rsidR="002A1428">
              <w:t xml:space="preserve">érvényes </w:t>
            </w:r>
            <w:r>
              <w:t>valós értéken kell jelenteni.</w:t>
            </w:r>
          </w:p>
          <w:p w14:paraId="7FE1B9CE" w14:textId="77777777" w:rsidR="00896468" w:rsidRDefault="00B31E50">
            <w:pPr>
              <w:pStyle w:val="P68B1DB1-TableParagraph17"/>
              <w:spacing w:before="108"/>
              <w:ind w:left="85"/>
            </w:pPr>
            <w:r>
              <w:t>Az összeg nem tartalmazza a hiteleket, a származtatott ügyleteket és a nem forgalomképes eszközöket (pl. követelések).</w:t>
            </w:r>
          </w:p>
        </w:tc>
      </w:tr>
      <w:tr w:rsidR="00896468"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896468" w:rsidRDefault="00B31E50">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896468" w:rsidRDefault="00B31E50">
            <w:pPr>
              <w:pStyle w:val="P68B1DB1-TableParagraph14"/>
              <w:spacing w:before="108"/>
              <w:ind w:left="85"/>
              <w:jc w:val="both"/>
              <w:rPr>
                <w:bCs/>
              </w:rPr>
            </w:pPr>
            <w:r>
              <w:t>Elsődleges piacok/jegyzési garanciavállalás</w:t>
            </w:r>
          </w:p>
          <w:p w14:paraId="7FE1B9D2" w14:textId="77777777" w:rsidR="00896468" w:rsidRDefault="00B31E50">
            <w:pPr>
              <w:pStyle w:val="P68B1DB1-TableParagraph17"/>
              <w:spacing w:before="108"/>
              <w:ind w:left="85"/>
            </w:pPr>
            <w:r>
              <w:t>Az elsődleges piacok azok a piacok, ahol a vállalkozások, kormányok és más csoportok új értékpapírokat bocsátanak ki hitel- vagy tulajdonviszonyt megtestesítő értékpapírok (törzs- és elsőbbségi részvények, vállalati kötvények, kincstárjegyek, államkötvények stb.) révén történő finanszírozásuk céljából. Az elsődleges piacokat a jegyzési garanciavállalási csoportok segítik.</w:t>
            </w:r>
          </w:p>
        </w:tc>
      </w:tr>
      <w:tr w:rsidR="00896468"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896468" w:rsidRDefault="00B31E50">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896468" w:rsidRDefault="00B31E50">
            <w:pPr>
              <w:pStyle w:val="P68B1DB1-TableParagraph14"/>
              <w:spacing w:before="108"/>
              <w:ind w:left="85"/>
              <w:jc w:val="both"/>
              <w:rPr>
                <w:rFonts w:eastAsia="Cambria"/>
              </w:rPr>
            </w:pPr>
            <w:r>
              <w:t>Egyéb szolgáltatások/tevékenységek/funkciók (1), (2) és (3)</w:t>
            </w:r>
          </w:p>
        </w:tc>
      </w:tr>
      <w:tr w:rsidR="00896468" w14:paraId="7FE1B9D9" w14:textId="77777777">
        <w:tc>
          <w:tcPr>
            <w:tcW w:w="9083" w:type="dxa"/>
            <w:gridSpan w:val="2"/>
            <w:tcBorders>
              <w:top w:val="single" w:sz="4" w:space="0" w:color="1A171C"/>
              <w:left w:val="nil"/>
              <w:bottom w:val="single" w:sz="4" w:space="0" w:color="1A171C"/>
            </w:tcBorders>
          </w:tcPr>
          <w:p w14:paraId="7FE1B9D7" w14:textId="1DCC31B9" w:rsidR="00896468" w:rsidRDefault="00B31E50">
            <w:pPr>
              <w:pStyle w:val="P68B1DB1-TableParagraph16"/>
              <w:spacing w:before="108"/>
              <w:ind w:left="85"/>
              <w:jc w:val="both"/>
              <w:rPr>
                <w:b/>
                <w:bCs/>
                <w:color w:val="000000" w:themeColor="text1"/>
                <w:sz w:val="20"/>
                <w:szCs w:val="20"/>
              </w:rPr>
            </w:pPr>
            <w:r>
              <w:t>Z 07.01.5 FUNC 1 WF</w:t>
            </w:r>
          </w:p>
          <w:p w14:paraId="7FE1B9D8" w14:textId="77777777" w:rsidR="00896468" w:rsidRDefault="00B31E50">
            <w:pPr>
              <w:pStyle w:val="P68B1DB1-TableParagraph17"/>
              <w:spacing w:before="108"/>
              <w:ind w:left="85"/>
              <w:jc w:val="both"/>
            </w:pPr>
            <w:r>
              <w:t>A bankközi piacokon a pénzügyi partnerek (hitelintézetek és egyéb pénzügyi vállalatok) számára történő hitelnyújtási és azoktól való hitelfelvételi tevékenységek.</w:t>
            </w:r>
          </w:p>
        </w:tc>
      </w:tr>
      <w:tr w:rsidR="00896468"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896468" w:rsidRDefault="00B31E50">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896468" w:rsidRDefault="00B31E50">
            <w:pPr>
              <w:pStyle w:val="P68B1DB1-TableParagraph14"/>
              <w:spacing w:before="108"/>
              <w:ind w:left="85"/>
              <w:jc w:val="both"/>
              <w:rPr>
                <w:bCs/>
              </w:rPr>
            </w:pPr>
            <w:r>
              <w:t>Hitelfelvétel</w:t>
            </w:r>
          </w:p>
          <w:p w14:paraId="7FE1B9DC" w14:textId="77777777" w:rsidR="00896468" w:rsidRDefault="00B31E50">
            <w:pPr>
              <w:pStyle w:val="P68B1DB1-TableParagraph17"/>
              <w:spacing w:before="108"/>
              <w:ind w:left="85"/>
            </w:pPr>
            <w:r>
              <w:t>Pénzügyi partnerektől bankközi piacon történő hitelfelvétel (többek között visszavásárlási megállapodások, bankközi kölcsönfelvétel, kereskedelmi értékpapírok, letéti jegyek, pénzpiaci alapok, hitelkeretek, eszközfedezetű kereskedelmi papírok és vagyonkezelői betétek formájában).</w:t>
            </w:r>
          </w:p>
        </w:tc>
      </w:tr>
      <w:tr w:rsidR="00896468"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896468" w:rsidRDefault="00B31E50">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896468" w:rsidRDefault="00B31E50">
            <w:pPr>
              <w:pStyle w:val="P68B1DB1-TableParagraph14"/>
              <w:spacing w:before="108"/>
              <w:ind w:left="85"/>
              <w:jc w:val="both"/>
              <w:rPr>
                <w:bCs/>
              </w:rPr>
            </w:pPr>
            <w:r>
              <w:t>Származtatott ügyletek (eszközök)</w:t>
            </w:r>
          </w:p>
          <w:p w14:paraId="7FE1B9E0" w14:textId="77777777" w:rsidR="00896468" w:rsidRDefault="00B31E50">
            <w:pPr>
              <w:pStyle w:val="P68B1DB1-TableParagraph17"/>
              <w:spacing w:before="108"/>
              <w:ind w:left="85"/>
            </w:pPr>
            <w:r>
              <w:t>A pénzügyi partnerekkel kötött, a mérleg eszközoldalán megjelenített összes származtatott ügylet. A „Tőkepiacok” szakasszal szemben a „Bankközi finanszírozás” szakaszban feltüntetett származtatott ügyletek magukban foglalják a pénzügyi partnerekkel kötött összes származtatott ügyletet (és nem csak a kereskedési céllal tartott termékeket).</w:t>
            </w:r>
          </w:p>
        </w:tc>
      </w:tr>
      <w:tr w:rsidR="00896468"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896468" w:rsidRDefault="00B31E50">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896468" w:rsidRDefault="00B31E50">
            <w:pPr>
              <w:pStyle w:val="P68B1DB1-TableParagraph14"/>
              <w:spacing w:before="108"/>
              <w:ind w:left="85"/>
              <w:jc w:val="both"/>
              <w:rPr>
                <w:bCs/>
              </w:rPr>
            </w:pPr>
            <w:r>
              <w:t>Hitelezés</w:t>
            </w:r>
          </w:p>
          <w:p w14:paraId="7FE1B9E4" w14:textId="77777777" w:rsidR="00896468" w:rsidRDefault="00B31E50">
            <w:pPr>
              <w:pStyle w:val="P68B1DB1-TableParagraph17"/>
              <w:spacing w:before="108"/>
              <w:ind w:left="85"/>
            </w:pPr>
            <w:r>
              <w:t>Pénzügyi partnerek számára bankközi piacon történő hitelnyújtás (többek között fordított visszavásárlási megállapodások, kereskedelmi értékpapírok, letéti jegyek, pénzpiaci alapok, hitelkeretek, eszközfedezetű kereskedelmi papírok és vagyonkezelői betétek formájában).</w:t>
            </w:r>
          </w:p>
        </w:tc>
      </w:tr>
      <w:tr w:rsidR="00896468"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896468" w:rsidRDefault="00B31E50">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896468" w:rsidRDefault="00B31E50">
            <w:pPr>
              <w:pStyle w:val="P68B1DB1-TableParagraph14"/>
              <w:spacing w:before="108"/>
              <w:ind w:left="85"/>
              <w:jc w:val="both"/>
              <w:rPr>
                <w:bCs/>
              </w:rPr>
            </w:pPr>
            <w:r>
              <w:t>Származtatott ügyletek (kötelezettségek)</w:t>
            </w:r>
          </w:p>
          <w:p w14:paraId="7FE1B9E8" w14:textId="77777777" w:rsidR="00896468" w:rsidRDefault="00B31E50">
            <w:pPr>
              <w:pStyle w:val="P68B1DB1-TableParagraph17"/>
              <w:spacing w:before="108"/>
              <w:ind w:left="85"/>
              <w:jc w:val="both"/>
            </w:pPr>
            <w:r>
              <w:t xml:space="preserve">A pénzügyi partnerekkel kötött, a mérleg forrásoldalán megjelenített összes származtatott ügylet. </w:t>
            </w:r>
          </w:p>
        </w:tc>
      </w:tr>
      <w:tr w:rsidR="00896468"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896468" w:rsidRDefault="00B31E50">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896468" w:rsidRDefault="00B31E50">
            <w:pPr>
              <w:pStyle w:val="P68B1DB1-TableParagraph14"/>
              <w:spacing w:before="108"/>
              <w:ind w:left="85"/>
              <w:jc w:val="both"/>
              <w:rPr>
                <w:bCs/>
              </w:rPr>
            </w:pPr>
            <w:r>
              <w:t>Egyéb terméktípusok (1), (2) és (3)</w:t>
            </w:r>
          </w:p>
          <w:p w14:paraId="7FE1B9EC" w14:textId="77777777" w:rsidR="00896468" w:rsidRDefault="00B31E50">
            <w:pPr>
              <w:pStyle w:val="P68B1DB1-TableParagraph17"/>
              <w:spacing w:before="108"/>
              <w:ind w:left="85"/>
            </w:pPr>
            <w:r>
              <w:t>A „Bankközi finanszírozás” gazdasági funkcióhoz tartozó bármely olyan funkció, amely nem szerepel a fenti felsorolásban.</w:t>
            </w:r>
          </w:p>
        </w:tc>
      </w:tr>
    </w:tbl>
    <w:p w14:paraId="7FE1B9EE" w14:textId="77777777" w:rsidR="00896468" w:rsidRDefault="00896468">
      <w:pPr>
        <w:pStyle w:val="InstructionsText2"/>
        <w:numPr>
          <w:ilvl w:val="0"/>
          <w:numId w:val="0"/>
        </w:numPr>
        <w:ind w:left="1440" w:firstLine="18"/>
        <w:rPr>
          <w:rFonts w:ascii="Times New Roman" w:hAnsi="Times New Roman" w:cs="Times New Roman"/>
          <w:sz w:val="20"/>
          <w:szCs w:val="20"/>
        </w:rPr>
      </w:pPr>
    </w:p>
    <w:p w14:paraId="7FE1B9EF" w14:textId="3D9C3A6F" w:rsidR="00896468" w:rsidRDefault="00B31E50">
      <w:pPr>
        <w:pStyle w:val="P68B1DB1-Instructionsberschrift25"/>
        <w:numPr>
          <w:ilvl w:val="1"/>
          <w:numId w:val="49"/>
        </w:numPr>
        <w:ind w:left="357" w:hanging="357"/>
      </w:pPr>
      <w:bookmarkStart w:id="108" w:name="_Toc210982877"/>
      <w:r>
        <w:t>Z 07.01.1 FUNC 1 DEP.</w:t>
      </w:r>
      <w:bookmarkEnd w:id="108"/>
    </w:p>
    <w:p w14:paraId="7FE1B9F9" w14:textId="77777777" w:rsidR="00896468" w:rsidRDefault="0089646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96468"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896468" w:rsidRDefault="00B31E50">
            <w:pPr>
              <w:pStyle w:val="P68B1DB1-TableParagraph17"/>
              <w:spacing w:before="108"/>
              <w:ind w:left="85"/>
              <w:jc w:val="both"/>
            </w:pPr>
            <w:r>
              <w:t>Oszlopok</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896468" w:rsidRDefault="00B31E50">
            <w:pPr>
              <w:pStyle w:val="P68B1DB1-TableParagraph17"/>
              <w:spacing w:before="108"/>
              <w:ind w:left="85" w:right="1"/>
              <w:jc w:val="both"/>
            </w:pPr>
            <w:r>
              <w:t>Útmutató</w:t>
            </w:r>
          </w:p>
        </w:tc>
      </w:tr>
      <w:tr w:rsidR="00896468"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896468" w:rsidRDefault="00B31E50">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896468" w:rsidRDefault="00B31E50">
            <w:pPr>
              <w:pStyle w:val="P68B1DB1-TableParagraph14"/>
              <w:spacing w:before="108"/>
              <w:ind w:left="85"/>
              <w:jc w:val="both"/>
              <w:rPr>
                <w:bCs/>
              </w:rPr>
            </w:pPr>
            <w:r>
              <w:t>A gazdasági funkció leírása</w:t>
            </w:r>
          </w:p>
          <w:p w14:paraId="7FE1B9FF" w14:textId="2DF858EE" w:rsidR="00896468" w:rsidRDefault="00B31E50">
            <w:pPr>
              <w:pStyle w:val="P68B1DB1-TableParagraph17"/>
              <w:spacing w:before="108"/>
              <w:ind w:left="85"/>
            </w:pPr>
            <w:r>
              <w:lastRenderedPageBreak/>
              <w:t xml:space="preserve">Ha a gazdasági funkció „Egyéb” típusú (az r0050–r0070. pontban szereplő funkciók), akkor ezt a funkciót ismertetni kell. </w:t>
            </w:r>
          </w:p>
        </w:tc>
      </w:tr>
      <w:tr w:rsidR="00896468"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896468" w:rsidRDefault="00B31E50">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896468" w:rsidRDefault="00B31E50">
            <w:pPr>
              <w:pStyle w:val="P68B1DB1-TableParagraph14"/>
              <w:spacing w:before="108"/>
              <w:ind w:left="85"/>
              <w:jc w:val="both"/>
              <w:rPr>
                <w:bCs/>
              </w:rPr>
            </w:pPr>
            <w:r>
              <w:t xml:space="preserve">Piaci részesedés </w:t>
            </w:r>
          </w:p>
          <w:p w14:paraId="7FE1BA03" w14:textId="2B787841" w:rsidR="00896468" w:rsidRDefault="00B31E50">
            <w:pPr>
              <w:pStyle w:val="P68B1DB1-TableParagraph17"/>
              <w:spacing w:before="108"/>
              <w:ind w:left="85"/>
            </w:pPr>
            <w:r>
              <w:t>Az intézmény vagy csoport piaci részesedésére vonatkozó becslés az adott országban vagy földrajzi területen az adott gazdasági funkció vonatkozásában. A teljes piac százalékos arányában kifejezve a számlák értékét.</w:t>
            </w:r>
          </w:p>
        </w:tc>
      </w:tr>
      <w:tr w:rsidR="00896468"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896468" w:rsidRDefault="00B31E50">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896468" w:rsidRDefault="00B31E50">
            <w:pPr>
              <w:pStyle w:val="P68B1DB1-TableParagraph14"/>
              <w:spacing w:before="108"/>
              <w:jc w:val="both"/>
              <w:rPr>
                <w:bCs/>
              </w:rPr>
            </w:pPr>
            <w:r>
              <w:t>Számlaérték</w:t>
            </w:r>
          </w:p>
          <w:p w14:paraId="7FE1BA07" w14:textId="77777777" w:rsidR="00896468" w:rsidRDefault="00B31E50">
            <w:pPr>
              <w:pStyle w:val="P68B1DB1-TableParagraph17"/>
              <w:spacing w:before="108"/>
            </w:pPr>
            <w:r>
              <w:t>Elfogadott betétek könyv szerinti értéke (beleértve a felhalmozott kamatot)</w:t>
            </w:r>
          </w:p>
          <w:p w14:paraId="7FE1BA08" w14:textId="77777777" w:rsidR="00896468" w:rsidRDefault="00B31E50">
            <w:pPr>
              <w:pStyle w:val="P68B1DB1-TableParagraph17"/>
              <w:spacing w:before="108"/>
            </w:pPr>
            <w:r>
              <w:t>Hivatkozások: FINREP III. és IV. melléklet, F 08.01 tábla és az V. melléklet 2. részének 97. pontja.</w:t>
            </w:r>
          </w:p>
        </w:tc>
      </w:tr>
      <w:tr w:rsidR="00896468"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896468" w:rsidRDefault="00B31E50">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896468" w:rsidRDefault="00B31E50">
            <w:pPr>
              <w:pStyle w:val="P68B1DB1-TableParagraph14"/>
              <w:spacing w:before="108"/>
              <w:jc w:val="both"/>
              <w:rPr>
                <w:bCs/>
              </w:rPr>
            </w:pPr>
            <w:bookmarkStart w:id="109" w:name="_Hlk162030772"/>
            <w:r>
              <w:t>Ebből: nem biztosított</w:t>
            </w:r>
          </w:p>
          <w:p w14:paraId="7FE1BA0C" w14:textId="33F8802F" w:rsidR="00896468" w:rsidRDefault="00B31E50">
            <w:pPr>
              <w:pStyle w:val="P68B1DB1-TableParagraph13"/>
              <w:spacing w:before="108"/>
              <w:rPr>
                <w:rFonts w:eastAsia="Cambria"/>
              </w:rPr>
            </w:pPr>
            <w:r>
              <w:t xml:space="preserve">A 100 000,00 EUR-t meghaladó számlaegyenleggel </w:t>
            </w:r>
            <w:r w:rsidR="00E579F3">
              <w:t xml:space="preserve">rendelkező </w:t>
            </w:r>
            <w:r>
              <w:t>elfogadott betétek könyv szerinti értéke (beleértve a felhalmozott kamatokat is) itt</w:t>
            </w:r>
            <w:bookmarkEnd w:id="109"/>
            <w:r w:rsidR="00FB5086">
              <w:t xml:space="preserve"> </w:t>
            </w:r>
            <w:r>
              <w:t>csak a 100,000 EUR-t meghaladó összeget kell feltüntetni.</w:t>
            </w:r>
          </w:p>
        </w:tc>
      </w:tr>
      <w:tr w:rsidR="00896468"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896468" w:rsidRDefault="00B31E50">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204F407A" w:rsidR="00896468" w:rsidRDefault="00B31E50">
            <w:pPr>
              <w:pStyle w:val="P68B1DB1-TableParagraph14"/>
              <w:spacing w:before="108"/>
              <w:ind w:left="85"/>
              <w:jc w:val="both"/>
              <w:rPr>
                <w:bCs/>
              </w:rPr>
            </w:pPr>
            <w:bookmarkStart w:id="110" w:name="_Hlk162030782"/>
            <w:r>
              <w:t xml:space="preserve">Ebből </w:t>
            </w:r>
            <w:r w:rsidR="00E579F3">
              <w:t>rendszeres</w:t>
            </w:r>
          </w:p>
          <w:p w14:paraId="7FE1BA12" w14:textId="1B695E0A" w:rsidR="00896468" w:rsidRDefault="00B31E50">
            <w:pPr>
              <w:pStyle w:val="P68B1DB1-TableParagraph13"/>
              <w:spacing w:before="108"/>
              <w:ind w:left="85"/>
              <w:jc w:val="both"/>
            </w:pPr>
            <w:bookmarkStart w:id="111" w:name="_Hlk170377814"/>
            <w:bookmarkStart w:id="112" w:name="_Hlk162030851"/>
            <w:r>
              <w:t xml:space="preserve">Azon elfogadott betétek könyv szerinti értéke (beleértve a felhalmozott kamatokat is), amelyeket rendszeres betétszámlán tartanak. A rendszeres betétszámlák azok a betéti számlák, amelyek esetében a számlát a zárónapot megelőző 6 hónap során átlagosan legalább 5 havi tranzakcióval megterhelték vagy jóváírták, kivéve az éves díjakat, egyéb költségeket és a számlához kapcsolódó kamatfizetést. </w:t>
            </w:r>
            <w:bookmarkEnd w:id="111"/>
          </w:p>
          <w:bookmarkEnd w:id="110"/>
          <w:bookmarkEnd w:id="112"/>
          <w:p w14:paraId="7FE1BA13" w14:textId="0C63C868" w:rsidR="00896468" w:rsidRDefault="00896468">
            <w:pPr>
              <w:pStyle w:val="TableParagraph"/>
              <w:spacing w:before="108"/>
              <w:ind w:left="85"/>
              <w:jc w:val="both"/>
              <w:rPr>
                <w:rFonts w:ascii="Times New Roman" w:hAnsi="Times New Roman" w:cs="Times New Roman"/>
                <w:color w:val="000000" w:themeColor="text1"/>
                <w:sz w:val="20"/>
                <w:szCs w:val="20"/>
              </w:rPr>
            </w:pPr>
          </w:p>
        </w:tc>
      </w:tr>
      <w:tr w:rsidR="00896468"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896468" w:rsidRDefault="00B31E50">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896468" w:rsidRDefault="00B31E50">
            <w:pPr>
              <w:pStyle w:val="P68B1DB1-TableParagraph14"/>
              <w:spacing w:before="108"/>
              <w:ind w:left="85"/>
              <w:jc w:val="both"/>
              <w:rPr>
                <w:bCs/>
              </w:rPr>
            </w:pPr>
            <w:r>
              <w:t>Ügyfelek száma</w:t>
            </w:r>
          </w:p>
          <w:p w14:paraId="7FE1BA17" w14:textId="3E993D50" w:rsidR="00896468" w:rsidRDefault="00B31E50">
            <w:pPr>
              <w:pStyle w:val="P68B1DB1-TableParagraph13"/>
              <w:spacing w:before="108"/>
              <w:ind w:left="85"/>
              <w:jc w:val="both"/>
            </w:pPr>
            <w:r>
              <w:t xml:space="preserve">A </w:t>
            </w:r>
            <w:r w:rsidR="00015452">
              <w:t xml:space="preserve">c0030 </w:t>
            </w:r>
            <w:r>
              <w:t>„</w:t>
            </w:r>
            <w:r w:rsidR="00B17922">
              <w:t>s</w:t>
            </w:r>
            <w:r w:rsidR="00015452">
              <w:t>zámlaérték</w:t>
            </w:r>
            <w:r>
              <w:t>” oszlopban jelentett értéket betétben elhelyező ügyfelek száma összesen. Ha egy ügyfél egynél több betéti terméket/számlát használ, az ügyfelet csak egyszer kell számításba venni.</w:t>
            </w:r>
          </w:p>
        </w:tc>
      </w:tr>
      <w:tr w:rsidR="00896468"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896468" w:rsidRDefault="00B31E50">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896468" w:rsidRDefault="00B31E50">
            <w:pPr>
              <w:pStyle w:val="P68B1DB1-TableParagraph14"/>
              <w:spacing w:before="108"/>
              <w:ind w:left="85"/>
              <w:jc w:val="both"/>
              <w:rPr>
                <w:bCs/>
              </w:rPr>
            </w:pPr>
            <w:r>
              <w:t>Számlák száma</w:t>
            </w:r>
          </w:p>
          <w:p w14:paraId="7FE1BA1D" w14:textId="29B46BDA" w:rsidR="00896468" w:rsidRDefault="00B31E50" w:rsidP="00B17922">
            <w:pPr>
              <w:pStyle w:val="P68B1DB1-TableParagraph13"/>
              <w:spacing w:before="108"/>
              <w:ind w:left="85"/>
              <w:jc w:val="both"/>
            </w:pPr>
            <w:r>
              <w:t>Folyószámlák/egynapos betétek, megállapodás szerinti lejáratú betétek és</w:t>
            </w:r>
            <w:r w:rsidR="00B17922">
              <w:t xml:space="preserve"> </w:t>
            </w:r>
            <w:r>
              <w:t>felmondással visszaváltható betétek</w:t>
            </w:r>
            <w:r w:rsidR="00B17922">
              <w:t xml:space="preserve"> száma összesen</w:t>
            </w:r>
            <w:r>
              <w:t>. A közös számlákat csak egyszer kell elszámolni. A(z)</w:t>
            </w:r>
            <w:r w:rsidR="00B17922">
              <w:t xml:space="preserve"> </w:t>
            </w:r>
            <w:r>
              <w:t>a számlák teljes száma ebben az oszlopban a c0030</w:t>
            </w:r>
            <w:r w:rsidR="00B17922">
              <w:t>„számlaérték”</w:t>
            </w:r>
            <w:r>
              <w:t xml:space="preserve"> mezőben megadott értéknek felel meg.</w:t>
            </w:r>
          </w:p>
          <w:p w14:paraId="69B408B5" w14:textId="7DF4B8E0" w:rsidR="00896468" w:rsidRDefault="00896468">
            <w:pPr>
              <w:pStyle w:val="P68B1DB1-TableParagraph13"/>
              <w:spacing w:before="108"/>
              <w:ind w:left="85"/>
              <w:jc w:val="both"/>
            </w:pPr>
          </w:p>
          <w:p w14:paraId="7FE1BA1E" w14:textId="5F678473" w:rsidR="00B17922" w:rsidRDefault="00B17922">
            <w:pPr>
              <w:pStyle w:val="P68B1DB1-TableParagraph13"/>
              <w:spacing w:before="108"/>
              <w:ind w:left="85"/>
              <w:jc w:val="both"/>
              <w:rPr>
                <w:b/>
                <w:bCs/>
              </w:rPr>
            </w:pPr>
          </w:p>
        </w:tc>
      </w:tr>
      <w:tr w:rsidR="00896468"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896468" w:rsidRDefault="00B31E50">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30656DED" w:rsidR="00896468" w:rsidRDefault="00B31E50">
            <w:pPr>
              <w:pStyle w:val="P68B1DB1-TableParagraph14"/>
              <w:spacing w:before="108"/>
              <w:ind w:left="85"/>
              <w:jc w:val="both"/>
              <w:rPr>
                <w:bCs/>
              </w:rPr>
            </w:pPr>
            <w:r>
              <w:t xml:space="preserve">Ebből </w:t>
            </w:r>
            <w:r w:rsidR="000325A0">
              <w:t>rendszeres</w:t>
            </w:r>
          </w:p>
          <w:p w14:paraId="7FE1BA22" w14:textId="3E36DD03" w:rsidR="00896468" w:rsidRDefault="000325A0">
            <w:pPr>
              <w:pStyle w:val="P68B1DB1-TableParagraph13"/>
              <w:spacing w:before="108"/>
              <w:ind w:left="85"/>
              <w:jc w:val="both"/>
            </w:pPr>
            <w:r>
              <w:t xml:space="preserve">Rendszeres </w:t>
            </w:r>
            <w:r w:rsidR="00B31E50">
              <w:t>számlák száma a c0036. pontban meghatározottak szerint</w:t>
            </w:r>
          </w:p>
        </w:tc>
      </w:tr>
      <w:tr w:rsidR="00896468"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896468" w:rsidRDefault="00B31E50">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896468" w:rsidRDefault="00B31E50">
            <w:pPr>
              <w:pStyle w:val="P68B1DB1-TableParagraph14"/>
              <w:spacing w:before="108"/>
              <w:ind w:left="85"/>
              <w:jc w:val="both"/>
              <w:rPr>
                <w:bCs/>
              </w:rPr>
            </w:pPr>
            <w:r>
              <w:t>Határokon átnyúló érték</w:t>
            </w:r>
          </w:p>
          <w:p w14:paraId="7FE1BA28" w14:textId="50D72821" w:rsidR="00896468" w:rsidRDefault="00B31E50" w:rsidP="000325A0">
            <w:pPr>
              <w:pStyle w:val="P68B1DB1-TableParagraph13"/>
              <w:spacing w:before="108"/>
              <w:ind w:left="85"/>
              <w:jc w:val="both"/>
            </w:pPr>
            <w:r>
              <w:t xml:space="preserve">Nem rezidensek (nem belföldiek) számláinak értéke. A </w:t>
            </w:r>
            <w:r w:rsidR="000325A0">
              <w:t xml:space="preserve">belföldi </w:t>
            </w:r>
            <w:r>
              <w:t>személyek a következők: i.</w:t>
            </w:r>
            <w:r w:rsidR="000325A0">
              <w:t xml:space="preserve"> az adatszolgáltató szervezet országában </w:t>
            </w:r>
            <w:r>
              <w:t>fő gazdasági érdekkel rendelkező személyek (legalább egy évig tartó gazdasági tevékenységek;</w:t>
            </w:r>
            <w:r w:rsidR="000325A0">
              <w:t xml:space="preserve"> </w:t>
            </w:r>
            <w:r>
              <w:t>a tárgyi eszközök tulajdonjoga elegendő bizonyítéknak minősül)</w:t>
            </w:r>
          </w:p>
          <w:p w14:paraId="7FE1BA29" w14:textId="692B62F6" w:rsidR="00896468" w:rsidRDefault="00B31E50">
            <w:pPr>
              <w:pStyle w:val="P68B1DB1-TableParagraph13"/>
              <w:spacing w:before="108"/>
              <w:ind w:left="85"/>
              <w:jc w:val="both"/>
            </w:pPr>
            <w:r>
              <w:t>i</w:t>
            </w:r>
            <w:r w:rsidR="00FB5086">
              <w:t>i</w:t>
            </w:r>
            <w:r>
              <w:t>. a</w:t>
            </w:r>
            <w:r w:rsidR="000325A0">
              <w:t>z adatszolgáltató szervezet</w:t>
            </w:r>
            <w:r>
              <w:t xml:space="preserve"> ügyfeleinek külföldi fióktelepei.</w:t>
            </w:r>
          </w:p>
          <w:p w14:paraId="7FE1BA2A" w14:textId="77777777" w:rsidR="00896468" w:rsidRDefault="00B31E50">
            <w:pPr>
              <w:pStyle w:val="P68B1DB1-TableParagraph13"/>
              <w:spacing w:before="108"/>
              <w:ind w:left="85"/>
              <w:jc w:val="both"/>
              <w:rPr>
                <w:b/>
                <w:bCs/>
              </w:rPr>
            </w:pPr>
            <w:r>
              <w:t xml:space="preserve">Hivatkozás: </w:t>
            </w:r>
          </w:p>
        </w:tc>
      </w:tr>
      <w:tr w:rsidR="00896468"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896468" w:rsidRDefault="00B31E50">
            <w:pPr>
              <w:pStyle w:val="P68B1DB1-TableParagraph17"/>
              <w:spacing w:before="108"/>
              <w:jc w:val="both"/>
            </w:pPr>
            <w:bookmarkStart w:id="113" w:name="_Hlk210822971"/>
            <w:r>
              <w:lastRenderedPageBreak/>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896468" w:rsidRDefault="00B31E50">
            <w:pPr>
              <w:pStyle w:val="P68B1DB1-TableParagraph14"/>
              <w:spacing w:before="108"/>
              <w:jc w:val="both"/>
              <w:rPr>
                <w:bCs/>
              </w:rPr>
            </w:pPr>
            <w:r>
              <w:t>Hatás- és helyettesíthetőségi elemzések</w:t>
            </w:r>
          </w:p>
          <w:p w14:paraId="7FE1BA2E" w14:textId="2C85C98D" w:rsidR="00896468" w:rsidRDefault="00B31E50">
            <w:pPr>
              <w:pStyle w:val="P68B1DB1-Normal31"/>
              <w:spacing w:line="276" w:lineRule="auto"/>
              <w:jc w:val="both"/>
            </w:pPr>
            <w:r>
              <w:t>A harmadik felekre gyakorolt hatás értékelési kritériumai az (EU) 2016/778 felhatalmazáson alapuló bizottsági rendelettel összhangban a következő elemeket foglalják magukban:</w:t>
            </w:r>
          </w:p>
          <w:p w14:paraId="7FE1BA2F" w14:textId="77777777" w:rsidR="00896468" w:rsidRDefault="00B31E50">
            <w:pPr>
              <w:pStyle w:val="P68B1DB1-ListParagraph32"/>
              <w:numPr>
                <w:ilvl w:val="0"/>
                <w:numId w:val="131"/>
              </w:numPr>
              <w:spacing w:line="276" w:lineRule="auto"/>
              <w:rPr>
                <w:b/>
                <w:bCs/>
              </w:rPr>
            </w:pPr>
            <w:r>
              <w:rPr>
                <w:b/>
              </w:rPr>
              <w:t>a tevékenység jellege és kiterjedtsége</w:t>
            </w:r>
            <w:r>
              <w:t>, az ügyletek globális, nemzeti vagy regionális kiterjedtsége, volumene és száma; az ügyfelek és partnerek száma; azon ügyfelek száma, amelyek számára az intézmény az egyetlen vagy fő banki partner;</w:t>
            </w:r>
          </w:p>
          <w:p w14:paraId="7FE1BA30" w14:textId="77777777" w:rsidR="00896468" w:rsidRDefault="00B31E50">
            <w:pPr>
              <w:pStyle w:val="P68B1DB1-ListParagraph32"/>
              <w:numPr>
                <w:ilvl w:val="0"/>
                <w:numId w:val="131"/>
              </w:numPr>
              <w:spacing w:line="276" w:lineRule="auto"/>
              <w:rPr>
                <w:b/>
                <w:bCs/>
              </w:rPr>
            </w:pPr>
            <w:r>
              <w:rPr>
                <w:b/>
              </w:rPr>
              <w:t>az intézmény helyi, regionális, nemzeti vagy európai szintű jelentősége</w:t>
            </w:r>
            <w:r>
              <w:t xml:space="preserve"> – az érintett piactól függően. Az intézmény jelentősége a piaci részesedés, a beágyazottság, az összetettség és a határokon átnyúló tevékenységek alapján értékelhető;</w:t>
            </w:r>
          </w:p>
          <w:p w14:paraId="7FE1BA31" w14:textId="40806390" w:rsidR="00896468" w:rsidRDefault="00B31E50">
            <w:pPr>
              <w:pStyle w:val="P68B1DB1-ListParagraph32"/>
              <w:numPr>
                <w:ilvl w:val="0"/>
                <w:numId w:val="131"/>
              </w:numPr>
              <w:spacing w:line="276" w:lineRule="auto"/>
              <w:rPr>
                <w:b/>
                <w:bCs/>
              </w:rPr>
            </w:pPr>
            <w:r>
              <w:rPr>
                <w:b/>
              </w:rPr>
              <w:t>a funkció által érintett ügyfelek és érdekelt felek jellege</w:t>
            </w:r>
            <w:r>
              <w:t xml:space="preserve">, azaz többek között lakossági ügyfelek, vállalati ügyfelek, bankközi ügyfelek, központi elszámolóházak és </w:t>
            </w:r>
            <w:r w:rsidR="006B29D0">
              <w:t xml:space="preserve">állami </w:t>
            </w:r>
            <w:r>
              <w:t xml:space="preserve"> szervezetek; </w:t>
            </w:r>
          </w:p>
          <w:p w14:paraId="7FE1BA32" w14:textId="77777777" w:rsidR="00896468" w:rsidRDefault="00B31E50">
            <w:pPr>
              <w:pStyle w:val="P68B1DB1-ListParagraph32"/>
              <w:numPr>
                <w:ilvl w:val="0"/>
                <w:numId w:val="131"/>
              </w:numPr>
              <w:spacing w:line="276" w:lineRule="auto"/>
              <w:rPr>
                <w:b/>
                <w:bCs/>
              </w:rPr>
            </w:pPr>
            <w:r>
              <w:rPr>
                <w:b/>
              </w:rPr>
              <w:t>a funkció zavarának a piacokra, infrastruktúrákra, ügyfelekre és közszolgáltatásokra gyakorolt potenciális hatása</w:t>
            </w:r>
            <w:r>
              <w:t>. Az értékelés kiterjedhet mindenekelőtt az érintett piacok likviditására, az ügyfelek tevékenységére kifejtett hatásokra és az ügyfelek tevékenysége megzavarásának mértékére, valamint a rövid távú likviditási szükségletekre; a partnerek, ügyfelek és a nyilvánosság általi észlelhetőség; az ügyfelek reagáló képessége és reakciójuk sebessége; a más piacok működése szempontjából vizsgált jelentőség; a más piacok likviditására, működési folyamataira, szerkezetére gyakorolt hatás; a fő ügyfelekhez kapcsolódó más partnerekre gyakorolt hatás, valamint a funkciónak más szolgáltatásokkal való összefüggései.</w:t>
            </w:r>
          </w:p>
          <w:p w14:paraId="7FE1BA33" w14:textId="77777777" w:rsidR="00896468" w:rsidRDefault="00896468">
            <w:pPr>
              <w:pStyle w:val="TableParagraph"/>
              <w:spacing w:before="108"/>
              <w:ind w:left="85"/>
              <w:jc w:val="both"/>
              <w:rPr>
                <w:rFonts w:ascii="Times New Roman" w:hAnsi="Times New Roman" w:cs="Times New Roman"/>
                <w:b/>
                <w:bCs/>
                <w:color w:val="000000" w:themeColor="text1"/>
                <w:sz w:val="20"/>
                <w:szCs w:val="20"/>
              </w:rPr>
            </w:pPr>
          </w:p>
        </w:tc>
      </w:tr>
      <w:tr w:rsidR="00896468"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896468" w:rsidRDefault="00B31E50">
            <w:pPr>
              <w:pStyle w:val="P68B1DB1-TableParagraph17"/>
              <w:spacing w:before="108"/>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A36" w14:textId="5F76C7B3" w:rsidR="00896468" w:rsidRDefault="000325A0">
            <w:pPr>
              <w:pStyle w:val="P68B1DB1-TableParagraph14"/>
              <w:spacing w:before="108"/>
              <w:ind w:left="85"/>
              <w:jc w:val="both"/>
              <w:rPr>
                <w:bCs/>
              </w:rPr>
            </w:pPr>
            <w:r>
              <w:t xml:space="preserve">Jelleg </w:t>
            </w:r>
            <w:r w:rsidR="00B31E50">
              <w:t xml:space="preserve">és </w:t>
            </w:r>
            <w:r>
              <w:t>kiterjedt</w:t>
            </w:r>
            <w:r w:rsidR="00B31E50">
              <w:t>s</w:t>
            </w:r>
            <w:r>
              <w:t>ég</w:t>
            </w:r>
            <w:r w:rsidR="00B31E50">
              <w:t xml:space="preserve"> </w:t>
            </w:r>
          </w:p>
          <w:p w14:paraId="7FE1BA37" w14:textId="6AD7FB50" w:rsidR="00896468" w:rsidRDefault="00B31E50">
            <w:pPr>
              <w:pStyle w:val="P68B1DB1-TableParagraph33"/>
              <w:spacing w:before="108"/>
              <w:ind w:left="85"/>
              <w:jc w:val="both"/>
              <w:rPr>
                <w:rFonts w:cs="Times New Roman"/>
                <w:b/>
                <w:bCs/>
                <w:color w:val="000000" w:themeColor="text1"/>
              </w:rPr>
            </w:pPr>
            <w:r>
              <w:t>A globális, nemzeti vagy regionális kiterjedtség,</w:t>
            </w:r>
            <w:r w:rsidR="00F63DCF">
              <w:t xml:space="preserve"> tranzakciók volumene és száma</w:t>
            </w:r>
            <w:r>
              <w:t>; az ügyfelek és partnerek száma; azon ügyfelek száma, amelyek számára az intézmény az egyetlen vagy fő banki partner;</w:t>
            </w:r>
          </w:p>
        </w:tc>
      </w:tr>
      <w:tr w:rsidR="00896468"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896468" w:rsidRDefault="00B31E50">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1E9EAC23" w:rsidR="00896468" w:rsidRDefault="00B31E50">
            <w:pPr>
              <w:pStyle w:val="P68B1DB1-TableParagraph14"/>
              <w:spacing w:before="108"/>
              <w:ind w:left="85"/>
              <w:jc w:val="both"/>
              <w:rPr>
                <w:bCs/>
              </w:rPr>
            </w:pPr>
            <w:r>
              <w:t>Méretmutató</w:t>
            </w:r>
            <w:r w:rsidR="0000164F">
              <w:t xml:space="preserve"> 1</w:t>
            </w:r>
          </w:p>
          <w:p w14:paraId="7FE1BA3B" w14:textId="63B133F9" w:rsidR="00896468" w:rsidRDefault="00F63DCF">
            <w:pPr>
              <w:pStyle w:val="P68B1DB1-Normal31"/>
              <w:spacing w:line="276" w:lineRule="auto"/>
              <w:jc w:val="both"/>
            </w:pPr>
            <w:r>
              <w:t xml:space="preserve">Értékelje a bank fontosságát ezekben a tevékenységekben. </w:t>
            </w:r>
            <w:r w:rsidR="00B31E50">
              <w:t xml:space="preserve">Ezt az értékelést minőségileg </w:t>
            </w:r>
            <w:r w:rsidR="00AB5D45">
              <w:t xml:space="preserve">a </w:t>
            </w:r>
            <w:r w:rsidR="00B31E50">
              <w:t>„nagy”, „közepes-magas”, „közepes-alacsony” vagy „alacsony”</w:t>
            </w:r>
            <w:r w:rsidR="00AB5D45">
              <w:t xml:space="preserve"> kategóriák</w:t>
            </w:r>
            <w:r w:rsidR="00B31E50">
              <w:t xml:space="preserve"> fejezik ki. „</w:t>
            </w:r>
            <w:r w:rsidRPr="00F63DCF">
              <w:br/>
              <w:t xml:space="preserve">„Magas” értéket adjon meg, ha a </w:t>
            </w:r>
            <w:r>
              <w:t>funkció</w:t>
            </w:r>
            <w:r w:rsidRPr="00F63DCF">
              <w:t xml:space="preserve"> mérete nagy, „Közepes-Magas” értéket, ha közepes, „Közepes-Alacsony” értéket, ha kicsi, és „Alacsony” értéket, ha elhanyagolható.</w:t>
            </w:r>
            <w:r>
              <w:t xml:space="preserve"> </w:t>
            </w:r>
            <w:r w:rsidR="00B31E50">
              <w:t>A minőségi értékeléshez olyan makrogazdasági változókat kell használni, mint a GDP, a népesség (</w:t>
            </w:r>
            <w:r w:rsidR="00AB5D45">
              <w:t>betétek</w:t>
            </w:r>
            <w:r w:rsidR="00B31E50">
              <w:t xml:space="preserve">, hitelezés, fizetések, készpénz, </w:t>
            </w:r>
            <w:r w:rsidR="00AB5D45">
              <w:t>kiegyenlítés</w:t>
            </w:r>
            <w:r w:rsidR="00B31E50">
              <w:t xml:space="preserve">, elszámolás és letéti szolgáltatások esetében) vagy a piac mérete (tőkepiacok és </w:t>
            </w:r>
            <w:r w:rsidR="00AB5D45">
              <w:t xml:space="preserve">bankközi </w:t>
            </w:r>
            <w:r w:rsidR="00B31E50">
              <w:t xml:space="preserve">finanszírozás esetében). </w:t>
            </w:r>
          </w:p>
          <w:p w14:paraId="7FE1BA3C" w14:textId="74E6917F" w:rsidR="00896468" w:rsidRDefault="00B31E50">
            <w:pPr>
              <w:pStyle w:val="P68B1DB1-ListParagraph32"/>
              <w:numPr>
                <w:ilvl w:val="0"/>
                <w:numId w:val="130"/>
              </w:numPr>
              <w:spacing w:line="276" w:lineRule="auto"/>
            </w:pPr>
            <w:r>
              <w:t xml:space="preserve">Szakértői vélemény a számlákon szereplő </w:t>
            </w:r>
            <w:r>
              <w:rPr>
                <w:b/>
              </w:rPr>
              <w:t>érték</w:t>
            </w:r>
            <w:r>
              <w:t xml:space="preserve"> nagyságáról (c0030) </w:t>
            </w:r>
            <w:r>
              <w:rPr>
                <w:b/>
              </w:rPr>
              <w:t>uniós</w:t>
            </w:r>
            <w:r>
              <w:t xml:space="preserve"> szemszögből </w:t>
            </w:r>
            <w:r>
              <w:rPr>
                <w:i/>
              </w:rPr>
              <w:t>[egy szint</w:t>
            </w:r>
            <w:r w:rsidR="00AB5D45">
              <w:rPr>
                <w:i/>
              </w:rPr>
              <w:t>tel</w:t>
            </w:r>
            <w:r>
              <w:rPr>
                <w:i/>
              </w:rPr>
              <w:t xml:space="preserve"> magasabb, mint az érintett piac. Ez azt jelenti, hogy amennyiben az érintett piac regionális, 1 méret = nemzeti; ha nemzeti, mérete 1 = EU; ha az EU, méret: 1 = globális]</w:t>
            </w:r>
            <w:r>
              <w:t>:</w:t>
            </w:r>
          </w:p>
          <w:p w14:paraId="7FE1BA3D" w14:textId="77777777" w:rsidR="00896468" w:rsidRDefault="00B31E50">
            <w:pPr>
              <w:pStyle w:val="P68B1DB1-ListParagraph32"/>
              <w:numPr>
                <w:ilvl w:val="1"/>
                <w:numId w:val="129"/>
              </w:numPr>
              <w:spacing w:line="276" w:lineRule="auto"/>
            </w:pPr>
            <w:r>
              <w:t xml:space="preserve">Uniós szempontból Ön szerint mekkora az intézményénél vezetett számlák összértéke? </w:t>
            </w:r>
          </w:p>
          <w:p w14:paraId="7FE1BA3E" w14:textId="77777777" w:rsidR="00896468" w:rsidRDefault="00896468">
            <w:pPr>
              <w:pStyle w:val="TableParagraph"/>
              <w:spacing w:before="108"/>
              <w:ind w:left="85"/>
              <w:jc w:val="both"/>
              <w:rPr>
                <w:rFonts w:ascii="Times New Roman" w:hAnsi="Times New Roman" w:cs="Times New Roman"/>
                <w:b/>
                <w:bCs/>
                <w:color w:val="000000" w:themeColor="text1"/>
                <w:sz w:val="20"/>
                <w:szCs w:val="20"/>
              </w:rPr>
            </w:pPr>
          </w:p>
        </w:tc>
      </w:tr>
      <w:tr w:rsidR="00896468"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896468" w:rsidRDefault="00B31E50">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41388351" w:rsidR="00896468" w:rsidRDefault="00B31E50">
            <w:pPr>
              <w:pStyle w:val="P68B1DB1-TableParagraph14"/>
              <w:spacing w:before="108"/>
              <w:ind w:left="85"/>
              <w:jc w:val="both"/>
              <w:rPr>
                <w:bCs/>
              </w:rPr>
            </w:pPr>
            <w:r>
              <w:t>Méretmutató</w:t>
            </w:r>
            <w:r w:rsidR="0000164F">
              <w:t xml:space="preserve"> 2</w:t>
            </w:r>
          </w:p>
          <w:p w14:paraId="3B32AD4C" w14:textId="0C89F94C" w:rsidR="00896468" w:rsidRDefault="0000164F">
            <w:pPr>
              <w:pStyle w:val="P68B1DB1-Normal31"/>
              <w:spacing w:line="276" w:lineRule="auto"/>
              <w:jc w:val="both"/>
            </w:pPr>
            <w:r>
              <w:t xml:space="preserve">Értékelje a bank fontosságát ezekben a tevékenységekben. </w:t>
            </w:r>
            <w:r w:rsidR="00B31E50">
              <w:t>Ezt az értékelést minőségileg</w:t>
            </w:r>
            <w:r w:rsidR="00AB5D45">
              <w:t xml:space="preserve"> a</w:t>
            </w:r>
            <w:r w:rsidR="00B31E50">
              <w:t xml:space="preserve"> „nagy”, „közepes-magas”, „közepes-alacsony” vagy „alacsony”</w:t>
            </w:r>
            <w:r w:rsidR="00AB5D45">
              <w:t xml:space="preserve"> kategóriák</w:t>
            </w:r>
            <w:r w:rsidR="00B31E50">
              <w:t xml:space="preserve"> fejezik ki. </w:t>
            </w:r>
            <w:r>
              <w:t xml:space="preserve"> </w:t>
            </w:r>
            <w:r w:rsidRPr="00F63DCF">
              <w:t xml:space="preserve">„Magas” értéket adjon meg, ha a </w:t>
            </w:r>
            <w:r>
              <w:t>funkció</w:t>
            </w:r>
            <w:r w:rsidRPr="00F63DCF">
              <w:t xml:space="preserve"> mérete nagy, „Közepes-Magas” értéket, ha közepes, „Közepes-Alacsony” értéket, ha kicsi, és „Alacsony” értéket, ha elhanyagolható.</w:t>
            </w:r>
            <w:r w:rsidR="00201349">
              <w:t xml:space="preserve"> </w:t>
            </w:r>
            <w:r w:rsidR="00B31E50">
              <w:t xml:space="preserve">A minőségi értékeléshez olyan </w:t>
            </w:r>
            <w:r w:rsidR="00B31E50">
              <w:lastRenderedPageBreak/>
              <w:t>makrogazdasági változókat kell használni, mint a GDP, a népesség (</w:t>
            </w:r>
            <w:r w:rsidR="00AB5D45">
              <w:t>b</w:t>
            </w:r>
            <w:r w:rsidR="00B31E50">
              <w:t xml:space="preserve">etétek, hitelezés, fizetések, készpénz, </w:t>
            </w:r>
            <w:r w:rsidR="00AB5D45">
              <w:t>kiegyenlítés</w:t>
            </w:r>
            <w:r w:rsidR="00B31E50">
              <w:t xml:space="preserve">, elszámolás és letéti szolgáltatások esetében) vagy a piac mérete (tőkepiacok és </w:t>
            </w:r>
            <w:r w:rsidR="00AB5D45">
              <w:t xml:space="preserve">bankközi </w:t>
            </w:r>
            <w:r w:rsidR="00B31E50">
              <w:t xml:space="preserve">finanszírozás esetében). </w:t>
            </w:r>
          </w:p>
          <w:p w14:paraId="7FE1BA42" w14:textId="7FE1DE6A" w:rsidR="00896468" w:rsidRDefault="00896468">
            <w:pPr>
              <w:spacing w:line="276" w:lineRule="auto"/>
              <w:jc w:val="both"/>
              <w:rPr>
                <w:rFonts w:ascii="Times New Roman" w:eastAsia="Times New Roman" w:hAnsi="Times New Roman" w:cs="Times New Roman"/>
                <w:sz w:val="20"/>
                <w:szCs w:val="20"/>
              </w:rPr>
            </w:pPr>
          </w:p>
          <w:p w14:paraId="7FE1BA43" w14:textId="77777777" w:rsidR="00896468" w:rsidRDefault="00B31E50">
            <w:pPr>
              <w:pStyle w:val="P68B1DB1-ListParagraph32"/>
              <w:numPr>
                <w:ilvl w:val="0"/>
                <w:numId w:val="124"/>
              </w:numPr>
              <w:spacing w:line="276" w:lineRule="auto"/>
            </w:pPr>
            <w:r>
              <w:t xml:space="preserve">Szakértői vélemény az ügyfelek </w:t>
            </w:r>
            <w:r>
              <w:rPr>
                <w:b/>
              </w:rPr>
              <w:t>számáról</w:t>
            </w:r>
            <w:r>
              <w:t xml:space="preserve"> (c0040) </w:t>
            </w:r>
            <w:r>
              <w:rPr>
                <w:b/>
              </w:rPr>
              <w:t>nemzeti</w:t>
            </w:r>
            <w:r>
              <w:t xml:space="preserve"> szemszögből [</w:t>
            </w:r>
            <w:r>
              <w:rPr>
                <w:i/>
              </w:rPr>
              <w:t>az érintett piac szintjén</w:t>
            </w:r>
            <w:r>
              <w:t>]:</w:t>
            </w:r>
          </w:p>
          <w:p w14:paraId="7FE1BA44" w14:textId="77777777" w:rsidR="00896468" w:rsidRDefault="00B31E50">
            <w:pPr>
              <w:pStyle w:val="P68B1DB1-ListParagraph32"/>
              <w:numPr>
                <w:ilvl w:val="1"/>
                <w:numId w:val="122"/>
              </w:numPr>
              <w:spacing w:line="276" w:lineRule="auto"/>
            </w:pPr>
            <w:r>
              <w:t>Nemzeti szempontból mennyire becsülik meg az intézmény ügyfeleinek teljes számát?</w:t>
            </w:r>
          </w:p>
          <w:p w14:paraId="7FE1BA45" w14:textId="77777777" w:rsidR="00896468" w:rsidRDefault="00896468">
            <w:pPr>
              <w:pStyle w:val="TableParagraph"/>
              <w:spacing w:before="108"/>
              <w:ind w:left="85"/>
              <w:jc w:val="both"/>
              <w:rPr>
                <w:rFonts w:ascii="Times New Roman" w:hAnsi="Times New Roman" w:cs="Times New Roman"/>
                <w:b/>
                <w:bCs/>
                <w:color w:val="000000" w:themeColor="text1"/>
                <w:sz w:val="20"/>
                <w:szCs w:val="20"/>
              </w:rPr>
            </w:pPr>
          </w:p>
        </w:tc>
      </w:tr>
      <w:tr w:rsidR="00896468"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896468" w:rsidRDefault="00B31E50">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896468" w:rsidRDefault="00B31E50">
            <w:pPr>
              <w:pStyle w:val="P68B1DB1-TableParagraph14"/>
              <w:spacing w:before="108"/>
              <w:ind w:left="85"/>
              <w:jc w:val="both"/>
              <w:rPr>
                <w:bCs/>
              </w:rPr>
            </w:pPr>
            <w:r>
              <w:t>Határokon átnyúló mutató</w:t>
            </w:r>
          </w:p>
          <w:p w14:paraId="7FE1BA49" w14:textId="77777777" w:rsidR="00896468" w:rsidRDefault="00B31E50">
            <w:pPr>
              <w:pStyle w:val="P68B1DB1-Normal31"/>
              <w:spacing w:line="276" w:lineRule="auto"/>
              <w:jc w:val="both"/>
            </w:pPr>
            <w:r>
              <w:t>Értékelje a határokon átnyúló tevékenységek relatív jelentőségét a különböző gazdasági funkciók szempontjából.</w:t>
            </w:r>
          </w:p>
          <w:p w14:paraId="7FE1BA4A" w14:textId="77777777" w:rsidR="00896468" w:rsidRDefault="00B31E50">
            <w:pPr>
              <w:pStyle w:val="P68B1DB1-Normal31"/>
              <w:spacing w:line="276" w:lineRule="auto"/>
              <w:jc w:val="both"/>
            </w:pPr>
            <w:r>
              <w:t xml:space="preserve">Ezt nem kell értékelni olyan jelentések esetében, amelyekben az érintett piac regionálisnak minősül. </w:t>
            </w:r>
          </w:p>
          <w:p w14:paraId="7FE1BA4B" w14:textId="77777777" w:rsidR="00896468" w:rsidRDefault="00B31E50">
            <w:pPr>
              <w:pStyle w:val="P68B1DB1-ListParagraph32"/>
              <w:numPr>
                <w:ilvl w:val="0"/>
                <w:numId w:val="118"/>
              </w:numPr>
              <w:rPr>
                <w:i/>
                <w:iCs/>
              </w:rPr>
            </w:pPr>
            <w:r>
              <w:t xml:space="preserve">Azon uniós országok száma, ahol az adatszolgáltató szervezet becsült nemzeti piaci részesedése meghaladja a 2%-ot. Jelentés: </w:t>
            </w:r>
          </w:p>
          <w:p w14:paraId="7FE1BA4C" w14:textId="380A40CA" w:rsidR="00896468" w:rsidRDefault="00B31E50">
            <w:pPr>
              <w:pStyle w:val="P68B1DB1-ListParagraph32"/>
              <w:numPr>
                <w:ilvl w:val="1"/>
                <w:numId w:val="118"/>
              </w:numPr>
              <w:rPr>
                <w:i/>
                <w:iCs/>
              </w:rPr>
            </w:pPr>
            <w:r>
              <w:t xml:space="preserve">≤ 1 ország; </w:t>
            </w:r>
          </w:p>
          <w:p w14:paraId="7FE1BA4D" w14:textId="152EAA32" w:rsidR="00896468" w:rsidRDefault="00B31E50">
            <w:pPr>
              <w:pStyle w:val="P68B1DB1-ListParagraph32"/>
              <w:numPr>
                <w:ilvl w:val="1"/>
                <w:numId w:val="118"/>
              </w:numPr>
              <w:rPr>
                <w:i/>
                <w:iCs/>
              </w:rPr>
            </w:pPr>
            <w:r>
              <w:t xml:space="preserve">2–3 tagállam </w:t>
            </w:r>
          </w:p>
          <w:p w14:paraId="7FE1BA4E" w14:textId="5E1FD2A4" w:rsidR="00896468" w:rsidRDefault="00B31E50">
            <w:pPr>
              <w:pStyle w:val="P68B1DB1-ListParagraph32"/>
              <w:numPr>
                <w:ilvl w:val="1"/>
                <w:numId w:val="118"/>
              </w:numPr>
              <w:rPr>
                <w:i/>
                <w:iCs/>
              </w:rPr>
            </w:pPr>
            <w:r>
              <w:t xml:space="preserve">4–5 ország, </w:t>
            </w:r>
          </w:p>
          <w:p w14:paraId="7FE1BA4F" w14:textId="744AB982" w:rsidR="00896468" w:rsidRDefault="00B31E50">
            <w:pPr>
              <w:pStyle w:val="P68B1DB1-ListParagraph32"/>
              <w:numPr>
                <w:ilvl w:val="1"/>
                <w:numId w:val="118"/>
              </w:numPr>
              <w:rPr>
                <w:i/>
                <w:iCs/>
              </w:rPr>
            </w:pPr>
            <w:r>
              <w:t>&gt; 5 ország.</w:t>
            </w:r>
          </w:p>
          <w:p w14:paraId="7FE1BA50" w14:textId="77777777" w:rsidR="00896468" w:rsidRDefault="00896468">
            <w:pPr>
              <w:pStyle w:val="TableParagraph"/>
              <w:spacing w:before="108"/>
              <w:jc w:val="both"/>
              <w:rPr>
                <w:rFonts w:ascii="Times New Roman" w:hAnsi="Times New Roman" w:cs="Times New Roman"/>
                <w:b/>
                <w:bCs/>
                <w:color w:val="000000" w:themeColor="text1"/>
                <w:sz w:val="20"/>
                <w:szCs w:val="20"/>
              </w:rPr>
            </w:pPr>
          </w:p>
        </w:tc>
      </w:tr>
      <w:tr w:rsidR="00896468"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896468" w:rsidRDefault="00B31E50">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896468" w:rsidRDefault="00B31E50">
            <w:pPr>
              <w:pStyle w:val="P68B1DB1-TableParagraph14"/>
              <w:spacing w:before="108"/>
              <w:ind w:left="85"/>
              <w:jc w:val="both"/>
              <w:rPr>
                <w:bCs/>
              </w:rPr>
            </w:pPr>
            <w:r>
              <w:t xml:space="preserve">Relevancia – </w:t>
            </w:r>
          </w:p>
          <w:p w14:paraId="7FE1BA54" w14:textId="04B15626" w:rsidR="00896468" w:rsidRDefault="00B31E50">
            <w:pPr>
              <w:pStyle w:val="P68B1DB1-TableParagraph33"/>
              <w:spacing w:before="108"/>
              <w:ind w:left="85"/>
              <w:jc w:val="both"/>
            </w:pPr>
            <w:r>
              <w:t xml:space="preserve">A helyi, regionális, nemzeti vagy európai szintű jelentőség – az érintett piactól függően. Az intézmény jelentősége a piaci részesedés, </w:t>
            </w:r>
            <w:r w:rsidR="002973E4">
              <w:t xml:space="preserve">az </w:t>
            </w:r>
            <w:r w:rsidR="008441DA">
              <w:t>összekapcsoltság</w:t>
            </w:r>
            <w:r>
              <w:t>, az összetettség és a határokon átnyúló tevékenységek alapján értékelhető;</w:t>
            </w:r>
          </w:p>
          <w:p w14:paraId="7FE1BA55" w14:textId="77777777" w:rsidR="00896468" w:rsidRDefault="00B31E50">
            <w:pPr>
              <w:pStyle w:val="P68B1DB1-TableParagraph14"/>
              <w:spacing w:before="108"/>
              <w:ind w:left="85"/>
              <w:jc w:val="both"/>
              <w:rPr>
                <w:bCs/>
              </w:rPr>
            </w:pPr>
            <w:r>
              <w:t>Piaci részesedés</w:t>
            </w:r>
          </w:p>
          <w:p w14:paraId="7FE1BA56" w14:textId="1B506EC4" w:rsidR="00896468" w:rsidRDefault="00B31E50">
            <w:pPr>
              <w:pStyle w:val="P68B1DB1-Normal31"/>
              <w:spacing w:line="276" w:lineRule="auto"/>
              <w:jc w:val="both"/>
            </w:pPr>
            <w:r>
              <w:t>Értékel</w:t>
            </w:r>
            <w:r w:rsidR="002973E4">
              <w:t>je</w:t>
            </w:r>
            <w:r>
              <w:t>, hogy a</w:t>
            </w:r>
            <w:r w:rsidR="002973E4">
              <w:t>z adatszolgáltató szervezet</w:t>
            </w:r>
            <w:r>
              <w:t xml:space="preserve"> piaci részesedése mennyire </w:t>
            </w:r>
            <w:r w:rsidR="002973E4">
              <w:t xml:space="preserve">jelentős </w:t>
            </w:r>
            <w:r>
              <w:t xml:space="preserve">a nemzeti vagy más érintett piachoz képest, amint az a táblában szerepel. Ezt az értékelést minőségileg a következőképpen fejezik ki: </w:t>
            </w:r>
          </w:p>
          <w:p w14:paraId="7FE1BA57" w14:textId="4FBBC6A6" w:rsidR="00896468" w:rsidRDefault="00B31E50">
            <w:pPr>
              <w:pStyle w:val="P68B1DB1-ListParagraph32"/>
              <w:numPr>
                <w:ilvl w:val="0"/>
                <w:numId w:val="276"/>
              </w:numPr>
              <w:spacing w:line="276" w:lineRule="auto"/>
              <w:jc w:val="both"/>
            </w:pPr>
            <w:r>
              <w:t>Magas, ha a piaci részesedés nagy</w:t>
            </w:r>
          </w:p>
          <w:p w14:paraId="7FE1BA58" w14:textId="71C0B34E" w:rsidR="00896468" w:rsidRDefault="00B31E50">
            <w:pPr>
              <w:pStyle w:val="P68B1DB1-ListParagraph32"/>
              <w:numPr>
                <w:ilvl w:val="0"/>
                <w:numId w:val="276"/>
              </w:numPr>
              <w:spacing w:line="276" w:lineRule="auto"/>
              <w:jc w:val="both"/>
            </w:pPr>
            <w:r>
              <w:t>Közepesen magas, ha a piaci részesedés közepes</w:t>
            </w:r>
          </w:p>
          <w:p w14:paraId="7FE1BA59" w14:textId="08ABB1D9" w:rsidR="00896468" w:rsidRDefault="00B31E50">
            <w:pPr>
              <w:pStyle w:val="P68B1DB1-ListParagraph32"/>
              <w:numPr>
                <w:ilvl w:val="0"/>
                <w:numId w:val="276"/>
              </w:numPr>
              <w:spacing w:line="276" w:lineRule="auto"/>
              <w:jc w:val="both"/>
            </w:pPr>
            <w:r>
              <w:t xml:space="preserve">Közepesen alacsony, ha a piaci részesedés kis, vagy </w:t>
            </w:r>
          </w:p>
          <w:p w14:paraId="7FE1BA5A" w14:textId="3DD284B5" w:rsidR="00896468" w:rsidRDefault="00B31E50">
            <w:pPr>
              <w:pStyle w:val="P68B1DB1-ListParagraph32"/>
              <w:numPr>
                <w:ilvl w:val="0"/>
                <w:numId w:val="276"/>
              </w:numPr>
              <w:spacing w:line="276" w:lineRule="auto"/>
              <w:jc w:val="both"/>
            </w:pPr>
            <w:r>
              <w:t xml:space="preserve">Alacsony, ha a piaci részesedés elhanyagolható. </w:t>
            </w:r>
          </w:p>
          <w:p w14:paraId="7FE1BA5B" w14:textId="77B6169D" w:rsidR="00896468" w:rsidRDefault="00B31E50">
            <w:pPr>
              <w:pStyle w:val="P68B1DB1-Normal31"/>
              <w:spacing w:line="276" w:lineRule="auto"/>
              <w:jc w:val="both"/>
            </w:pPr>
            <w:r>
              <w:t>Ez az értékelés figyelembe veszi a</w:t>
            </w:r>
            <w:r w:rsidR="002973E4">
              <w:t xml:space="preserve">z adatszolgáltató szervezet </w:t>
            </w:r>
            <w:r>
              <w:t xml:space="preserve">országának (vagy más érintett piacának) piaci szerkezetét és a részben jelentett piaci részesedéseket. </w:t>
            </w:r>
          </w:p>
          <w:p w14:paraId="7FE1BA5C" w14:textId="1F8E74D5" w:rsidR="00896468" w:rsidRDefault="00B31E50">
            <w:pPr>
              <w:pStyle w:val="P68B1DB1-Normal31"/>
              <w:spacing w:line="276" w:lineRule="auto"/>
              <w:jc w:val="both"/>
            </w:pPr>
            <w:r>
              <w:t>2.</w:t>
            </w:r>
            <w:r w:rsidR="00E128F4">
              <w:t xml:space="preserve">Mennyiségi </w:t>
            </w:r>
            <w:r>
              <w:t>adatok:</w:t>
            </w:r>
          </w:p>
          <w:p w14:paraId="7FE1BA5D" w14:textId="3724C328" w:rsidR="00896468" w:rsidRDefault="00B31E50">
            <w:pPr>
              <w:pStyle w:val="P68B1DB1-ListParagraph32"/>
              <w:numPr>
                <w:ilvl w:val="0"/>
                <w:numId w:val="117"/>
              </w:numPr>
              <w:spacing w:line="276" w:lineRule="auto"/>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2973E4">
              <w:t>szükséges</w:t>
            </w:r>
            <w:r>
              <w:t>).</w:t>
            </w:r>
          </w:p>
          <w:p w14:paraId="7FE1BA5E" w14:textId="77777777" w:rsidR="00896468" w:rsidRDefault="00896468">
            <w:pPr>
              <w:spacing w:line="276" w:lineRule="auto"/>
              <w:jc w:val="both"/>
              <w:rPr>
                <w:rFonts w:ascii="Times New Roman" w:eastAsia="Times New Roman" w:hAnsi="Times New Roman" w:cs="Times New Roman"/>
                <w:sz w:val="20"/>
                <w:szCs w:val="20"/>
              </w:rPr>
            </w:pPr>
          </w:p>
          <w:p w14:paraId="7FE1BA5F" w14:textId="77777777" w:rsidR="00896468" w:rsidRDefault="00896468">
            <w:pPr>
              <w:pStyle w:val="TableParagraph"/>
              <w:spacing w:before="108"/>
              <w:ind w:left="85"/>
              <w:jc w:val="both"/>
              <w:rPr>
                <w:rFonts w:ascii="Times New Roman" w:hAnsi="Times New Roman" w:cs="Times New Roman"/>
                <w:b/>
                <w:bCs/>
                <w:color w:val="000000" w:themeColor="text1"/>
                <w:sz w:val="20"/>
                <w:szCs w:val="20"/>
              </w:rPr>
            </w:pPr>
          </w:p>
        </w:tc>
      </w:tr>
      <w:tr w:rsidR="00896468"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896468" w:rsidRDefault="00B31E50">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896468" w:rsidRDefault="00B31E50">
            <w:pPr>
              <w:pStyle w:val="P68B1DB1-TableParagraph14"/>
              <w:spacing w:before="108"/>
              <w:ind w:left="85"/>
              <w:jc w:val="both"/>
              <w:rPr>
                <w:bCs/>
              </w:rPr>
            </w:pPr>
            <w:r>
              <w:t>Piacszerkezet – piaci koncentráció</w:t>
            </w:r>
          </w:p>
          <w:p w14:paraId="7FE1BA63" w14:textId="185F9CB7" w:rsidR="00896468" w:rsidRDefault="00B31E50">
            <w:pPr>
              <w:pStyle w:val="P68B1DB1-Normal31"/>
              <w:jc w:val="both"/>
            </w:pPr>
            <w:r>
              <w:t>A jelenleg</w:t>
            </w:r>
            <w:r w:rsidR="00E128F4">
              <w:t>i</w:t>
            </w:r>
            <w:r>
              <w:t xml:space="preserve"> versenytársak számával mért piaci koncentráció </w:t>
            </w:r>
          </w:p>
          <w:p w14:paraId="7FE1BA66" w14:textId="44DBB383" w:rsidR="00896468" w:rsidRDefault="001319BA">
            <w:pPr>
              <w:pStyle w:val="P68B1DB1-Normal31"/>
              <w:jc w:val="both"/>
            </w:pPr>
            <w:r>
              <w:t xml:space="preserve">amelyek </w:t>
            </w:r>
            <w:r w:rsidR="00B31E50">
              <w:t>hasonló gazdasági funkciók</w:t>
            </w:r>
            <w:r>
              <w:t>at látnak el</w:t>
            </w:r>
            <w:r w:rsidR="00B31E50">
              <w:t xml:space="preserve"> és/vagy azonos feltételek mellett hasonló szolgáltatások</w:t>
            </w:r>
            <w:r>
              <w:t>at</w:t>
            </w:r>
            <w:r w:rsidR="00B31E50">
              <w:t xml:space="preserve"> </w:t>
            </w:r>
            <w:r>
              <w:t xml:space="preserve">nyújtanak </w:t>
            </w:r>
            <w:r w:rsidR="00B31E50">
              <w:t xml:space="preserve">(azaz összehasonlítható </w:t>
            </w:r>
            <w:r>
              <w:t xml:space="preserve">a </w:t>
            </w:r>
            <w:r w:rsidR="00B31E50">
              <w:t xml:space="preserve">terjedelem és </w:t>
            </w:r>
            <w:r>
              <w:t xml:space="preserve">a </w:t>
            </w:r>
            <w:r w:rsidR="00B31E50">
              <w:t xml:space="preserve">minőség, valamint összehasonlítható </w:t>
            </w:r>
            <w:r>
              <w:t>költségen</w:t>
            </w:r>
            <w:r w:rsidR="00B31E50">
              <w:t xml:space="preserve">), </w:t>
            </w:r>
            <w:r>
              <w:t xml:space="preserve">és </w:t>
            </w:r>
            <w:r w:rsidR="00B31E50">
              <w:t>amely</w:t>
            </w:r>
            <w:r>
              <w:t>ek</w:t>
            </w:r>
            <w:r w:rsidR="00B31E50">
              <w:t xml:space="preserve"> potenciálisan átvehet</w:t>
            </w:r>
            <w:r>
              <w:t>ik</w:t>
            </w:r>
            <w:r w:rsidR="00B31E50">
              <w:t xml:space="preserve"> a</w:t>
            </w:r>
            <w:r>
              <w:t>z adatszolgáltató</w:t>
            </w:r>
            <w:r w:rsidR="00B31E50">
              <w:t xml:space="preserve"> </w:t>
            </w:r>
            <w:r>
              <w:t>szervezet</w:t>
            </w:r>
            <w:r w:rsidR="00B31E50">
              <w:t xml:space="preserve"> ügyfelei</w:t>
            </w:r>
            <w:r>
              <w:t>t</w:t>
            </w:r>
            <w:r w:rsidR="00B31E50">
              <w:t xml:space="preserve"> és/vagy üzleti tevékenység</w:t>
            </w:r>
            <w:r>
              <w:t>ét</w:t>
            </w:r>
            <w:r w:rsidR="00B31E50">
              <w:t xml:space="preserve"> (</w:t>
            </w:r>
            <w:r w:rsidR="0072691F">
              <w:t xml:space="preserve">vagy ennek </w:t>
            </w:r>
            <w:r w:rsidR="00B31E50">
              <w:t>egy rész</w:t>
            </w:r>
            <w:r>
              <w:t>ét</w:t>
            </w:r>
            <w:r w:rsidR="00B31E50">
              <w:t xml:space="preserve">) észszerű időn belül. </w:t>
            </w:r>
          </w:p>
          <w:p w14:paraId="7FE1BA67" w14:textId="77777777" w:rsidR="00896468" w:rsidRDefault="00B31E50">
            <w:pPr>
              <w:pStyle w:val="P68B1DB1-Normal31"/>
              <w:jc w:val="both"/>
            </w:pPr>
            <w:r>
              <w:t xml:space="preserve">Ezt kategóriákban kell jelenteni, amelyek minden egyes alfunkció esetében azonosak. </w:t>
            </w:r>
          </w:p>
          <w:p w14:paraId="7FE1BA68" w14:textId="5B483BC6" w:rsidR="00896468" w:rsidRDefault="00B31E50">
            <w:pPr>
              <w:pStyle w:val="P68B1DB1-ListParagraph32"/>
              <w:numPr>
                <w:ilvl w:val="0"/>
                <w:numId w:val="277"/>
              </w:numPr>
              <w:jc w:val="both"/>
            </w:pPr>
            <w:bookmarkStart w:id="114" w:name="_Hlk194417513"/>
            <w:r>
              <w:lastRenderedPageBreak/>
              <w:t xml:space="preserve">&gt; 20 versenytárs; </w:t>
            </w:r>
          </w:p>
          <w:p w14:paraId="7FE1BA69" w14:textId="7D2A0C84" w:rsidR="00896468" w:rsidRDefault="00B31E50">
            <w:pPr>
              <w:pStyle w:val="P68B1DB1-ListParagraph32"/>
              <w:numPr>
                <w:ilvl w:val="0"/>
                <w:numId w:val="277"/>
              </w:numPr>
              <w:jc w:val="both"/>
            </w:pPr>
            <w:r>
              <w:t xml:space="preserve">11–20 versenytárs; </w:t>
            </w:r>
          </w:p>
          <w:p w14:paraId="7FE1BA6A" w14:textId="5EF3634F" w:rsidR="00896468" w:rsidRDefault="00B31E50">
            <w:pPr>
              <w:pStyle w:val="P68B1DB1-ListParagraph32"/>
              <w:numPr>
                <w:ilvl w:val="0"/>
                <w:numId w:val="277"/>
              </w:numPr>
              <w:jc w:val="both"/>
            </w:pPr>
            <w:r>
              <w:t xml:space="preserve">5–10 versenytárs, </w:t>
            </w:r>
          </w:p>
          <w:p w14:paraId="7FE1BA6B" w14:textId="3B827BB0" w:rsidR="00896468" w:rsidRDefault="0072691F">
            <w:pPr>
              <w:pStyle w:val="P68B1DB1-ListParagraph32"/>
              <w:numPr>
                <w:ilvl w:val="0"/>
                <w:numId w:val="277"/>
              </w:numPr>
              <w:jc w:val="both"/>
              <w:rPr>
                <w:b/>
                <w:bCs/>
                <w:color w:val="000000" w:themeColor="text1"/>
              </w:rPr>
            </w:pPr>
            <w:r>
              <w:t>&lt;</w:t>
            </w:r>
            <w:r w:rsidR="00B31E50">
              <w:t>5</w:t>
            </w:r>
            <w:bookmarkEnd w:id="114"/>
            <w:r w:rsidR="00B31E50">
              <w:t xml:space="preserve"> versenytárs</w:t>
            </w:r>
          </w:p>
          <w:p w14:paraId="7FE1BA6C" w14:textId="17CFD346" w:rsidR="00896468" w:rsidRDefault="00B31E50">
            <w:pPr>
              <w:pStyle w:val="P68B1DB1-Normal34"/>
              <w:ind w:left="360"/>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86025B">
              <w:t>szükséges</w:t>
            </w:r>
            <w:r>
              <w:t>).</w:t>
            </w:r>
          </w:p>
          <w:p w14:paraId="7FE1BA6D" w14:textId="77777777" w:rsidR="00896468" w:rsidRDefault="00896468" w:rsidP="00C46908">
            <w:pPr>
              <w:pStyle w:val="P68B1DB1-Normal34"/>
              <w:ind w:left="360"/>
              <w:jc w:val="both"/>
              <w:rPr>
                <w:b/>
                <w:bCs/>
                <w:color w:val="000000" w:themeColor="text1"/>
              </w:rPr>
            </w:pPr>
          </w:p>
        </w:tc>
      </w:tr>
      <w:tr w:rsidR="00896468"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896468" w:rsidRDefault="00B31E50">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1AE8F115" w:rsidR="00896468" w:rsidRDefault="00B31E50">
            <w:pPr>
              <w:pStyle w:val="P68B1DB1-TableParagraph14"/>
              <w:spacing w:before="108"/>
              <w:ind w:left="85"/>
              <w:jc w:val="both"/>
              <w:rPr>
                <w:bCs/>
              </w:rPr>
            </w:pPr>
            <w:r>
              <w:t>Idő</w:t>
            </w:r>
            <w:r w:rsidR="000D6D48">
              <w:t>tartam</w:t>
            </w:r>
            <w:r>
              <w:t xml:space="preserve"> – A helyettesítés várható ideje</w:t>
            </w:r>
          </w:p>
          <w:p w14:paraId="7FE1BA72" w14:textId="2B6876F5" w:rsidR="00896468" w:rsidRDefault="0072691F">
            <w:pPr>
              <w:pStyle w:val="P68B1DB1-Normal31"/>
              <w:jc w:val="both"/>
            </w:pPr>
            <w:r>
              <w:t>Becsülje meg azt az időt, amely ahhoz szükséges, hogy a</w:t>
            </w:r>
            <w:r w:rsidR="001319BA">
              <w:t>z adatszolgáltató</w:t>
            </w:r>
            <w:r>
              <w:t xml:space="preserve"> </w:t>
            </w:r>
            <w:r w:rsidR="001319BA">
              <w:t>szervezet</w:t>
            </w:r>
            <w:r>
              <w:t xml:space="preserve"> által ellátott gazdasági funkciót a piac válsághelyzetben felszívja. </w:t>
            </w:r>
            <w:r w:rsidR="00B31E50">
              <w:t xml:space="preserve">Lebontva: </w:t>
            </w:r>
          </w:p>
          <w:p w14:paraId="7FE1BA73" w14:textId="77777777" w:rsidR="00896468" w:rsidRDefault="00B31E50">
            <w:pPr>
              <w:pStyle w:val="P68B1DB1-ListParagraph32"/>
              <w:numPr>
                <w:ilvl w:val="0"/>
                <w:numId w:val="274"/>
              </w:numPr>
              <w:jc w:val="both"/>
            </w:pPr>
            <w:r>
              <w:t xml:space="preserve">az egy vagy több versenytárs számára a funkció átvételéhez szükséges jogi és technikai lépések elvégzéséhez várhatóan szükséges idő; valamint  </w:t>
            </w:r>
          </w:p>
          <w:p w14:paraId="7FE1BA74" w14:textId="61A8713D" w:rsidR="00896468" w:rsidRDefault="00B31E50">
            <w:pPr>
              <w:pStyle w:val="P68B1DB1-ListParagraph32"/>
              <w:numPr>
                <w:ilvl w:val="0"/>
                <w:numId w:val="274"/>
              </w:numPr>
              <w:jc w:val="both"/>
            </w:pPr>
            <w:r>
              <w:t xml:space="preserve">a szolgáltatás igénybe vevői által egy másik szolgáltatóhoz való </w:t>
            </w:r>
            <w:r w:rsidR="0086025B">
              <w:t xml:space="preserve">átálláshoz </w:t>
            </w:r>
            <w:r>
              <w:t xml:space="preserve">szükséges idő. </w:t>
            </w:r>
          </w:p>
          <w:p w14:paraId="7FE1BA75" w14:textId="77777777" w:rsidR="00896468" w:rsidRDefault="00896468">
            <w:pPr>
              <w:jc w:val="both"/>
              <w:rPr>
                <w:rFonts w:ascii="Times New Roman" w:eastAsia="Times New Roman" w:hAnsi="Times New Roman" w:cs="Times New Roman"/>
                <w:sz w:val="20"/>
                <w:szCs w:val="20"/>
              </w:rPr>
            </w:pPr>
          </w:p>
          <w:p w14:paraId="7FE1BA76" w14:textId="10DE48F9" w:rsidR="00896468" w:rsidRDefault="00B31E50">
            <w:pPr>
              <w:pStyle w:val="P68B1DB1-Normal31"/>
              <w:jc w:val="both"/>
            </w:pPr>
            <w:r>
              <w:t>A betétek esetében ez elsősorban az alternatív szolgáltatók azon pénzügyi, működési és technikai kapacitására vonatkozik, hogy betétgyűjtési szolgáltatásokat nyújtsanak az adatszolgáltató bank ügyfeleinek, nem pedig a betéteknek egy hatóság</w:t>
            </w:r>
            <w:r w:rsidR="0086025B">
              <w:t>i</w:t>
            </w:r>
            <w:r>
              <w:t xml:space="preserve"> </w:t>
            </w:r>
            <w:r w:rsidR="0086025B">
              <w:t xml:space="preserve">döntés </w:t>
            </w:r>
            <w:r>
              <w:t xml:space="preserve">vagy a betétbiztosítási rendszertől kapott </w:t>
            </w:r>
            <w:r w:rsidR="0086025B">
              <w:t xml:space="preserve">kártalanítás </w:t>
            </w:r>
            <w:r>
              <w:t xml:space="preserve">következményeként egy másik szolgáltatónak történő átadására. </w:t>
            </w:r>
          </w:p>
          <w:p w14:paraId="7FE1BA77" w14:textId="77777777" w:rsidR="00896468" w:rsidRDefault="00896468">
            <w:pPr>
              <w:jc w:val="both"/>
              <w:rPr>
                <w:rFonts w:ascii="Times New Roman" w:eastAsia="Times New Roman" w:hAnsi="Times New Roman" w:cs="Times New Roman"/>
                <w:sz w:val="20"/>
                <w:szCs w:val="20"/>
              </w:rPr>
            </w:pPr>
          </w:p>
          <w:p w14:paraId="7FE1BA78" w14:textId="33498FFB" w:rsidR="00896468" w:rsidRDefault="00B31E50">
            <w:pPr>
              <w:pStyle w:val="P68B1DB1-Normal31"/>
              <w:jc w:val="both"/>
            </w:pPr>
            <w:r>
              <w:t>Az előbbi helyettesítőjeként adja meg annak becslését, hogy a</w:t>
            </w:r>
            <w:r w:rsidR="0086025B">
              <w:t>z adatszolgáltató szervezet</w:t>
            </w:r>
            <w:r>
              <w:t>nek mennyi időre lenne szüksége ahhoz, hogy saját üzleti tevékenység</w:t>
            </w:r>
            <w:r w:rsidR="0086025B">
              <w:t>ébe</w:t>
            </w:r>
            <w:r>
              <w:t xml:space="preserve"> </w:t>
            </w:r>
            <w:r w:rsidR="0086025B">
              <w:t>olvassz</w:t>
            </w:r>
            <w:r w:rsidR="008B5A23">
              <w:t>on</w:t>
            </w:r>
            <w:r>
              <w:t xml:space="preserve"> egy másik intézmény által nyújtott szolgáltatást</w:t>
            </w:r>
            <w:r w:rsidR="0086025B">
              <w:t xml:space="preserve"> (vagy annak egy részét)</w:t>
            </w:r>
            <w:r>
              <w:t>, észszerű költség mellett, válsághelyzetben. A táblában megadott kategóriákban adja meg a helyettesítés becsült idejét:</w:t>
            </w:r>
          </w:p>
          <w:p w14:paraId="7FE1BA79" w14:textId="77777777" w:rsidR="00896468" w:rsidRDefault="00896468">
            <w:pPr>
              <w:jc w:val="both"/>
              <w:rPr>
                <w:rFonts w:ascii="Times New Roman" w:hAnsi="Times New Roman" w:cs="Times New Roman"/>
                <w:color w:val="000000" w:themeColor="text1"/>
                <w:sz w:val="20"/>
                <w:szCs w:val="20"/>
              </w:rPr>
            </w:pPr>
          </w:p>
          <w:p w14:paraId="7FE1BA7A" w14:textId="77777777" w:rsidR="00896468" w:rsidRDefault="00B31E50">
            <w:pPr>
              <w:pStyle w:val="P68B1DB1-Normal31"/>
              <w:jc w:val="both"/>
            </w:pPr>
            <w:bookmarkStart w:id="115" w:name="_Hlk194476514"/>
            <w:r>
              <w:t xml:space="preserve">Kategóriák: </w:t>
            </w:r>
          </w:p>
          <w:p w14:paraId="7FE1BA7B" w14:textId="2825606F" w:rsidR="00896468" w:rsidRDefault="0072691F">
            <w:pPr>
              <w:pStyle w:val="P68B1DB1-ListParagraph32"/>
              <w:numPr>
                <w:ilvl w:val="0"/>
                <w:numId w:val="280"/>
              </w:numPr>
              <w:jc w:val="both"/>
            </w:pPr>
            <w:r>
              <w:t>&lt;</w:t>
            </w:r>
            <w:r w:rsidR="00B31E50">
              <w:t xml:space="preserve"> 1 hét; </w:t>
            </w:r>
          </w:p>
          <w:p w14:paraId="7FE1BA7C" w14:textId="6818EF73" w:rsidR="00896468" w:rsidRDefault="00B31E50">
            <w:pPr>
              <w:pStyle w:val="P68B1DB1-ListParagraph32"/>
              <w:numPr>
                <w:ilvl w:val="0"/>
                <w:numId w:val="280"/>
              </w:numPr>
              <w:jc w:val="both"/>
            </w:pPr>
            <w:r>
              <w:t xml:space="preserve">1 hét – 1 hónap; </w:t>
            </w:r>
          </w:p>
          <w:p w14:paraId="7FE1BA7D" w14:textId="05597976" w:rsidR="00896468" w:rsidRDefault="00B31E50">
            <w:pPr>
              <w:pStyle w:val="P68B1DB1-ListParagraph32"/>
              <w:numPr>
                <w:ilvl w:val="0"/>
                <w:numId w:val="280"/>
              </w:numPr>
              <w:jc w:val="both"/>
            </w:pPr>
            <w:r>
              <w:t xml:space="preserve">&gt; 1 hónap-6 hónap, </w:t>
            </w:r>
          </w:p>
          <w:p w14:paraId="7FE1BA7E" w14:textId="0D41F489" w:rsidR="00896468" w:rsidRDefault="00B31E50">
            <w:pPr>
              <w:pStyle w:val="P68B1DB1-ListParagraph32"/>
              <w:numPr>
                <w:ilvl w:val="0"/>
                <w:numId w:val="280"/>
              </w:numPr>
              <w:jc w:val="both"/>
            </w:pPr>
            <w:r>
              <w:t xml:space="preserve">&gt; 6 hónap  </w:t>
            </w:r>
          </w:p>
          <w:bookmarkEnd w:id="115"/>
          <w:p w14:paraId="7FE1BA7F" w14:textId="77777777" w:rsidR="00896468" w:rsidRDefault="00896468">
            <w:pPr>
              <w:jc w:val="both"/>
              <w:rPr>
                <w:rFonts w:ascii="Times New Roman" w:eastAsia="Times New Roman" w:hAnsi="Times New Roman" w:cs="Times New Roman"/>
                <w:sz w:val="20"/>
                <w:szCs w:val="20"/>
              </w:rPr>
            </w:pPr>
          </w:p>
          <w:p w14:paraId="7FE1BA80" w14:textId="77777777" w:rsidR="00896468" w:rsidRDefault="00896468">
            <w:pPr>
              <w:jc w:val="both"/>
              <w:rPr>
                <w:rFonts w:ascii="Times New Roman" w:hAnsi="Times New Roman" w:cs="Times New Roman"/>
                <w:color w:val="000000" w:themeColor="text1"/>
                <w:sz w:val="20"/>
                <w:szCs w:val="20"/>
              </w:rPr>
            </w:pPr>
          </w:p>
        </w:tc>
      </w:tr>
      <w:tr w:rsidR="00896468"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896468" w:rsidRDefault="00B31E50">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896468" w:rsidRDefault="00B31E50">
            <w:pPr>
              <w:pStyle w:val="P68B1DB1-TableParagraph14"/>
              <w:spacing w:before="108"/>
              <w:ind w:left="85"/>
              <w:jc w:val="both"/>
              <w:rPr>
                <w:bCs/>
              </w:rPr>
            </w:pPr>
            <w:r>
              <w:t>Helyettesítési képesség</w:t>
            </w:r>
          </w:p>
        </w:tc>
      </w:tr>
      <w:tr w:rsidR="00896468"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896468" w:rsidRDefault="00B31E50">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3CF14A68" w:rsidR="00896468" w:rsidRDefault="00B31E50">
            <w:pPr>
              <w:pStyle w:val="P68B1DB1-Normal35"/>
              <w:jc w:val="both"/>
              <w:rPr>
                <w:bCs/>
              </w:rPr>
            </w:pPr>
            <w:r>
              <w:t xml:space="preserve">A </w:t>
            </w:r>
            <w:r w:rsidR="0064267F">
              <w:t xml:space="preserve">piacra lépés </w:t>
            </w:r>
            <w:r>
              <w:t>vagy terjeszkedés jogi akadályai</w:t>
            </w:r>
          </w:p>
          <w:p w14:paraId="7FE1BA87" w14:textId="77777777" w:rsidR="00896468" w:rsidRDefault="00896468">
            <w:pPr>
              <w:jc w:val="both"/>
              <w:rPr>
                <w:rFonts w:ascii="Times New Roman" w:eastAsia="Times New Roman" w:hAnsi="Times New Roman" w:cs="Times New Roman"/>
                <w:b/>
                <w:bCs/>
                <w:color w:val="000000" w:themeColor="text1"/>
                <w:sz w:val="20"/>
                <w:szCs w:val="20"/>
              </w:rPr>
            </w:pPr>
          </w:p>
          <w:p w14:paraId="7FE1BA88" w14:textId="77777777" w:rsidR="00896468" w:rsidRDefault="00B31E50">
            <w:pPr>
              <w:pStyle w:val="P68B1DB1-Normal36"/>
              <w:jc w:val="both"/>
            </w:pPr>
            <w:r>
              <w:t xml:space="preserve">A versenytársak számára a szolgáltatás nyújtása előtt álló jogi akadályok. A hitelintézetek tevékenységének végzésére vonatkozó jogi követelmények (pl. banki engedélyek vagy tőkekövetelmények) alternatív szolgáltatók jelenlétében nem tekinthetők leküzdhetetlen akadálynak. Ezt a mutatót kategóriákban kell jelenteni, amelyek minden egyes alfunkció esetében azonosak: </w:t>
            </w:r>
          </w:p>
          <w:p w14:paraId="7FE1BA89" w14:textId="4702A48A" w:rsidR="00896468" w:rsidRDefault="00B31E50">
            <w:pPr>
              <w:pStyle w:val="P68B1DB1-ListParagraph37"/>
              <w:numPr>
                <w:ilvl w:val="0"/>
                <w:numId w:val="275"/>
              </w:numPr>
              <w:jc w:val="both"/>
            </w:pPr>
            <w:r>
              <w:t xml:space="preserve">nincsenek jelentős akadályok, </w:t>
            </w:r>
          </w:p>
          <w:p w14:paraId="7FE1BA8A" w14:textId="10C89312" w:rsidR="00896468" w:rsidRDefault="00B31E50">
            <w:pPr>
              <w:pStyle w:val="P68B1DB1-ListParagraph37"/>
              <w:numPr>
                <w:ilvl w:val="0"/>
                <w:numId w:val="275"/>
              </w:numPr>
              <w:jc w:val="both"/>
            </w:pPr>
            <w:r>
              <w:t xml:space="preserve">néhány akadály, </w:t>
            </w:r>
          </w:p>
          <w:p w14:paraId="7FE1BA8B" w14:textId="4451FB21" w:rsidR="00896468" w:rsidRDefault="00B31E50">
            <w:pPr>
              <w:pStyle w:val="P68B1DB1-ListParagraph37"/>
              <w:numPr>
                <w:ilvl w:val="0"/>
                <w:numId w:val="275"/>
              </w:numPr>
              <w:jc w:val="both"/>
            </w:pPr>
            <w:r>
              <w:t xml:space="preserve">jelentős (de leküzdhető) akadályok, </w:t>
            </w:r>
          </w:p>
          <w:p w14:paraId="7FE1BA8D" w14:textId="48C5B820" w:rsidR="00896468" w:rsidRDefault="00B31E50">
            <w:pPr>
              <w:pStyle w:val="P68B1DB1-ListParagraph37"/>
              <w:numPr>
                <w:ilvl w:val="0"/>
                <w:numId w:val="275"/>
              </w:numPr>
              <w:jc w:val="both"/>
              <w:rPr>
                <w:b/>
                <w:bCs/>
              </w:rPr>
            </w:pPr>
            <w:r>
              <w:t>kritikus (nehezen leküzdhető) akadályok.</w:t>
            </w:r>
          </w:p>
        </w:tc>
      </w:tr>
      <w:tr w:rsidR="00896468"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896468" w:rsidRDefault="00B31E50">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5E86E3C3" w:rsidR="00896468" w:rsidRDefault="00B31E50">
            <w:pPr>
              <w:pStyle w:val="P68B1DB1-Normal35"/>
              <w:jc w:val="both"/>
              <w:rPr>
                <w:bCs/>
              </w:rPr>
            </w:pPr>
            <w:r>
              <w:t xml:space="preserve">A </w:t>
            </w:r>
            <w:r w:rsidR="0064267F">
              <w:t xml:space="preserve">piacra </w:t>
            </w:r>
            <w:r>
              <w:t xml:space="preserve">lépésre vagy </w:t>
            </w:r>
            <w:r w:rsidR="008B5A23">
              <w:t xml:space="preserve">terjeszkedésre </w:t>
            </w:r>
            <w:r>
              <w:t>vonatkozó működési követelmények</w:t>
            </w:r>
          </w:p>
          <w:p w14:paraId="7FE1BA91" w14:textId="77777777" w:rsidR="00896468" w:rsidRDefault="00896468">
            <w:pPr>
              <w:jc w:val="both"/>
              <w:rPr>
                <w:rFonts w:ascii="Times New Roman" w:eastAsia="Times New Roman" w:hAnsi="Times New Roman" w:cs="Times New Roman"/>
                <w:b/>
                <w:bCs/>
                <w:color w:val="000000" w:themeColor="text1"/>
                <w:sz w:val="20"/>
                <w:szCs w:val="20"/>
              </w:rPr>
            </w:pPr>
          </w:p>
          <w:p w14:paraId="7FE1BA92" w14:textId="64CE1088" w:rsidR="00896468" w:rsidRDefault="00B31E50">
            <w:pPr>
              <w:pStyle w:val="P68B1DB1-Normal36"/>
              <w:jc w:val="both"/>
            </w:pPr>
            <w:r>
              <w:t>Szervezeti, műszaki és infrastrukturális követelmények a versenytársak számára a szolgáltatás nyújtásához. Az (al)funkcióhoz kapcsolódó szolgáltatások nyújtása megköveteli a szolgáltatóktól, hogy (új vagy kiegészítő) infrastruktúrába fektessenek be, vagy módosítsák szervezeteiket. Értékel</w:t>
            </w:r>
            <w:r w:rsidR="008B5A23">
              <w:t>je</w:t>
            </w:r>
            <w:r>
              <w:t xml:space="preserve">, hogy a piac képes-e felvenni az adott üzletágat, például a tőkekövetelmények tekintetében. Hitelnyújtás esetén vegye figyelembe a kapcsolódó RWA-kat (a </w:t>
            </w:r>
            <w:r w:rsidR="008B5A23">
              <w:t>Q.</w:t>
            </w:r>
            <w:r>
              <w:t xml:space="preserve">17. </w:t>
            </w:r>
            <w:r w:rsidR="008B5A23">
              <w:t xml:space="preserve">keretében </w:t>
            </w:r>
            <w:r>
              <w:t xml:space="preserve">jelentve). </w:t>
            </w:r>
          </w:p>
          <w:p w14:paraId="7FE1BA93" w14:textId="77777777" w:rsidR="00896468" w:rsidRDefault="00B31E50">
            <w:pPr>
              <w:pStyle w:val="P68B1DB1-Normal36"/>
              <w:jc w:val="both"/>
            </w:pPr>
            <w:r>
              <w:t xml:space="preserve">Ezt a mutatót kategóriákban kell jelenteni, amelyek minden egyes alfunkció esetében azonosak: </w:t>
            </w:r>
          </w:p>
          <w:p w14:paraId="7FE1BA94" w14:textId="2E9A8492" w:rsidR="00896468" w:rsidRDefault="00B31E50">
            <w:pPr>
              <w:pStyle w:val="P68B1DB1-ListParagraph37"/>
              <w:numPr>
                <w:ilvl w:val="0"/>
                <w:numId w:val="278"/>
              </w:numPr>
              <w:jc w:val="both"/>
            </w:pPr>
            <w:r>
              <w:t xml:space="preserve">nincsenek főbb követelmények, </w:t>
            </w:r>
          </w:p>
          <w:p w14:paraId="7FE1BA95" w14:textId="2C17AA9E" w:rsidR="00896468" w:rsidRDefault="00B31E50">
            <w:pPr>
              <w:pStyle w:val="P68B1DB1-ListParagraph37"/>
              <w:numPr>
                <w:ilvl w:val="0"/>
                <w:numId w:val="278"/>
              </w:numPr>
              <w:jc w:val="both"/>
            </w:pPr>
            <w:r>
              <w:lastRenderedPageBreak/>
              <w:t xml:space="preserve">néhány követelmény, </w:t>
            </w:r>
          </w:p>
          <w:p w14:paraId="284BD082" w14:textId="505D2F36" w:rsidR="0081630B" w:rsidRDefault="00B31E50">
            <w:pPr>
              <w:pStyle w:val="P68B1DB1-ListParagraph37"/>
              <w:numPr>
                <w:ilvl w:val="0"/>
                <w:numId w:val="278"/>
              </w:numPr>
              <w:jc w:val="both"/>
            </w:pPr>
            <w:r>
              <w:t xml:space="preserve">lényeges (de leküzdhető) követelmények, </w:t>
            </w:r>
          </w:p>
          <w:p w14:paraId="7FE1BA9D" w14:textId="03376FDC" w:rsidR="00896468" w:rsidRDefault="00B31E50" w:rsidP="00C46908">
            <w:pPr>
              <w:pStyle w:val="P68B1DB1-ListParagraph37"/>
              <w:numPr>
                <w:ilvl w:val="0"/>
                <w:numId w:val="278"/>
              </w:numPr>
              <w:jc w:val="both"/>
              <w:rPr>
                <w:b/>
                <w:bCs/>
              </w:rPr>
            </w:pPr>
            <w:r>
              <w:t xml:space="preserve">kritikus </w:t>
            </w:r>
            <w:r w:rsidR="0072691F">
              <w:t xml:space="preserve">(nehezen leküzdhető) </w:t>
            </w:r>
            <w:r>
              <w:t xml:space="preserve">követelmények </w:t>
            </w:r>
          </w:p>
        </w:tc>
      </w:tr>
      <w:tr w:rsidR="00896468"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896468" w:rsidRDefault="00B31E50">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00CB0D2A" w:rsidR="00896468" w:rsidRDefault="0081630B">
            <w:pPr>
              <w:pStyle w:val="P68B1DB1-TableParagraph14"/>
              <w:spacing w:before="108"/>
              <w:jc w:val="both"/>
              <w:rPr>
                <w:bCs/>
              </w:rPr>
            </w:pPr>
            <w:r>
              <w:t xml:space="preserve">Belépési </w:t>
            </w:r>
            <w:r w:rsidR="00B31E50">
              <w:t>kapacitás – Az új ügyfelek 1 munkanap alatt benyújtott kérelmeinek száma (számlák száma)</w:t>
            </w:r>
          </w:p>
          <w:p w14:paraId="7FE1BAA4" w14:textId="261DE7B0" w:rsidR="00896468" w:rsidRDefault="00B31E50">
            <w:pPr>
              <w:pStyle w:val="P68B1DB1-TableParagraph13"/>
              <w:spacing w:before="108"/>
              <w:jc w:val="both"/>
            </w:pPr>
            <w:bookmarkStart w:id="116" w:name="_Hlk210984016"/>
            <w:r>
              <w:t xml:space="preserve">Az intézményeknek </w:t>
            </w:r>
            <w:r w:rsidR="0081630B">
              <w:t>meg kell adniuk</w:t>
            </w:r>
            <w:r>
              <w:t xml:space="preserve"> </w:t>
            </w:r>
            <w:r w:rsidR="0081630B">
              <w:t xml:space="preserve">azon </w:t>
            </w:r>
            <w:r>
              <w:t>kérelme</w:t>
            </w:r>
            <w:r w:rsidR="0081630B">
              <w:t>k legmagasabb számát</w:t>
            </w:r>
            <w:r>
              <w:t xml:space="preserve">, </w:t>
            </w:r>
            <w:r w:rsidR="0081630B">
              <w:t>amelyek esetén</w:t>
            </w:r>
            <w:r>
              <w:t xml:space="preserve"> az intézmény </w:t>
            </w:r>
            <w:r w:rsidR="001D5EAA">
              <w:t>feldolgozta</w:t>
            </w:r>
            <w:r w:rsidR="0081630B">
              <w:t xml:space="preserve"> </w:t>
            </w:r>
            <w:r>
              <w:t>a banki szolgáltatás iránti kérelmet.</w:t>
            </w:r>
          </w:p>
          <w:bookmarkEnd w:id="116"/>
          <w:p w14:paraId="1312271B" w14:textId="1F56D7FC" w:rsidR="00896468" w:rsidRDefault="00B31E50">
            <w:pPr>
              <w:pStyle w:val="P68B1DB1-TableParagraph13"/>
              <w:spacing w:before="108"/>
              <w:jc w:val="both"/>
            </w:pPr>
            <w:r>
              <w:t xml:space="preserve">A belépési kapacitást az új számlák számában kifejezve egy munkanapra vonatkozóan </w:t>
            </w:r>
            <w:r w:rsidR="0081630B">
              <w:t>kell megadni</w:t>
            </w:r>
            <w:r>
              <w:t>.</w:t>
            </w:r>
          </w:p>
          <w:p w14:paraId="7FE1BAA8" w14:textId="61A8983D" w:rsidR="00896468" w:rsidRDefault="00B31E50">
            <w:pPr>
              <w:pStyle w:val="P68B1DB1-TableParagraph13"/>
              <w:spacing w:before="108"/>
              <w:jc w:val="both"/>
              <w:rPr>
                <w:b/>
                <w:bCs/>
              </w:rPr>
            </w:pPr>
            <w:r>
              <w:t xml:space="preserve">Az intézményeknek figyelembe kell venniük az új ügyfelek felvételének időkeretét, </w:t>
            </w:r>
            <w:r w:rsidR="0081630B">
              <w:t xml:space="preserve">attól az időponttól számítva, hogy </w:t>
            </w:r>
            <w:r>
              <w:t>egy új ügyfél banki szolgáltatásért folyamodott.</w:t>
            </w:r>
          </w:p>
        </w:tc>
      </w:tr>
      <w:tr w:rsidR="00896468"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896468" w:rsidRDefault="00B31E50">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896468" w:rsidRDefault="00B31E50">
            <w:pPr>
              <w:pStyle w:val="P68B1DB1-TableParagraph14"/>
              <w:spacing w:before="108"/>
              <w:jc w:val="both"/>
              <w:rPr>
                <w:bCs/>
              </w:rPr>
            </w:pPr>
            <w:r>
              <w:t>A kritikusság értékelése</w:t>
            </w:r>
          </w:p>
        </w:tc>
      </w:tr>
      <w:tr w:rsidR="00896468"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896468" w:rsidRDefault="00B31E50">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896468" w:rsidRDefault="00B31E50">
            <w:pPr>
              <w:pStyle w:val="P68B1DB1-TableParagraph14"/>
              <w:spacing w:before="108"/>
              <w:jc w:val="both"/>
              <w:rPr>
                <w:bCs/>
              </w:rPr>
            </w:pPr>
            <w:r>
              <w:t xml:space="preserve">A piacra gyakorolt hatás </w:t>
            </w:r>
          </w:p>
          <w:p w14:paraId="7FE1BAAF" w14:textId="77777777" w:rsidR="00896468" w:rsidRDefault="00B31E50">
            <w:pPr>
              <w:pStyle w:val="P68B1DB1-TableParagraph13"/>
              <w:spacing w:before="108"/>
              <w:jc w:val="both"/>
            </w:pPr>
            <w:r>
              <w:t>A funkció hirtelen megszűnésének a harmadik felekre, a pénzügyi piacokra és a reálgazdaságra gyakorolt becsült hatása, figyelembe véve az intézmény méretét, piaci részesedését az adott országban, a külső és belső összekapcsoltságot, összetettséget és az intézmény határokon átnyúló tevékenységeit.</w:t>
            </w:r>
          </w:p>
          <w:p w14:paraId="7FE1BAB0" w14:textId="765F6584" w:rsidR="00896468" w:rsidRDefault="00B31E50">
            <w:pPr>
              <w:pStyle w:val="P68B1DB1-TableParagraph13"/>
              <w:spacing w:before="108"/>
              <w:jc w:val="both"/>
            </w:pPr>
            <w:r>
              <w:t>A minőségi értékelés eredményét „Magas”, „Közepes-Magas”, „Közepes-Alacsony” vagy „Alacsony” megjelöléssel kell kifejezni.</w:t>
            </w:r>
          </w:p>
          <w:p w14:paraId="7FE1BAB1" w14:textId="2799C33A" w:rsidR="00896468" w:rsidRDefault="00C66E7A">
            <w:pPr>
              <w:pStyle w:val="P68B1DB1-TableParagraph13"/>
              <w:spacing w:before="108"/>
              <w:jc w:val="both"/>
              <w:rPr>
                <w:b/>
                <w:bCs/>
              </w:rPr>
            </w:pPr>
            <w:r>
              <w:t>Magas</w:t>
            </w:r>
            <w:r w:rsidR="00B31E50">
              <w:t>:</w:t>
            </w:r>
            <w:r w:rsidR="006A290F">
              <w:t xml:space="preserve"> </w:t>
            </w:r>
            <w:r w:rsidR="00B31E50">
              <w:t xml:space="preserve">a funkció megszüntetése kimagasló hatást gyakorol a nemzeti piacra; </w:t>
            </w:r>
            <w:r>
              <w:t>Közepes-Magas</w:t>
            </w:r>
            <w:r w:rsidR="00B31E50">
              <w:t>:</w:t>
            </w:r>
            <w:r w:rsidR="006A290F">
              <w:t xml:space="preserve"> </w:t>
            </w:r>
            <w:r w:rsidR="00B31E50">
              <w:t>jelentős hatás; „</w:t>
            </w:r>
            <w:r>
              <w:t>Közepes-Alacsony</w:t>
            </w:r>
            <w:r w:rsidR="00B31E50">
              <w:t>”:</w:t>
            </w:r>
            <w:r w:rsidR="006A290F">
              <w:t xml:space="preserve"> </w:t>
            </w:r>
            <w:r w:rsidR="00B31E50">
              <w:t>a hatás lényeges, de korlátozott; „</w:t>
            </w:r>
            <w:r>
              <w:t>Alacsony</w:t>
            </w:r>
            <w:r w:rsidR="00B31E50">
              <w:t>”:</w:t>
            </w:r>
            <w:r w:rsidR="006A290F">
              <w:t xml:space="preserve"> </w:t>
            </w:r>
            <w:r w:rsidR="00B31E50">
              <w:t>alacsony mértékű hatás.</w:t>
            </w:r>
          </w:p>
        </w:tc>
      </w:tr>
      <w:tr w:rsidR="00896468"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896468" w:rsidRDefault="00B31E50">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896468" w:rsidRDefault="00B31E50">
            <w:pPr>
              <w:pStyle w:val="P68B1DB1-TableParagraph14"/>
              <w:spacing w:before="108"/>
              <w:jc w:val="both"/>
              <w:rPr>
                <w:bCs/>
              </w:rPr>
            </w:pPr>
            <w:r>
              <w:t>Helyettesíthetőség</w:t>
            </w:r>
          </w:p>
          <w:p w14:paraId="7FE1BAB5" w14:textId="5EC97F2B" w:rsidR="00896468" w:rsidRDefault="00B31E50">
            <w:pPr>
              <w:pStyle w:val="P68B1DB1-TableParagraph13"/>
              <w:spacing w:before="108"/>
              <w:jc w:val="both"/>
            </w:pPr>
            <w:r>
              <w:t>Az (EU) 2016/778 felhatalmazáson alapuló rendelet 6. cikkének (3) bekezdése</w:t>
            </w:r>
            <w:r w:rsidR="001665EC">
              <w:t>.</w:t>
            </w:r>
          </w:p>
          <w:p w14:paraId="7FE1BAB6" w14:textId="38C677A7" w:rsidR="00896468" w:rsidRDefault="00B31E50">
            <w:pPr>
              <w:pStyle w:val="P68B1DB1-TableParagraph13"/>
              <w:spacing w:before="108"/>
              <w:jc w:val="both"/>
            </w:pPr>
            <w:r>
              <w:t xml:space="preserve">A funkció helyettesíthető, ha elfogadható módon és észszerű időn belül helyettesíthető, </w:t>
            </w:r>
            <w:r w:rsidR="00781B86">
              <w:t xml:space="preserve">és ezáltal elkerülhetők </w:t>
            </w:r>
            <w:r>
              <w:t>a reálgazdaságot és a pénzügyi piacokat érintő rendszerszintű problémák. Figyelembe kell venni az alábbiakat:</w:t>
            </w:r>
          </w:p>
          <w:p w14:paraId="7FE1BAB7" w14:textId="77777777" w:rsidR="00896468" w:rsidRDefault="00B31E50">
            <w:pPr>
              <w:pStyle w:val="P68B1DB1-TableParagraph13"/>
              <w:spacing w:before="108"/>
              <w:jc w:val="both"/>
            </w:pPr>
            <w:r>
              <w:t xml:space="preserve">(a) az adott funkció piacának szerkezete, valamint helyettesítő szolgáltatók rendelkezésre állása; </w:t>
            </w:r>
          </w:p>
          <w:p w14:paraId="7FE1BAB8" w14:textId="30E91284" w:rsidR="00896468" w:rsidRDefault="00B31E50">
            <w:pPr>
              <w:pStyle w:val="P68B1DB1-TableParagraph13"/>
              <w:spacing w:before="108"/>
              <w:jc w:val="both"/>
            </w:pPr>
            <w:r>
              <w:t xml:space="preserve">(b) </w:t>
            </w:r>
            <w:r w:rsidR="0064267F" w:rsidRPr="0064267F">
              <w:t>más szolgáltatók alkalmassága a kapacitásuk, a funkciók követelményeinek való megfelelőségük, valamint a piacra lépés vagy terjeszkedés esetleges akadályai tekintetében</w:t>
            </w:r>
            <w:r>
              <w:t xml:space="preserve">; </w:t>
            </w:r>
          </w:p>
          <w:p w14:paraId="7FE1BAB9" w14:textId="78782B6A" w:rsidR="00896468" w:rsidRDefault="00B31E50">
            <w:pPr>
              <w:pStyle w:val="P68B1DB1-TableParagraph13"/>
              <w:spacing w:before="108"/>
              <w:jc w:val="both"/>
            </w:pPr>
            <w:r>
              <w:t xml:space="preserve">(c) </w:t>
            </w:r>
            <w:r w:rsidR="00F34880">
              <w:t>a</w:t>
            </w:r>
            <w:r w:rsidR="00F34880" w:rsidRPr="00F34880">
              <w:t>z érintett tevékenységek más szolgáltatók általi átvételének ösztönzői</w:t>
            </w:r>
            <w:r>
              <w:t xml:space="preserve">; </w:t>
            </w:r>
          </w:p>
          <w:p w14:paraId="7FE1BABA" w14:textId="04B00379" w:rsidR="00896468" w:rsidRDefault="00B31E50">
            <w:pPr>
              <w:pStyle w:val="P68B1DB1-TableParagraph13"/>
              <w:spacing w:before="108"/>
              <w:jc w:val="both"/>
            </w:pPr>
            <w:r>
              <w:t xml:space="preserve">(d) a szolgáltatás igénybevevőinek a szolgáltatóváltáshoz szükséges idő és a szolgáltatóváltással járó költségek, a funkciók átvételéhez más versenytársaknak szükséges idő, illetve </w:t>
            </w:r>
            <w:r w:rsidR="00F34880">
              <w:t xml:space="preserve">annak a vizsgálata, </w:t>
            </w:r>
            <w:r>
              <w:t>hogy ez az idő – a szolgáltatás típusától függően – elegendő-e a jelentős zavarok elkerüléséhez.</w:t>
            </w:r>
          </w:p>
          <w:p w14:paraId="7FE1BABB" w14:textId="48F2EE45" w:rsidR="00896468" w:rsidRDefault="00B31E50">
            <w:pPr>
              <w:pStyle w:val="P68B1DB1-TableParagraph13"/>
              <w:spacing w:before="108"/>
              <w:jc w:val="both"/>
            </w:pPr>
            <w:r>
              <w:t xml:space="preserve">Adjon átfogó értékelést az egyes funkciók helyettesíthetőségének várható mértékéről, figyelembe véve a korábban értékelt különböző dimenziókat (piaci részesedés, piaci koncentráció, helyettesítéshez szükséges idő, jogi akadályok és a piacra lépésre vagy terjeszkedésre vonatkozó működési követelmények). A minőségi értékelés eredményét „Magas”, „Közepes-Magas”, „Közepes-Alacsony” vagy „Alacsony” megjelöléssel kell kifejezni. </w:t>
            </w:r>
          </w:p>
          <w:p w14:paraId="7FE1BABC" w14:textId="35267D11" w:rsidR="00896468" w:rsidRDefault="001665EC">
            <w:pPr>
              <w:pStyle w:val="P68B1DB1-TableParagraph13"/>
              <w:spacing w:before="108"/>
              <w:jc w:val="both"/>
            </w:pPr>
            <w:r>
              <w:t>Magas</w:t>
            </w:r>
            <w:r w:rsidR="00B31E50">
              <w:t>: az adott funkciót észszerű időn belül könnyen elláthatja egy másik bank hasonló feltételekkel;</w:t>
            </w:r>
          </w:p>
          <w:p w14:paraId="7FE1BABD" w14:textId="2098BCE2" w:rsidR="00896468" w:rsidRDefault="001665EC">
            <w:pPr>
              <w:pStyle w:val="P68B1DB1-TableParagraph13"/>
              <w:spacing w:before="108"/>
              <w:jc w:val="both"/>
            </w:pPr>
            <w:r>
              <w:t>Alacsony</w:t>
            </w:r>
            <w:r w:rsidR="00B31E50">
              <w:t xml:space="preserve">: a funkciót nem lehet könnyen vagy gyorsan helyettesíteni; </w:t>
            </w:r>
          </w:p>
          <w:p w14:paraId="7FE1BABE" w14:textId="0AE74C5A" w:rsidR="00896468" w:rsidRDefault="00B31E50">
            <w:pPr>
              <w:pStyle w:val="P68B1DB1-TableParagraph13"/>
              <w:spacing w:before="108"/>
              <w:jc w:val="both"/>
            </w:pPr>
            <w:r>
              <w:t>„</w:t>
            </w:r>
            <w:r w:rsidR="001665EC">
              <w:t>Közepes-Magas</w:t>
            </w:r>
            <w:r>
              <w:t>” és „</w:t>
            </w:r>
            <w:r w:rsidR="001665EC">
              <w:t>Közepes-Alacsony</w:t>
            </w:r>
            <w:r>
              <w:t>”:</w:t>
            </w:r>
            <w:r w:rsidR="006A290F">
              <w:t xml:space="preserve"> </w:t>
            </w:r>
            <w:r w:rsidR="005C4B68">
              <w:t>köztes esetekre</w:t>
            </w:r>
            <w:r>
              <w:t>, figyelembe véve különböző szempontokat (pl. piaci részesedés, piaci koncentráció, helyettesítés</w:t>
            </w:r>
            <w:r w:rsidR="001E1036">
              <w:t>hez szükséges idő</w:t>
            </w:r>
            <w:r>
              <w:t xml:space="preserve">, a piacra lépés vagy terjeszkedés jogi akadályai és </w:t>
            </w:r>
            <w:r w:rsidR="001E1036">
              <w:t xml:space="preserve">működési </w:t>
            </w:r>
            <w:r>
              <w:t>követelményei).</w:t>
            </w:r>
          </w:p>
        </w:tc>
      </w:tr>
      <w:tr w:rsidR="00896468"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896468" w:rsidRDefault="00B31E50">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896468" w:rsidRDefault="00B31E50">
            <w:pPr>
              <w:pStyle w:val="P68B1DB1-TableParagraph14"/>
              <w:spacing w:before="108"/>
              <w:jc w:val="both"/>
              <w:rPr>
                <w:bCs/>
              </w:rPr>
            </w:pPr>
            <w:r>
              <w:t>Kritikus funkció</w:t>
            </w:r>
          </w:p>
          <w:p w14:paraId="7FE1BAC2" w14:textId="77777777" w:rsidR="00896468" w:rsidRDefault="00B31E50">
            <w:pPr>
              <w:pStyle w:val="P68B1DB1-TableParagraph13"/>
              <w:spacing w:before="108"/>
              <w:jc w:val="both"/>
            </w:pPr>
            <w:r>
              <w:t>Ebben az oszlopban fel kell tüntetni, hogy az intézmény által végzett hatás- és helyettesíthetőségi elemzés alapján a gazdasági funkció kritikusnak tekinthető-e az adott ország piacán.</w:t>
            </w:r>
          </w:p>
          <w:p w14:paraId="7FE1BAC3" w14:textId="77777777" w:rsidR="00896468" w:rsidRDefault="00B31E50">
            <w:pPr>
              <w:pStyle w:val="P68B1DB1-TableParagraph13"/>
              <w:spacing w:before="108"/>
              <w:jc w:val="both"/>
            </w:pPr>
            <w:r>
              <w:t>„Igen” vagy „Nem” megjelölés választható.</w:t>
            </w:r>
          </w:p>
        </w:tc>
      </w:tr>
      <w:tr w:rsidR="00896468"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896468" w:rsidRDefault="00B31E50">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896468" w:rsidRDefault="00B31E50">
            <w:pPr>
              <w:pStyle w:val="P68B1DB1-TableParagraph14"/>
              <w:spacing w:before="108"/>
              <w:jc w:val="both"/>
              <w:rPr>
                <w:bCs/>
              </w:rPr>
            </w:pPr>
            <w:r>
              <w:t>A csoport észrevételei</w:t>
            </w:r>
          </w:p>
          <w:p w14:paraId="7FE1BAC7" w14:textId="6668DA41" w:rsidR="00896468" w:rsidRDefault="00B31E50">
            <w:pPr>
              <w:pStyle w:val="P68B1DB1-TableParagraph13"/>
              <w:spacing w:before="108"/>
              <w:jc w:val="both"/>
            </w:pPr>
            <w:r>
              <w:t>Ez a mező lehetővé teszi a</w:t>
            </w:r>
            <w:r w:rsidR="00B3169E">
              <w:t xml:space="preserve">z adatszolgáltató szervezet </w:t>
            </w:r>
            <w:r>
              <w:t>számára, hogy kifejtse a jelentett funkció(k) kritikusságának értékeléséhez használt feltételezéseket.</w:t>
            </w:r>
          </w:p>
        </w:tc>
      </w:tr>
      <w:bookmarkEnd w:id="113"/>
    </w:tbl>
    <w:p w14:paraId="7FE1BAC9" w14:textId="77777777" w:rsidR="00896468" w:rsidRDefault="00896468">
      <w:pPr>
        <w:rPr>
          <w:rFonts w:ascii="Times New Roman" w:hAnsi="Times New Roman" w:cs="Times New Roman"/>
          <w:color w:val="000000" w:themeColor="text1"/>
          <w:sz w:val="20"/>
          <w:szCs w:val="20"/>
        </w:rPr>
      </w:pPr>
    </w:p>
    <w:p w14:paraId="7FE1BACA" w14:textId="77777777" w:rsidR="00896468" w:rsidRDefault="00896468">
      <w:pPr>
        <w:rPr>
          <w:rFonts w:ascii="Times New Roman" w:hAnsi="Times New Roman" w:cs="Times New Roman"/>
          <w:color w:val="000000" w:themeColor="text1"/>
          <w:sz w:val="20"/>
          <w:szCs w:val="20"/>
        </w:rPr>
      </w:pPr>
    </w:p>
    <w:p w14:paraId="7FE1BACB" w14:textId="48446B8B" w:rsidR="00896468" w:rsidRDefault="00B31E50">
      <w:pPr>
        <w:pStyle w:val="P68B1DB1-Instructionsberschrift25"/>
        <w:numPr>
          <w:ilvl w:val="1"/>
          <w:numId w:val="49"/>
        </w:numPr>
        <w:ind w:left="357" w:hanging="357"/>
      </w:pPr>
      <w:bookmarkStart w:id="117" w:name="_Toc210982878"/>
      <w:r>
        <w:t>Z 07.01.2 FUNC 1 LEN.</w:t>
      </w:r>
      <w:bookmarkEnd w:id="117"/>
    </w:p>
    <w:p w14:paraId="7FE1BAD5" w14:textId="77777777" w:rsidR="00896468" w:rsidRDefault="0089646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96468"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896468" w:rsidRDefault="00B31E50">
            <w:pPr>
              <w:pStyle w:val="P68B1DB1-TableParagraph17"/>
              <w:spacing w:before="108"/>
              <w:ind w:left="85"/>
              <w:jc w:val="both"/>
            </w:pPr>
            <w:bookmarkStart w:id="118" w:name="_Hlk162013303"/>
            <w:r>
              <w:t>Oszlopok</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896468" w:rsidRDefault="00B31E50">
            <w:pPr>
              <w:pStyle w:val="P68B1DB1-TableParagraph17"/>
              <w:spacing w:before="108"/>
              <w:ind w:left="85" w:right="1"/>
              <w:jc w:val="both"/>
            </w:pPr>
            <w:r>
              <w:t>Útmutató</w:t>
            </w:r>
          </w:p>
        </w:tc>
      </w:tr>
      <w:tr w:rsidR="00896468"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896468" w:rsidRDefault="00B31E50">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896468" w:rsidRDefault="00B31E50">
            <w:pPr>
              <w:pStyle w:val="P68B1DB1-TableParagraph14"/>
              <w:spacing w:before="108"/>
              <w:ind w:left="85"/>
              <w:jc w:val="both"/>
              <w:rPr>
                <w:bCs/>
              </w:rPr>
            </w:pPr>
            <w:r>
              <w:t>A gazdasági funkció leírása</w:t>
            </w:r>
          </w:p>
          <w:p w14:paraId="7FE1BADB" w14:textId="0F1FA007" w:rsidR="00896468" w:rsidRDefault="00B31E50">
            <w:pPr>
              <w:pStyle w:val="P68B1DB1-TableParagraph17"/>
              <w:spacing w:before="108"/>
              <w:ind w:left="85"/>
            </w:pPr>
            <w:r>
              <w:t xml:space="preserve">Ha a gazdasági funkció „Egyéb” típusú (Z 07.012 FUNC 1 LEN r0130–r0150), akkor ezt a funkciót ismertetni kell. </w:t>
            </w:r>
          </w:p>
        </w:tc>
      </w:tr>
      <w:tr w:rsidR="00896468"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896468" w:rsidRDefault="00B31E50">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896468" w:rsidRDefault="00B31E50">
            <w:pPr>
              <w:pStyle w:val="P68B1DB1-TableParagraph14"/>
              <w:spacing w:before="108"/>
              <w:ind w:left="85"/>
              <w:jc w:val="both"/>
              <w:rPr>
                <w:bCs/>
              </w:rPr>
            </w:pPr>
            <w:r>
              <w:t xml:space="preserve">Piaci részesedés </w:t>
            </w:r>
          </w:p>
          <w:p w14:paraId="7FE1BADF" w14:textId="77846990" w:rsidR="00896468" w:rsidRDefault="00B31E50">
            <w:pPr>
              <w:pStyle w:val="P68B1DB1-TableParagraph17"/>
              <w:spacing w:before="108"/>
              <w:ind w:left="85"/>
            </w:pPr>
            <w:r>
              <w:t xml:space="preserve">Az intézmény vagy csoport piaci részesedésére vonatkozó becslés az adott országban </w:t>
            </w:r>
            <w:r w:rsidR="005036A7">
              <w:t xml:space="preserve">vagy földrajzi térségben </w:t>
            </w:r>
            <w:r>
              <w:t>az adott gazdasági funkció vonatkozásában. A teljes piac százalékos arányában kifejezve</w:t>
            </w:r>
            <w:r w:rsidR="005036A7">
              <w:t xml:space="preserve">, a </w:t>
            </w:r>
            <w:r w:rsidR="008441DA">
              <w:t>Kintlévő</w:t>
            </w:r>
            <w:r w:rsidR="005036A7">
              <w:t xml:space="preserve"> érték alapján</w:t>
            </w:r>
            <w:r>
              <w:t>.</w:t>
            </w:r>
          </w:p>
        </w:tc>
      </w:tr>
      <w:tr w:rsidR="00896468"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896468" w:rsidRDefault="00B31E50">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2DD2A822" w:rsidR="00896468" w:rsidRDefault="008441DA">
            <w:pPr>
              <w:pStyle w:val="P68B1DB1-TableParagraph14"/>
              <w:spacing w:before="108"/>
              <w:rPr>
                <w:bCs/>
              </w:rPr>
            </w:pPr>
            <w:r>
              <w:t xml:space="preserve">Kintlévő </w:t>
            </w:r>
            <w:r w:rsidR="00B31E50">
              <w:t>érték</w:t>
            </w:r>
          </w:p>
          <w:p w14:paraId="7FE1BAE3" w14:textId="77777777" w:rsidR="00896468" w:rsidRDefault="00B31E50">
            <w:pPr>
              <w:pStyle w:val="P68B1DB1-TableParagraph17"/>
              <w:spacing w:before="108"/>
            </w:pPr>
            <w:r>
              <w:t>A nem értékvesztett és értékvesztett hitelek és előlegek bruttó könyv szerinti értéke (beleértve a felhalmozott kamatot).</w:t>
            </w:r>
          </w:p>
          <w:p w14:paraId="7FE1BAE4" w14:textId="0588ECB5" w:rsidR="00896468" w:rsidRDefault="00B31E50">
            <w:pPr>
              <w:pStyle w:val="P68B1DB1-TableParagraph17"/>
              <w:spacing w:before="108"/>
            </w:pPr>
            <w:r>
              <w:t>. A hitelezési állomány a várható jövőbeli hitelezés helyettesítője.</w:t>
            </w:r>
          </w:p>
        </w:tc>
      </w:tr>
      <w:tr w:rsidR="00896468"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896468" w:rsidRDefault="00B31E50">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896468" w:rsidRDefault="00B31E50">
            <w:pPr>
              <w:pStyle w:val="P68B1DB1-TableParagraph14"/>
              <w:spacing w:before="108"/>
              <w:rPr>
                <w:bCs/>
              </w:rPr>
            </w:pPr>
            <w:r>
              <w:t>Ügyfelek száma</w:t>
            </w:r>
          </w:p>
          <w:p w14:paraId="7FE1BAE9" w14:textId="447D13A3" w:rsidR="00896468" w:rsidRDefault="00963D64" w:rsidP="005036A7">
            <w:pPr>
              <w:pStyle w:val="P68B1DB1-TableParagraph17"/>
              <w:spacing w:before="108"/>
            </w:pPr>
            <w:r w:rsidRPr="00963D64">
              <w:br/>
              <w:t>Azon ügyfelek teljes száma, akik</w:t>
            </w:r>
            <w:r w:rsidR="005036A7">
              <w:t>hez hozzárendelhető</w:t>
            </w:r>
            <w:r w:rsidRPr="00963D64">
              <w:t xml:space="preserve"> a c0030 mezőben jelentett</w:t>
            </w:r>
            <w:r>
              <w:t xml:space="preserve"> „</w:t>
            </w:r>
            <w:r w:rsidR="008441DA">
              <w:t>Kintlévő</w:t>
            </w:r>
            <w:r>
              <w:t xml:space="preserve"> érték”</w:t>
            </w:r>
            <w:r w:rsidRPr="00963D64">
              <w:t>. Ha egy ügyfél több hitelterméket/számlát is használ, az ügyfelet csak egyszer számoljuk.</w:t>
            </w:r>
            <w:r>
              <w:t xml:space="preserve"> </w:t>
            </w:r>
            <w:r w:rsidR="00B31E50">
              <w:t>.</w:t>
            </w:r>
          </w:p>
          <w:p w14:paraId="7FE1BAEA" w14:textId="0D67248B" w:rsidR="00896468" w:rsidRDefault="00896468">
            <w:pPr>
              <w:pStyle w:val="P68B1DB1-TableParagraph17"/>
              <w:spacing w:before="108"/>
            </w:pPr>
          </w:p>
        </w:tc>
      </w:tr>
      <w:tr w:rsidR="00896468"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896468" w:rsidRDefault="00B31E50">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48F19CA5" w:rsidR="00896468" w:rsidRDefault="008441DA">
            <w:pPr>
              <w:pStyle w:val="P68B1DB1-TableParagraph14"/>
              <w:spacing w:before="108"/>
              <w:ind w:left="85"/>
              <w:jc w:val="both"/>
              <w:rPr>
                <w:bCs/>
              </w:rPr>
            </w:pPr>
            <w:r>
              <w:t xml:space="preserve">Kintlévő </w:t>
            </w:r>
            <w:r w:rsidR="00B31E50">
              <w:t>érték – határokon átnyúló érték</w:t>
            </w:r>
          </w:p>
          <w:p w14:paraId="7FE1BAF3" w14:textId="78134FF6" w:rsidR="00896468" w:rsidRDefault="00B31E50">
            <w:pPr>
              <w:pStyle w:val="P68B1DB1-TableParagraph13"/>
              <w:spacing w:before="108"/>
              <w:ind w:left="85"/>
              <w:jc w:val="both"/>
            </w:pPr>
            <w:r>
              <w:t>A nem rezidenseknek nyújtott hitelek kintlévő értéke (c0030), lásd: Betétek (c0060) „Határokon átnyúló</w:t>
            </w:r>
            <w:r w:rsidR="00963D64">
              <w:t xml:space="preserve"> érték.</w:t>
            </w:r>
          </w:p>
          <w:p w14:paraId="7FE1BAF4" w14:textId="17EF9166" w:rsidR="00896468" w:rsidRDefault="00896468">
            <w:pPr>
              <w:pStyle w:val="P68B1DB1-TableParagraph13"/>
              <w:spacing w:before="108"/>
              <w:ind w:left="85"/>
              <w:jc w:val="both"/>
              <w:rPr>
                <w:b/>
                <w:bCs/>
              </w:rPr>
            </w:pPr>
          </w:p>
        </w:tc>
      </w:tr>
      <w:bookmarkEnd w:id="118"/>
      <w:tr w:rsidR="00896468"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896468" w:rsidRDefault="00B31E50">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896468" w:rsidRDefault="00B31E50">
            <w:pPr>
              <w:pStyle w:val="P68B1DB1-TableParagraph14"/>
              <w:spacing w:before="108"/>
              <w:jc w:val="both"/>
              <w:rPr>
                <w:bCs/>
              </w:rPr>
            </w:pPr>
            <w:r>
              <w:t>Hatás- és helyettesíthetőségi elemzések</w:t>
            </w:r>
          </w:p>
          <w:p w14:paraId="7FE1BAFB" w14:textId="77777777" w:rsidR="00896468" w:rsidRDefault="00B31E50">
            <w:pPr>
              <w:pStyle w:val="P68B1DB1-TableParagraph13"/>
              <w:spacing w:before="108"/>
            </w:pPr>
            <w:r>
              <w:t>A harmadik felekre gyakorolt hatás értékelési kritériumai a kritikus funkciókról szóló (EU) 2016/778 felhatalmazáson alapuló bizottsági rendelettel összhangban a következő elemeket foglalják magukban:</w:t>
            </w:r>
          </w:p>
          <w:p w14:paraId="7FE1BAFC" w14:textId="77777777" w:rsidR="00896468" w:rsidRDefault="00B31E50">
            <w:pPr>
              <w:pStyle w:val="P68B1DB1-ListParagraph38"/>
              <w:numPr>
                <w:ilvl w:val="0"/>
                <w:numId w:val="131"/>
              </w:numPr>
              <w:spacing w:line="276" w:lineRule="auto"/>
            </w:pPr>
            <w:r>
              <w:t>a tevékenység jellege és kiterjedtsége, az ügyletek globális, nemzeti vagy regionális kiterjedtsége, volumene és száma; az ügyfelek és partnerek száma; azon ügyfelek száma, amelyek számára az intézmény az egyetlen vagy fő banki partner;</w:t>
            </w:r>
          </w:p>
          <w:p w14:paraId="7FE1BAFD" w14:textId="77777777" w:rsidR="00896468" w:rsidRDefault="00B31E50">
            <w:pPr>
              <w:pStyle w:val="P68B1DB1-ListParagraph38"/>
              <w:numPr>
                <w:ilvl w:val="0"/>
                <w:numId w:val="131"/>
              </w:numPr>
              <w:spacing w:line="276" w:lineRule="auto"/>
            </w:pPr>
            <w:r>
              <w:lastRenderedPageBreak/>
              <w:t>az intézmény helyi, regionális, nemzeti vagy európai szintű jelentősége – az érintett piactól függően. Az intézmény jelentősége a piaci részesedés, a beágyazottság, az összetettség és a határokon átnyúló tevékenységek alapján értékelhető;</w:t>
            </w:r>
          </w:p>
          <w:p w14:paraId="7FE1BAFE" w14:textId="0B23E065" w:rsidR="00896468" w:rsidRDefault="00B31E50">
            <w:pPr>
              <w:pStyle w:val="P68B1DB1-ListParagraph38"/>
              <w:numPr>
                <w:ilvl w:val="0"/>
                <w:numId w:val="131"/>
              </w:numPr>
              <w:spacing w:line="276" w:lineRule="auto"/>
            </w:pPr>
            <w:r>
              <w:t xml:space="preserve">a funkció által érintett ügyfelek és érdekelt felek jellege, azaz többek között lakossági ügyfelek, vállalati ügyfelek, bankközi ügyfelek, központi elszámolóházak és </w:t>
            </w:r>
            <w:r w:rsidR="00201349">
              <w:t xml:space="preserve">állami </w:t>
            </w:r>
            <w:r>
              <w:t xml:space="preserve">szervezetek; </w:t>
            </w:r>
          </w:p>
          <w:p w14:paraId="7FE1BAFF" w14:textId="77777777" w:rsidR="00896468" w:rsidRDefault="00B31E50">
            <w:pPr>
              <w:pStyle w:val="P68B1DB1-ListParagraph38"/>
              <w:numPr>
                <w:ilvl w:val="0"/>
                <w:numId w:val="131"/>
              </w:numPr>
              <w:spacing w:line="276" w:lineRule="auto"/>
            </w:pPr>
            <w:r>
              <w:t>a funkció zavarának a piacokra, infrastruktúrákra, ügyfelekre és közszolgáltatásokra gyakorolt potenciális hatása. Az értékelés kiterjedhet mindenekelőtt az érintett piacok likviditására, az ügyfelek tevékenységére kifejtett hatásokra és az ügyfelek tevékenysége megzavarásának mértékére, valamint a rövid távú likviditási szükségletekre; a partnerek, ügyfelek és a nyilvánosság általi észlelhetőség; az ügyfelek reagáló képessége és reakciójuk sebessége; a más piacok működése szempontjából vizsgált jelentőség; a más piacok likviditására, működési folyamataira, szerkezetére gyakorolt hatás; a fő ügyfelekhez kapcsolódó más partnerekre gyakorolt hatás, valamint a funkciónak más szolgáltatásokkal való összefüggései.</w:t>
            </w:r>
          </w:p>
          <w:p w14:paraId="7FE1BB00"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896468" w:rsidRDefault="00B31E50">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7A643F28" w:rsidR="00896468" w:rsidRDefault="0087358E">
            <w:pPr>
              <w:pStyle w:val="P68B1DB1-TableParagraph14"/>
              <w:spacing w:before="108"/>
              <w:jc w:val="both"/>
              <w:rPr>
                <w:bCs/>
              </w:rPr>
            </w:pPr>
            <w:r>
              <w:t>Jelleg és kiterjedtség</w:t>
            </w:r>
          </w:p>
          <w:p w14:paraId="7FE1BB04" w14:textId="72D7D1C5" w:rsidR="00896468" w:rsidRDefault="00B31E50">
            <w:pPr>
              <w:pStyle w:val="P68B1DB1-TableParagraph13"/>
              <w:spacing w:before="108"/>
              <w:jc w:val="both"/>
            </w:pPr>
            <w:r>
              <w:t xml:space="preserve">A globális, nemzeti vagy regionális kiterjedtség, </w:t>
            </w:r>
            <w:r w:rsidR="00201349">
              <w:t>tranzakciók volumene és száma</w:t>
            </w:r>
            <w:r>
              <w:t>; az ügyfelek és partnerek száma; azon ügyfelek száma, amelyek számára az intézmény az egyetlen vagy fő banki partner;</w:t>
            </w:r>
          </w:p>
        </w:tc>
      </w:tr>
      <w:tr w:rsidR="00896468"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896468" w:rsidRDefault="00B31E50">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2782584A" w:rsidR="00896468" w:rsidRDefault="00B31E50">
            <w:pPr>
              <w:pStyle w:val="P68B1DB1-TableParagraph14"/>
              <w:spacing w:before="108"/>
              <w:jc w:val="both"/>
              <w:rPr>
                <w:bCs/>
              </w:rPr>
            </w:pPr>
            <w:r>
              <w:t>Méretmutató</w:t>
            </w:r>
            <w:r w:rsidR="001D34A8">
              <w:t xml:space="preserve"> 1</w:t>
            </w:r>
          </w:p>
          <w:p w14:paraId="50B226E0" w14:textId="10264FE4" w:rsidR="00896468" w:rsidRDefault="00201349">
            <w:pPr>
              <w:pStyle w:val="P68B1DB1-Normal31"/>
              <w:spacing w:line="276" w:lineRule="auto"/>
              <w:jc w:val="both"/>
            </w:pPr>
            <w:r>
              <w:t xml:space="preserve">Értékelje a bank fontosságát ezekben a tevékenységekben. </w:t>
            </w:r>
            <w:r w:rsidR="00B31E50">
              <w:t xml:space="preserve">Ezt az értékelést minőségileg </w:t>
            </w:r>
            <w:r w:rsidR="00F55B1D">
              <w:t xml:space="preserve">a </w:t>
            </w:r>
            <w:r w:rsidR="00B31E50">
              <w:t>„nagy”, „közepes-magas”, „közepes-alacsony” vagy „alacsony”</w:t>
            </w:r>
            <w:r w:rsidR="00F55B1D">
              <w:t xml:space="preserve"> kategóriák</w:t>
            </w:r>
            <w:r w:rsidR="00B31E50">
              <w:t xml:space="preserve"> fejezik ki. </w:t>
            </w:r>
            <w:r w:rsidRPr="00F63DCF">
              <w:t xml:space="preserve">„Magas” értéket adjon meg, ha a </w:t>
            </w:r>
            <w:r>
              <w:t>funkció</w:t>
            </w:r>
            <w:r w:rsidRPr="00F63DCF">
              <w:t xml:space="preserve"> mérete nagy, „Közepes-Magas” értéket, ha közepes, „Közepes-Alacsony” értéket, ha kicsi, és „Alacsony” értéket, ha elhanyagolható.</w:t>
            </w:r>
            <w:r w:rsidDel="00201349">
              <w:t xml:space="preserve"> </w:t>
            </w:r>
            <w:r w:rsidR="00B31E50">
              <w:t>A minőségi értékeléshez olyan makrogazdasági változókat kell használni, mint a GDP, a népesség (</w:t>
            </w:r>
            <w:r w:rsidR="00F55B1D">
              <w:t>b</w:t>
            </w:r>
            <w:r w:rsidR="00B31E50">
              <w:t xml:space="preserve">etétek, hitelezés, fizetések, készpénz, </w:t>
            </w:r>
            <w:r w:rsidR="00F55B1D">
              <w:t>kiegyenlítés</w:t>
            </w:r>
            <w:r w:rsidR="00B31E50">
              <w:t xml:space="preserve">, elszámolás és letéti szolgáltatások esetében) vagy a piac mérete (tőkepiacok és </w:t>
            </w:r>
            <w:r w:rsidR="00F55B1D">
              <w:t xml:space="preserve">bankközi </w:t>
            </w:r>
            <w:r w:rsidR="00B31E50">
              <w:t xml:space="preserve">finanszírozás esetében). </w:t>
            </w:r>
          </w:p>
          <w:p w14:paraId="7FE1BB08" w14:textId="658E0B92" w:rsidR="00896468" w:rsidRDefault="00896468">
            <w:pPr>
              <w:pStyle w:val="TableParagraph"/>
              <w:spacing w:before="108"/>
              <w:rPr>
                <w:rFonts w:ascii="Times New Roman" w:hAnsi="Times New Roman" w:cs="Times New Roman"/>
                <w:color w:val="000000" w:themeColor="text1"/>
                <w:sz w:val="20"/>
                <w:szCs w:val="20"/>
              </w:rPr>
            </w:pPr>
          </w:p>
          <w:p w14:paraId="7FE1BB09" w14:textId="28D3986C" w:rsidR="00896468" w:rsidRDefault="00B31E50">
            <w:pPr>
              <w:pStyle w:val="P68B1DB1-ListParagraph32"/>
              <w:numPr>
                <w:ilvl w:val="0"/>
                <w:numId w:val="130"/>
              </w:numPr>
              <w:spacing w:line="276" w:lineRule="auto"/>
            </w:pPr>
            <w:r>
              <w:t xml:space="preserve">Szakértői vélemény a kintlévő hitelek értékéről (c0030) uniós szempontból </w:t>
            </w:r>
            <w:r>
              <w:rPr>
                <w:i/>
              </w:rPr>
              <w:t>[az érintett piacnál egy szinttel magasabb].</w:t>
            </w:r>
            <w:r>
              <w:t xml:space="preserve"> E méretmutató értékelésekor figyelembe kell venni a potenciális jövőbeli hiteláramlásokat is. Ha úgy ítéli meg, hogy a múltbeli tevékenység pontosan tükrözi a rövid és középtávon tervezett hitelezési tevékenységet, használhatja a meglévő hitelezési állományt a jövőbeli hiteláramlások </w:t>
            </w:r>
            <w:r w:rsidR="00B10982">
              <w:t>becslésére</w:t>
            </w:r>
            <w:r>
              <w:t xml:space="preserve">. </w:t>
            </w:r>
          </w:p>
          <w:p w14:paraId="7FE1BB0A" w14:textId="77777777" w:rsidR="00896468" w:rsidRDefault="00B31E50">
            <w:pPr>
              <w:pStyle w:val="P68B1DB1-ListParagraph32"/>
              <w:numPr>
                <w:ilvl w:val="1"/>
                <w:numId w:val="127"/>
              </w:numPr>
              <w:spacing w:line="276" w:lineRule="auto"/>
            </w:pPr>
            <w:r>
              <w:t>Uniós szempontból Ön szerint mekkora a kintlévő és lekötött hitelek értéke a jövőbeli hiteláramlások helyettesítőjeként?</w:t>
            </w:r>
          </w:p>
          <w:p w14:paraId="7FE1BB0B"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896468" w:rsidRDefault="00B31E50">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26940E25" w:rsidR="00896468" w:rsidRDefault="00B31E50">
            <w:pPr>
              <w:pStyle w:val="P68B1DB1-TableParagraph14"/>
              <w:spacing w:before="108"/>
              <w:jc w:val="both"/>
              <w:rPr>
                <w:bCs/>
              </w:rPr>
            </w:pPr>
            <w:r>
              <w:t>Méretmutató</w:t>
            </w:r>
            <w:r w:rsidR="001D34A8">
              <w:t xml:space="preserve"> 2</w:t>
            </w:r>
          </w:p>
          <w:p w14:paraId="68B7FEDE" w14:textId="4F0B516D" w:rsidR="00896468" w:rsidRDefault="00201349">
            <w:pPr>
              <w:pStyle w:val="P68B1DB1-Normal31"/>
              <w:spacing w:line="276" w:lineRule="auto"/>
              <w:jc w:val="both"/>
            </w:pPr>
            <w:r>
              <w:t xml:space="preserve">Értékelje a bank fontosságát ezekben a tevékenységekben. </w:t>
            </w:r>
            <w:r w:rsidR="00B31E50">
              <w:t xml:space="preserve">Ezt az értékelést minőségileg </w:t>
            </w:r>
            <w:r w:rsidR="00F55B1D">
              <w:t xml:space="preserve">a </w:t>
            </w:r>
            <w:r w:rsidR="00B31E50">
              <w:t>„nagy”, „közepes-magas”, „közepes-alacsony” vagy „alacsony”</w:t>
            </w:r>
            <w:r w:rsidR="00F55B1D">
              <w:t xml:space="preserve"> kategóriák</w:t>
            </w:r>
            <w:r w:rsidR="00B31E50">
              <w:t xml:space="preserve"> fejezik ki.</w:t>
            </w:r>
            <w:r>
              <w:t xml:space="preserve"> </w:t>
            </w:r>
            <w:r w:rsidRPr="00F63DCF">
              <w:t xml:space="preserve">„Magas” értéket adjon meg, ha a </w:t>
            </w:r>
            <w:r>
              <w:t>funkció</w:t>
            </w:r>
            <w:r w:rsidRPr="00F63DCF">
              <w:t xml:space="preserve"> mérete nagy, „Közepes-Magas” értéket, ha közepes, „Közepes-Alacsony” értéket, ha kicsi, és „Alacsony” értéket, ha elhanyagolható.</w:t>
            </w:r>
            <w:r w:rsidR="00B31E50">
              <w:t xml:space="preserve"> A minőségi értékeléshez olyan makrogazdasági változókat kell használni, mint a GDP, a népesség (</w:t>
            </w:r>
            <w:r w:rsidR="00F55B1D">
              <w:t>b</w:t>
            </w:r>
            <w:r w:rsidR="00B31E50">
              <w:t xml:space="preserve">etétek, hitelezés, fizetések, készpénz, </w:t>
            </w:r>
            <w:r w:rsidR="00F55B1D">
              <w:t>kiegyenlítés</w:t>
            </w:r>
            <w:r w:rsidR="00B31E50">
              <w:t xml:space="preserve">, elszámolás és letéti szolgáltatások esetében) vagy a piac mérete (tőkepiacok és </w:t>
            </w:r>
            <w:r w:rsidR="00F55B1D">
              <w:t xml:space="preserve">bankközi </w:t>
            </w:r>
            <w:r w:rsidR="00B31E50">
              <w:t xml:space="preserve">finanszírozás esetében). </w:t>
            </w:r>
          </w:p>
          <w:p w14:paraId="7FE1BB0F" w14:textId="40E27EAB" w:rsidR="00896468" w:rsidRDefault="00896468">
            <w:pPr>
              <w:pStyle w:val="TableParagraph"/>
              <w:spacing w:before="108"/>
              <w:rPr>
                <w:rFonts w:ascii="Times New Roman" w:hAnsi="Times New Roman" w:cs="Times New Roman"/>
                <w:color w:val="000000" w:themeColor="text1"/>
                <w:sz w:val="20"/>
                <w:szCs w:val="20"/>
              </w:rPr>
            </w:pPr>
          </w:p>
          <w:p w14:paraId="7FE1BB10" w14:textId="4C225025" w:rsidR="00896468" w:rsidRDefault="00B31E50">
            <w:pPr>
              <w:pStyle w:val="P68B1DB1-ListParagraph32"/>
              <w:numPr>
                <w:ilvl w:val="0"/>
                <w:numId w:val="121"/>
              </w:numPr>
              <w:spacing w:line="276" w:lineRule="auto"/>
            </w:pPr>
            <w:r>
              <w:lastRenderedPageBreak/>
              <w:t xml:space="preserve">Szakértői vélemény az ügyfelek </w:t>
            </w:r>
            <w:r>
              <w:rPr>
                <w:b/>
              </w:rPr>
              <w:t>számáról</w:t>
            </w:r>
            <w:r>
              <w:t xml:space="preserve"> (c0040) </w:t>
            </w:r>
            <w:r>
              <w:rPr>
                <w:b/>
              </w:rPr>
              <w:t>nemzeti</w:t>
            </w:r>
            <w:r>
              <w:t xml:space="preserve"> szemszögből </w:t>
            </w:r>
            <w:r>
              <w:rPr>
                <w:i/>
              </w:rPr>
              <w:t>[az érintett piac szintjén]</w:t>
            </w:r>
            <w:r>
              <w:t>:</w:t>
            </w:r>
          </w:p>
          <w:p w14:paraId="7FE1BB11" w14:textId="24EDF484" w:rsidR="00896468" w:rsidRDefault="00B31E50">
            <w:pPr>
              <w:pStyle w:val="P68B1DB1-ListParagraph32"/>
              <w:numPr>
                <w:ilvl w:val="1"/>
                <w:numId w:val="121"/>
              </w:numPr>
              <w:spacing w:line="276" w:lineRule="auto"/>
            </w:pPr>
            <w:r>
              <w:t xml:space="preserve">Nemzeti szempontból </w:t>
            </w:r>
            <w:r w:rsidR="00DB744F">
              <w:t xml:space="preserve">mekkorára </w:t>
            </w:r>
            <w:r>
              <w:t>becsülik az intézmény ügyfeleinek teljes számát?</w:t>
            </w:r>
          </w:p>
          <w:p w14:paraId="7FE1BB17" w14:textId="77777777" w:rsidR="00896468" w:rsidRDefault="00896468">
            <w:pPr>
              <w:rPr>
                <w:rFonts w:ascii="Times New Roman" w:hAnsi="Times New Roman"/>
                <w:color w:val="000000" w:themeColor="text1"/>
                <w:sz w:val="20"/>
                <w:szCs w:val="20"/>
              </w:rPr>
            </w:pPr>
          </w:p>
        </w:tc>
      </w:tr>
      <w:tr w:rsidR="00896468"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896468" w:rsidRDefault="00B31E50">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896468" w:rsidRDefault="00B31E50">
            <w:pPr>
              <w:pStyle w:val="P68B1DB1-TableParagraph14"/>
              <w:spacing w:before="108"/>
              <w:jc w:val="both"/>
              <w:rPr>
                <w:bCs/>
              </w:rPr>
            </w:pPr>
            <w:r>
              <w:t>Határokon átnyúló mutató</w:t>
            </w:r>
          </w:p>
          <w:p w14:paraId="7FE1BB1B" w14:textId="77777777" w:rsidR="00896468" w:rsidRDefault="00B31E50">
            <w:pPr>
              <w:pStyle w:val="P68B1DB1-TableParagraph13"/>
              <w:spacing w:before="108"/>
            </w:pPr>
            <w:r>
              <w:t>Értékelje a határokon átnyúló tevékenységek relatív jelentőségét a különböző gazdasági funkciók szempontjából.</w:t>
            </w:r>
          </w:p>
          <w:p w14:paraId="7FE1BB1C" w14:textId="77777777" w:rsidR="00896468" w:rsidRDefault="00B31E50">
            <w:pPr>
              <w:pStyle w:val="P68B1DB1-TableParagraph13"/>
              <w:spacing w:before="108"/>
            </w:pPr>
            <w:r>
              <w:t xml:space="preserve">Ezt nem kell értékelni olyan jelentések esetében, amelyekben az érintett piac regionálisnak minősül. </w:t>
            </w:r>
          </w:p>
          <w:p w14:paraId="7FE1BB1D" w14:textId="77777777" w:rsidR="00896468" w:rsidRDefault="00B31E50">
            <w:pPr>
              <w:pStyle w:val="P68B1DB1-TableParagraph33"/>
              <w:spacing w:before="108"/>
              <w:jc w:val="both"/>
            </w:pPr>
            <w:r>
              <w:t xml:space="preserve">Azon uniós országok száma, amelyekben az adatszolgáltató szervezet piaci részesedése meghaladja a 2%-ot (a kintlévő hitelek értékében kifejezve). Jelentés: </w:t>
            </w:r>
          </w:p>
          <w:p w14:paraId="7FE1BB1E" w14:textId="1382E45D" w:rsidR="00896468" w:rsidRDefault="00B31E50">
            <w:pPr>
              <w:pStyle w:val="P68B1DB1-TableParagraph33"/>
              <w:numPr>
                <w:ilvl w:val="0"/>
                <w:numId w:val="282"/>
              </w:numPr>
              <w:spacing w:before="108"/>
              <w:jc w:val="both"/>
            </w:pPr>
            <w:r>
              <w:t xml:space="preserve">≤ 1 ország; </w:t>
            </w:r>
          </w:p>
          <w:p w14:paraId="7FE1BB1F" w14:textId="1384F453" w:rsidR="00896468" w:rsidRDefault="00B31E50">
            <w:pPr>
              <w:pStyle w:val="P68B1DB1-TableParagraph33"/>
              <w:numPr>
                <w:ilvl w:val="0"/>
                <w:numId w:val="282"/>
              </w:numPr>
              <w:spacing w:before="108"/>
              <w:jc w:val="both"/>
            </w:pPr>
            <w:r>
              <w:t xml:space="preserve">2–3 tagállam </w:t>
            </w:r>
          </w:p>
          <w:p w14:paraId="7FE1BB20" w14:textId="2782B087" w:rsidR="00896468" w:rsidRDefault="00B31E50">
            <w:pPr>
              <w:pStyle w:val="P68B1DB1-TableParagraph33"/>
              <w:numPr>
                <w:ilvl w:val="0"/>
                <w:numId w:val="282"/>
              </w:numPr>
              <w:spacing w:before="108"/>
              <w:jc w:val="both"/>
            </w:pPr>
            <w:r>
              <w:t xml:space="preserve">4–5 ország, </w:t>
            </w:r>
          </w:p>
          <w:p w14:paraId="7FE1BB21" w14:textId="6E7B19E5" w:rsidR="00896468" w:rsidRDefault="00B31E50">
            <w:pPr>
              <w:pStyle w:val="P68B1DB1-TableParagraph33"/>
              <w:numPr>
                <w:ilvl w:val="0"/>
                <w:numId w:val="282"/>
              </w:numPr>
              <w:spacing w:before="108"/>
              <w:jc w:val="both"/>
              <w:rPr>
                <w:rFonts w:cs="Times New Roman"/>
                <w:color w:val="000000" w:themeColor="text1"/>
              </w:rPr>
            </w:pPr>
            <w:r>
              <w:t>&gt; 5 ország</w:t>
            </w:r>
          </w:p>
        </w:tc>
      </w:tr>
      <w:tr w:rsidR="00896468"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896468" w:rsidRDefault="00B31E50">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896468" w:rsidRDefault="00B31E50">
            <w:pPr>
              <w:pStyle w:val="P68B1DB1-TableParagraph13"/>
              <w:spacing w:before="108"/>
              <w:jc w:val="both"/>
            </w:pPr>
            <w:r>
              <w:rPr>
                <w:b/>
              </w:rPr>
              <w:t xml:space="preserve">Relevancia </w:t>
            </w:r>
            <w:r>
              <w:t xml:space="preserve">– </w:t>
            </w:r>
          </w:p>
          <w:p w14:paraId="7FE1BB25" w14:textId="57CA25B9" w:rsidR="00896468" w:rsidRDefault="00B31E50">
            <w:pPr>
              <w:pStyle w:val="P68B1DB1-TableParagraph13"/>
              <w:spacing w:before="108"/>
              <w:jc w:val="both"/>
            </w:pPr>
            <w:r>
              <w:t xml:space="preserve">A helyi, regionális, nemzeti vagy európai szintű jelentősége – az érintett piactól függően. Az intézmény jelentősége a piaci részesedés, </w:t>
            </w:r>
            <w:r w:rsidR="00F55B1D">
              <w:t>az összekapcsoltság</w:t>
            </w:r>
            <w:r>
              <w:t>, az összetettség és a határokon átnyúló tevékenységek alapján értékelhető;</w:t>
            </w:r>
          </w:p>
          <w:p w14:paraId="7FE1BB26" w14:textId="77777777" w:rsidR="00896468" w:rsidRDefault="00B31E50">
            <w:pPr>
              <w:pStyle w:val="P68B1DB1-TableParagraph14"/>
              <w:spacing w:before="108"/>
              <w:jc w:val="both"/>
              <w:rPr>
                <w:bCs/>
              </w:rPr>
            </w:pPr>
            <w:r>
              <w:t>Piaci részesedés</w:t>
            </w:r>
          </w:p>
          <w:p w14:paraId="4A7FDA65" w14:textId="4F3184CA" w:rsidR="00896468" w:rsidRDefault="00B31E50">
            <w:pPr>
              <w:pStyle w:val="P68B1DB1-Normal31"/>
              <w:spacing w:line="276" w:lineRule="auto"/>
              <w:jc w:val="both"/>
            </w:pPr>
            <w:r>
              <w:t>Értékel</w:t>
            </w:r>
            <w:r w:rsidR="00F55B1D">
              <w:t>je</w:t>
            </w:r>
            <w:r>
              <w:t>, hogy a</w:t>
            </w:r>
            <w:r w:rsidR="00F55B1D">
              <w:t>z adatszolgáltató szervezet</w:t>
            </w:r>
            <w:r>
              <w:t xml:space="preserve"> piaci részesedése mennyire </w:t>
            </w:r>
            <w:r w:rsidR="00F55B1D">
              <w:t xml:space="preserve">jelentős </w:t>
            </w:r>
            <w:r>
              <w:t xml:space="preserve">a nemzeti vagy más érintett piachoz képest, amint az a táblában szerepel. Ezt az értékelést minőségileg a következőképpen fejezik ki: </w:t>
            </w:r>
          </w:p>
          <w:p w14:paraId="25EA33C7" w14:textId="77777777" w:rsidR="00896468" w:rsidRDefault="00B31E50">
            <w:pPr>
              <w:pStyle w:val="P68B1DB1-ListParagraph32"/>
              <w:numPr>
                <w:ilvl w:val="0"/>
                <w:numId w:val="276"/>
              </w:numPr>
              <w:spacing w:line="276" w:lineRule="auto"/>
              <w:jc w:val="both"/>
            </w:pPr>
            <w:r>
              <w:t>Magas, ha a piaci részesedés nagy</w:t>
            </w:r>
          </w:p>
          <w:p w14:paraId="24D12007" w14:textId="77777777" w:rsidR="00896468" w:rsidRDefault="00B31E50">
            <w:pPr>
              <w:pStyle w:val="P68B1DB1-ListParagraph32"/>
              <w:numPr>
                <w:ilvl w:val="0"/>
                <w:numId w:val="276"/>
              </w:numPr>
              <w:spacing w:line="276" w:lineRule="auto"/>
              <w:jc w:val="both"/>
            </w:pPr>
            <w:r>
              <w:t>Közepesen magas, ha a piaci részesedés közepes</w:t>
            </w:r>
          </w:p>
          <w:p w14:paraId="05C67201" w14:textId="39C016E5" w:rsidR="00896468" w:rsidRDefault="00B31E50">
            <w:pPr>
              <w:pStyle w:val="P68B1DB1-ListParagraph32"/>
              <w:numPr>
                <w:ilvl w:val="0"/>
                <w:numId w:val="276"/>
              </w:numPr>
              <w:spacing w:line="276" w:lineRule="auto"/>
              <w:jc w:val="both"/>
            </w:pPr>
            <w:r>
              <w:t xml:space="preserve">Közepesen alacsony, ha a piaci részesedés </w:t>
            </w:r>
            <w:r w:rsidR="005B51FD">
              <w:t>kicsi</w:t>
            </w:r>
            <w:r>
              <w:t xml:space="preserve">, vagy </w:t>
            </w:r>
          </w:p>
          <w:p w14:paraId="29105274" w14:textId="77777777" w:rsidR="00896468" w:rsidRDefault="00B31E50">
            <w:pPr>
              <w:pStyle w:val="P68B1DB1-ListParagraph32"/>
              <w:numPr>
                <w:ilvl w:val="0"/>
                <w:numId w:val="276"/>
              </w:numPr>
              <w:spacing w:line="276" w:lineRule="auto"/>
              <w:jc w:val="both"/>
            </w:pPr>
            <w:r>
              <w:t xml:space="preserve">Alacsony, ha a piaci részesedés elhanyagolható. </w:t>
            </w:r>
          </w:p>
          <w:p w14:paraId="7FE1BB2B" w14:textId="586F4387" w:rsidR="00896468" w:rsidRDefault="00896468">
            <w:pPr>
              <w:pStyle w:val="ListParagraph"/>
              <w:spacing w:line="276" w:lineRule="auto"/>
              <w:jc w:val="both"/>
              <w:rPr>
                <w:rFonts w:ascii="Times New Roman" w:eastAsiaTheme="minorHAnsi" w:hAnsi="Times New Roman"/>
                <w:color w:val="000000" w:themeColor="text1"/>
                <w:sz w:val="20"/>
                <w:szCs w:val="20"/>
              </w:rPr>
            </w:pPr>
          </w:p>
          <w:p w14:paraId="7FE1BB2C" w14:textId="193B1D0B" w:rsidR="00896468" w:rsidRDefault="00B31E50">
            <w:pPr>
              <w:pStyle w:val="P68B1DB1-TableParagraph13"/>
              <w:spacing w:before="108"/>
            </w:pPr>
            <w:r>
              <w:t xml:space="preserve">Ez az értékelés figyelembe veszi </w:t>
            </w:r>
            <w:r w:rsidR="00F55B1D">
              <w:t>az adatszolgáltató szervezet</w:t>
            </w:r>
            <w:r>
              <w:t xml:space="preserve"> országának (vagy más érintett piacának) piaci szerkezetét és a részben jelentett piaci részesedéseket. </w:t>
            </w:r>
          </w:p>
          <w:p w14:paraId="7FE1BB2D" w14:textId="0BD5FE46" w:rsidR="00896468" w:rsidRDefault="00B31E50">
            <w:pPr>
              <w:pStyle w:val="P68B1DB1-TableParagraph13"/>
              <w:spacing w:before="108"/>
            </w:pPr>
            <w:r>
              <w:t>2.</w:t>
            </w:r>
            <w:r w:rsidR="005B51FD">
              <w:t>Mennyiségi</w:t>
            </w:r>
            <w:r>
              <w:t xml:space="preserve"> adatok:</w:t>
            </w:r>
          </w:p>
          <w:p w14:paraId="7FE1BB2E" w14:textId="2B887DA7" w:rsidR="00896468" w:rsidRDefault="00B31E50">
            <w:pPr>
              <w:pStyle w:val="P68B1DB1-ListParagraph32"/>
              <w:numPr>
                <w:ilvl w:val="0"/>
                <w:numId w:val="117"/>
              </w:numPr>
              <w:spacing w:line="276" w:lineRule="auto"/>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F55B1D">
              <w:t>szükséges</w:t>
            </w:r>
            <w:r>
              <w:t>).</w:t>
            </w:r>
          </w:p>
          <w:p w14:paraId="7FE1BB2F" w14:textId="77777777" w:rsidR="00896468" w:rsidRDefault="00896468">
            <w:pPr>
              <w:pStyle w:val="TableParagraph"/>
              <w:spacing w:before="108"/>
              <w:rPr>
                <w:rFonts w:ascii="Times New Roman" w:hAnsi="Times New Roman" w:cs="Times New Roman"/>
                <w:color w:val="000000" w:themeColor="text1"/>
                <w:sz w:val="20"/>
                <w:szCs w:val="20"/>
              </w:rPr>
            </w:pPr>
          </w:p>
          <w:p w14:paraId="7FE1BB30"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896468" w:rsidRDefault="00B31E50">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896468" w:rsidRDefault="00B31E50">
            <w:pPr>
              <w:pStyle w:val="P68B1DB1-TableParagraph14"/>
              <w:spacing w:before="108"/>
              <w:jc w:val="both"/>
              <w:rPr>
                <w:bCs/>
              </w:rPr>
            </w:pPr>
            <w:r>
              <w:t>Piacszerkezet – piaci koncentráció</w:t>
            </w:r>
          </w:p>
          <w:p w14:paraId="7FE1BB37" w14:textId="26CDD170" w:rsidR="00896468" w:rsidRDefault="00B31E50">
            <w:pPr>
              <w:pStyle w:val="P68B1DB1-TableParagraph13"/>
              <w:spacing w:before="108"/>
            </w:pPr>
            <w:r>
              <w:t>A jelenleg</w:t>
            </w:r>
            <w:r w:rsidR="00F55B1D">
              <w:t>i</w:t>
            </w:r>
            <w:r>
              <w:t xml:space="preserve"> versenytársak számával mért piaci koncentráció</w:t>
            </w:r>
            <w:r w:rsidR="00F55B1D">
              <w:t xml:space="preserve">, amelyek </w:t>
            </w:r>
            <w:r>
              <w:t>hasonló gazdasági funkciók</w:t>
            </w:r>
            <w:r w:rsidR="00F55B1D">
              <w:t>at látnak el</w:t>
            </w:r>
            <w:r>
              <w:t xml:space="preserve"> és/vagy azonos feltételek mellett hasonló szolgáltatások</w:t>
            </w:r>
            <w:r w:rsidR="00F55B1D">
              <w:t>at</w:t>
            </w:r>
            <w:r>
              <w:t xml:space="preserve"> </w:t>
            </w:r>
            <w:r w:rsidR="00F55B1D">
              <w:t xml:space="preserve">nyújtanak </w:t>
            </w:r>
            <w:r>
              <w:t xml:space="preserve">(azaz </w:t>
            </w:r>
            <w:r w:rsidR="00F55B1D">
              <w:t xml:space="preserve"> </w:t>
            </w:r>
            <w:r>
              <w:t xml:space="preserve">összehasonlítható </w:t>
            </w:r>
            <w:r w:rsidR="00F55B1D">
              <w:t xml:space="preserve">a </w:t>
            </w:r>
            <w:r>
              <w:t xml:space="preserve">terjedelem és </w:t>
            </w:r>
            <w:r w:rsidR="00F55B1D">
              <w:t xml:space="preserve">a </w:t>
            </w:r>
            <w:r>
              <w:t xml:space="preserve">minőség, valamint összehasonlítható </w:t>
            </w:r>
            <w:r w:rsidR="00F55B1D">
              <w:t>a költség</w:t>
            </w:r>
            <w:r>
              <w:t xml:space="preserve">), </w:t>
            </w:r>
            <w:r w:rsidR="00F55B1D">
              <w:t xml:space="preserve">és </w:t>
            </w:r>
            <w:r>
              <w:t>amely</w:t>
            </w:r>
            <w:r w:rsidR="00F55B1D">
              <w:t>ek</w:t>
            </w:r>
            <w:r>
              <w:t xml:space="preserve"> potenciálisan átvehet</w:t>
            </w:r>
            <w:r w:rsidR="00F55B1D">
              <w:t>ik</w:t>
            </w:r>
            <w:r>
              <w:t xml:space="preserve"> a</w:t>
            </w:r>
            <w:r w:rsidR="00F55B1D">
              <w:t>z adatszolgáltató szervezet</w:t>
            </w:r>
            <w:r>
              <w:t xml:space="preserve"> ügyfelei</w:t>
            </w:r>
            <w:r w:rsidR="00F55B1D">
              <w:t>t</w:t>
            </w:r>
            <w:r>
              <w:t xml:space="preserve"> és/vagy üzleti tevékenység</w:t>
            </w:r>
            <w:r w:rsidR="00F55B1D">
              <w:t>ét</w:t>
            </w:r>
            <w:r>
              <w:t xml:space="preserve"> (</w:t>
            </w:r>
            <w:r w:rsidR="00EF565F">
              <w:t xml:space="preserve">vagy ennek </w:t>
            </w:r>
            <w:r>
              <w:t>egy rész</w:t>
            </w:r>
            <w:r w:rsidR="00EF565F">
              <w:t>ét</w:t>
            </w:r>
            <w:r>
              <w:t xml:space="preserve">) észszerű időn belül. </w:t>
            </w:r>
          </w:p>
          <w:p w14:paraId="7FE1BB38" w14:textId="77777777" w:rsidR="00896468" w:rsidRDefault="00B31E50">
            <w:pPr>
              <w:pStyle w:val="P68B1DB1-TableParagraph13"/>
              <w:spacing w:before="108"/>
            </w:pPr>
            <w:r>
              <w:t xml:space="preserve">Ezt kategóriákban kell jelenteni, amelyek minden egyes alfunkció esetében azonosak. </w:t>
            </w:r>
          </w:p>
          <w:p w14:paraId="6E06F623" w14:textId="77777777" w:rsidR="00896468" w:rsidRDefault="00B31E50">
            <w:pPr>
              <w:pStyle w:val="P68B1DB1-ListParagraph32"/>
              <w:numPr>
                <w:ilvl w:val="0"/>
                <w:numId w:val="277"/>
              </w:numPr>
              <w:jc w:val="both"/>
            </w:pPr>
            <w:r>
              <w:lastRenderedPageBreak/>
              <w:t xml:space="preserve">&gt; 20 versenytárs; </w:t>
            </w:r>
          </w:p>
          <w:p w14:paraId="1C1D9521" w14:textId="77777777" w:rsidR="00896468" w:rsidRDefault="00B31E50">
            <w:pPr>
              <w:pStyle w:val="P68B1DB1-ListParagraph32"/>
              <w:numPr>
                <w:ilvl w:val="0"/>
                <w:numId w:val="277"/>
              </w:numPr>
              <w:jc w:val="both"/>
            </w:pPr>
            <w:r>
              <w:t xml:space="preserve">11–20 versenytárs; </w:t>
            </w:r>
          </w:p>
          <w:p w14:paraId="35EEC292" w14:textId="77777777" w:rsidR="00896468" w:rsidRDefault="00B31E50">
            <w:pPr>
              <w:pStyle w:val="P68B1DB1-ListParagraph32"/>
              <w:numPr>
                <w:ilvl w:val="0"/>
                <w:numId w:val="277"/>
              </w:numPr>
              <w:jc w:val="both"/>
            </w:pPr>
            <w:r>
              <w:t xml:space="preserve">5–10 versenytárs, </w:t>
            </w:r>
          </w:p>
          <w:p w14:paraId="23AB1BA1" w14:textId="40E881BD" w:rsidR="00896468" w:rsidRDefault="005B51FD">
            <w:pPr>
              <w:pStyle w:val="P68B1DB1-ListParagraph32"/>
              <w:numPr>
                <w:ilvl w:val="0"/>
                <w:numId w:val="277"/>
              </w:numPr>
              <w:jc w:val="both"/>
              <w:rPr>
                <w:b/>
                <w:bCs/>
                <w:color w:val="000000" w:themeColor="text1"/>
              </w:rPr>
            </w:pPr>
            <w:r>
              <w:t>&lt;</w:t>
            </w:r>
            <w:r w:rsidR="00B31E50">
              <w:t>5 versenytárs</w:t>
            </w:r>
          </w:p>
          <w:p w14:paraId="7FE1BB3C" w14:textId="356BF98D" w:rsidR="00896468" w:rsidRDefault="00896468">
            <w:pPr>
              <w:jc w:val="both"/>
              <w:rPr>
                <w:rFonts w:ascii="Times New Roman" w:hAnsi="Times New Roman"/>
                <w:color w:val="000000" w:themeColor="text1"/>
                <w:sz w:val="20"/>
                <w:szCs w:val="20"/>
              </w:rPr>
            </w:pPr>
          </w:p>
        </w:tc>
      </w:tr>
      <w:tr w:rsidR="00896468"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896468" w:rsidRDefault="00B31E50">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32C61783" w:rsidR="00896468" w:rsidRDefault="00B31E50">
            <w:pPr>
              <w:pStyle w:val="P68B1DB1-TableParagraph14"/>
              <w:spacing w:before="108"/>
              <w:jc w:val="both"/>
              <w:rPr>
                <w:bCs/>
              </w:rPr>
            </w:pPr>
            <w:r>
              <w:t>Idő</w:t>
            </w:r>
            <w:r w:rsidR="000D6D48">
              <w:t>tartam</w:t>
            </w:r>
            <w:r>
              <w:t xml:space="preserve"> – A helyettesítés várható ideje</w:t>
            </w:r>
          </w:p>
          <w:p w14:paraId="7FE1BB41" w14:textId="48B60104" w:rsidR="00896468" w:rsidRDefault="005B51FD">
            <w:pPr>
              <w:pStyle w:val="P68B1DB1-TableParagraph13"/>
              <w:spacing w:before="108"/>
            </w:pPr>
            <w:r w:rsidRPr="005B51FD">
              <w:rPr>
                <w:rFonts w:asciiTheme="minorHAnsi" w:eastAsiaTheme="minorEastAsia" w:hAnsiTheme="minorHAnsi" w:cstheme="minorBidi"/>
                <w:color w:val="auto"/>
                <w:sz w:val="22"/>
                <w:szCs w:val="24"/>
              </w:rPr>
              <w:t xml:space="preserve"> </w:t>
            </w:r>
            <w:r w:rsidRPr="005B51FD">
              <w:br/>
              <w:t xml:space="preserve">Becsülje meg, hogy mennyi idő szükséges ahhoz, hogy </w:t>
            </w:r>
            <w:r w:rsidR="00EF565F">
              <w:t>az adatszolgáltató szervezet</w:t>
            </w:r>
            <w:r w:rsidRPr="005B51FD">
              <w:t xml:space="preserve"> által ellátott gazdasági funkciót válsághelyzetben a piac felszívja</w:t>
            </w:r>
            <w:r w:rsidR="00B31E50">
              <w:t xml:space="preserve">. Lebontva: </w:t>
            </w:r>
          </w:p>
          <w:p w14:paraId="7FE1BB42" w14:textId="77777777" w:rsidR="00896468" w:rsidRDefault="00B31E50">
            <w:pPr>
              <w:pStyle w:val="P68B1DB1-ListParagraph38"/>
              <w:numPr>
                <w:ilvl w:val="0"/>
                <w:numId w:val="274"/>
              </w:numPr>
              <w:jc w:val="both"/>
            </w:pPr>
            <w:r>
              <w:t xml:space="preserve">az egy vagy több versenytárs számára a funkció átvételéhez szükséges jogi és technikai lépések elvégzéséhez várhatóan szükséges idő; valamint  </w:t>
            </w:r>
          </w:p>
          <w:p w14:paraId="7FE1BB43" w14:textId="0951E234" w:rsidR="00896468" w:rsidRDefault="00B31E50">
            <w:pPr>
              <w:pStyle w:val="P68B1DB1-ListParagraph38"/>
              <w:numPr>
                <w:ilvl w:val="0"/>
                <w:numId w:val="274"/>
              </w:numPr>
              <w:jc w:val="both"/>
            </w:pPr>
            <w:r>
              <w:t xml:space="preserve">a szolgáltatás igénybe vevői által egy másik szolgáltatóhoz való </w:t>
            </w:r>
            <w:r w:rsidR="00EF565F">
              <w:t xml:space="preserve">átálláshoz </w:t>
            </w:r>
            <w:r>
              <w:t xml:space="preserve">szükséges idő. </w:t>
            </w:r>
          </w:p>
          <w:p w14:paraId="7FE1BB44" w14:textId="77777777" w:rsidR="00896468" w:rsidRDefault="00896468">
            <w:pPr>
              <w:pStyle w:val="TableParagraph"/>
              <w:spacing w:before="108"/>
              <w:rPr>
                <w:rFonts w:ascii="Times New Roman" w:hAnsi="Times New Roman" w:cs="Times New Roman"/>
                <w:color w:val="000000" w:themeColor="text1"/>
                <w:sz w:val="20"/>
                <w:szCs w:val="20"/>
              </w:rPr>
            </w:pPr>
          </w:p>
          <w:p w14:paraId="7FE1BB45" w14:textId="255FA003" w:rsidR="00896468" w:rsidRDefault="00B31E50">
            <w:pPr>
              <w:pStyle w:val="P68B1DB1-TableParagraph13"/>
              <w:spacing w:before="108"/>
            </w:pPr>
            <w:r>
              <w:t>A hitelezés esetében például ez nem a fennálló portfólió kifuttatására vagy a portfóliónak egy leendő vevőre történő átruházására vonatkozik, hanem a háztartás</w:t>
            </w:r>
            <w:r w:rsidR="005B51FD">
              <w:t>ok,</w:t>
            </w:r>
            <w:r>
              <w:t xml:space="preserve"> vállalatok és kormányok azon képességére, hogy hasonló hiteleket szerezzenek más szolgáltatóktól. </w:t>
            </w:r>
          </w:p>
          <w:p w14:paraId="7FE1BB46" w14:textId="77777777" w:rsidR="00896468" w:rsidRDefault="00896468">
            <w:pPr>
              <w:pStyle w:val="TableParagraph"/>
              <w:spacing w:before="108"/>
              <w:rPr>
                <w:rFonts w:ascii="Times New Roman" w:hAnsi="Times New Roman" w:cs="Times New Roman"/>
                <w:color w:val="000000" w:themeColor="text1"/>
                <w:sz w:val="20"/>
                <w:szCs w:val="20"/>
              </w:rPr>
            </w:pPr>
          </w:p>
          <w:p w14:paraId="7FE1BB47" w14:textId="0DF69A1F" w:rsidR="00896468" w:rsidRDefault="00B31E50">
            <w:pPr>
              <w:pStyle w:val="P68B1DB1-TableParagraph13"/>
              <w:spacing w:before="108"/>
            </w:pPr>
            <w:r>
              <w:t>Az előbbi helyettesítőjeként adja meg annak becslését, hogy a</w:t>
            </w:r>
            <w:r w:rsidR="00EF565F">
              <w:t xml:space="preserve">z adatszolgáltató szervezetnek </w:t>
            </w:r>
            <w:r>
              <w:t>mennyi időre lenne szüksége ahhoz, hogy saját üzleti tevékenység</w:t>
            </w:r>
            <w:r w:rsidR="00EF565F">
              <w:t>ébe olvasszon</w:t>
            </w:r>
            <w:r>
              <w:t xml:space="preserve"> egy másik intézmény által nyújtott szolgáltatást</w:t>
            </w:r>
            <w:r w:rsidR="00EF565F">
              <w:t xml:space="preserve"> (vagy annak egy részét)</w:t>
            </w:r>
            <w:r>
              <w:t>, észszerű költség mellett, válsághelyzetben. A táblában megadott kategóriákban adja meg a helyettesítés becsült idejét:</w:t>
            </w:r>
          </w:p>
          <w:p w14:paraId="7FE1BB48" w14:textId="77777777" w:rsidR="00896468" w:rsidRDefault="00896468">
            <w:pPr>
              <w:pStyle w:val="TableParagraph"/>
              <w:spacing w:before="108"/>
              <w:rPr>
                <w:rFonts w:ascii="Times New Roman" w:hAnsi="Times New Roman" w:cs="Times New Roman"/>
                <w:color w:val="000000" w:themeColor="text1"/>
                <w:sz w:val="20"/>
                <w:szCs w:val="20"/>
              </w:rPr>
            </w:pPr>
          </w:p>
        </w:tc>
      </w:tr>
      <w:tr w:rsidR="00896468"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896468" w:rsidRDefault="00B31E50">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896468" w:rsidRDefault="00B31E50">
            <w:pPr>
              <w:pStyle w:val="P68B1DB1-TableParagraph14"/>
              <w:spacing w:before="108"/>
              <w:jc w:val="both"/>
              <w:rPr>
                <w:bCs/>
              </w:rPr>
            </w:pPr>
            <w:r>
              <w:t>Helyettesítési képesség</w:t>
            </w:r>
          </w:p>
        </w:tc>
      </w:tr>
      <w:tr w:rsidR="00896468"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896468" w:rsidRDefault="00B31E50">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48835514" w:rsidR="00896468" w:rsidRDefault="00B31E50">
            <w:pPr>
              <w:pStyle w:val="P68B1DB1-TableParagraph14"/>
              <w:spacing w:before="108"/>
              <w:rPr>
                <w:bCs/>
              </w:rPr>
            </w:pPr>
            <w:r>
              <w:t xml:space="preserve">A </w:t>
            </w:r>
            <w:r w:rsidR="00E02005">
              <w:t xml:space="preserve">piacra lépés </w:t>
            </w:r>
            <w:r>
              <w:t>vagy terjeszkedés jogi akadályai</w:t>
            </w:r>
          </w:p>
          <w:p w14:paraId="7FE1BB4F" w14:textId="77777777" w:rsidR="00896468" w:rsidRDefault="00896468">
            <w:pPr>
              <w:pStyle w:val="TableParagraph"/>
              <w:spacing w:before="108"/>
              <w:rPr>
                <w:rFonts w:ascii="Times New Roman" w:hAnsi="Times New Roman" w:cs="Times New Roman"/>
                <w:color w:val="000000" w:themeColor="text1"/>
                <w:sz w:val="20"/>
                <w:szCs w:val="20"/>
              </w:rPr>
            </w:pPr>
          </w:p>
          <w:p w14:paraId="7FE1BB50" w14:textId="77777777" w:rsidR="00896468" w:rsidRDefault="00B31E50">
            <w:pPr>
              <w:pStyle w:val="P68B1DB1-TableParagraph13"/>
              <w:spacing w:before="108"/>
            </w:pPr>
            <w:r>
              <w:t xml:space="preserve">A versenytársak számára a szolgáltatás nyújtása előtt álló jogi akadályok. A hitelintézetek tevékenységének végzésére vonatkozó jogi követelmények (pl. banki engedélyek vagy tőkekövetelmények) alternatív szolgáltatók jelenlétében nem tekinthetők leküzdhetetlen akadálynak. Ezt a mutatót kategóriákban kell jelenteni, amelyek minden egyes alfunkció esetében azonosak: </w:t>
            </w:r>
          </w:p>
          <w:p w14:paraId="7FE1BB51" w14:textId="068F91A0" w:rsidR="00896468" w:rsidRDefault="00B31E50">
            <w:pPr>
              <w:pStyle w:val="P68B1DB1-ListParagraph39"/>
              <w:numPr>
                <w:ilvl w:val="0"/>
                <w:numId w:val="275"/>
              </w:numPr>
              <w:jc w:val="both"/>
            </w:pPr>
            <w:r>
              <w:t xml:space="preserve">nincsenek jelentős akadályok, </w:t>
            </w:r>
          </w:p>
          <w:p w14:paraId="7FE1BB52" w14:textId="6D8354EB" w:rsidR="00896468" w:rsidRDefault="00B31E50">
            <w:pPr>
              <w:pStyle w:val="P68B1DB1-ListParagraph39"/>
              <w:numPr>
                <w:ilvl w:val="0"/>
                <w:numId w:val="275"/>
              </w:numPr>
              <w:jc w:val="both"/>
            </w:pPr>
            <w:r>
              <w:t xml:space="preserve">néhány akadály, </w:t>
            </w:r>
          </w:p>
          <w:p w14:paraId="7FE1BB53" w14:textId="1BC21AC5" w:rsidR="00896468" w:rsidRDefault="00B31E50">
            <w:pPr>
              <w:pStyle w:val="P68B1DB1-ListParagraph39"/>
              <w:numPr>
                <w:ilvl w:val="0"/>
                <w:numId w:val="275"/>
              </w:numPr>
              <w:jc w:val="both"/>
            </w:pPr>
            <w:r>
              <w:t xml:space="preserve">jelentős (de leküzdhető) akadályok, </w:t>
            </w:r>
          </w:p>
          <w:p w14:paraId="7FE1BB55" w14:textId="539429F5" w:rsidR="00896468" w:rsidRDefault="00B31E50">
            <w:pPr>
              <w:pStyle w:val="P68B1DB1-ListParagraph8"/>
              <w:numPr>
                <w:ilvl w:val="0"/>
                <w:numId w:val="275"/>
              </w:numPr>
              <w:jc w:val="both"/>
            </w:pPr>
            <w:r>
              <w:t>kritikus (nehezen leküzdhető) akadályok.</w:t>
            </w:r>
          </w:p>
        </w:tc>
      </w:tr>
      <w:tr w:rsidR="00896468"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896468" w:rsidRDefault="00B31E50">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190FD92F" w:rsidR="00896468" w:rsidRDefault="00B31E50">
            <w:pPr>
              <w:pStyle w:val="P68B1DB1-TableParagraph14"/>
              <w:spacing w:before="108"/>
              <w:rPr>
                <w:bCs/>
              </w:rPr>
            </w:pPr>
            <w:r>
              <w:t xml:space="preserve">A </w:t>
            </w:r>
            <w:r w:rsidR="00E02005">
              <w:t xml:space="preserve">piacra </w:t>
            </w:r>
            <w:r>
              <w:t xml:space="preserve">lépésre vagy </w:t>
            </w:r>
            <w:r w:rsidR="00E02005">
              <w:t xml:space="preserve">terjeszkedésre </w:t>
            </w:r>
            <w:r>
              <w:t>vonatkozó működési követelmények</w:t>
            </w:r>
          </w:p>
          <w:p w14:paraId="7FE1BB59" w14:textId="77777777" w:rsidR="00896468" w:rsidRDefault="00896468">
            <w:pPr>
              <w:pStyle w:val="TableParagraph"/>
              <w:spacing w:before="108"/>
              <w:rPr>
                <w:rFonts w:ascii="Times New Roman" w:hAnsi="Times New Roman" w:cs="Times New Roman"/>
                <w:color w:val="000000" w:themeColor="text1"/>
                <w:sz w:val="20"/>
                <w:szCs w:val="20"/>
              </w:rPr>
            </w:pPr>
          </w:p>
          <w:p w14:paraId="7FE1BB5A" w14:textId="100B955A" w:rsidR="00896468" w:rsidRDefault="00B31E50">
            <w:pPr>
              <w:pStyle w:val="P68B1DB1-TableParagraph13"/>
              <w:spacing w:before="108"/>
            </w:pPr>
            <w:r>
              <w:t>Szervezeti, műszaki és infrastrukturális követelmények a versenytársak számára a szolgáltatás nyújtásához. Az (al)funkcióhoz kapcsolódó szolgáltatások nyújtása megköveteli a szolgáltatóktól, hogy (új vagy kiegészítő) infrastruktúrába fektessenek be, vagy módosítsák szervezeteiket. Értékel</w:t>
            </w:r>
            <w:r w:rsidR="00946D48">
              <w:t>je</w:t>
            </w:r>
            <w:r>
              <w:t xml:space="preserve">, hogy a piac képes-e felvenni az adott üzletágat. </w:t>
            </w:r>
          </w:p>
          <w:p w14:paraId="7FE1BB5B" w14:textId="77777777" w:rsidR="00896468" w:rsidRDefault="00B31E50">
            <w:pPr>
              <w:pStyle w:val="P68B1DB1-TableParagraph13"/>
              <w:spacing w:before="108"/>
            </w:pPr>
            <w:r>
              <w:t xml:space="preserve">Ezt a mutatót kategóriákban kell jelenteni, amelyek minden egyes alfunkció esetében azonosak: </w:t>
            </w:r>
          </w:p>
          <w:p w14:paraId="7FE1BB5C" w14:textId="7C8E68F5" w:rsidR="00896468" w:rsidRDefault="00B31E50">
            <w:pPr>
              <w:pStyle w:val="P68B1DB1-ListParagraph39"/>
              <w:numPr>
                <w:ilvl w:val="0"/>
                <w:numId w:val="278"/>
              </w:numPr>
              <w:jc w:val="both"/>
            </w:pPr>
            <w:r>
              <w:t xml:space="preserve">nincsenek főbb követelmények, </w:t>
            </w:r>
          </w:p>
          <w:p w14:paraId="7FE1BB5D" w14:textId="227F4B1C" w:rsidR="00896468" w:rsidRDefault="00B31E50">
            <w:pPr>
              <w:pStyle w:val="P68B1DB1-ListParagraph39"/>
              <w:numPr>
                <w:ilvl w:val="0"/>
                <w:numId w:val="278"/>
              </w:numPr>
              <w:jc w:val="both"/>
            </w:pPr>
            <w:r>
              <w:t xml:space="preserve">néhány követelmény, </w:t>
            </w:r>
          </w:p>
          <w:p w14:paraId="7FE1BB5E" w14:textId="11C740DB" w:rsidR="00896468" w:rsidRDefault="00B31E50">
            <w:pPr>
              <w:pStyle w:val="P68B1DB1-ListParagraph39"/>
              <w:numPr>
                <w:ilvl w:val="0"/>
                <w:numId w:val="278"/>
              </w:numPr>
              <w:jc w:val="both"/>
            </w:pPr>
            <w:r>
              <w:t xml:space="preserve">lényeges (de leküzdhető) követelmények, </w:t>
            </w:r>
          </w:p>
          <w:p w14:paraId="7FE1BB5F" w14:textId="276D56CB" w:rsidR="00896468" w:rsidRDefault="00B31E50">
            <w:pPr>
              <w:pStyle w:val="P68B1DB1-ListParagraph39"/>
              <w:numPr>
                <w:ilvl w:val="0"/>
                <w:numId w:val="278"/>
              </w:numPr>
              <w:jc w:val="both"/>
            </w:pPr>
            <w:r>
              <w:t xml:space="preserve">kritikus </w:t>
            </w:r>
            <w:r w:rsidR="00C707DC">
              <w:t xml:space="preserve">(nehezen leküzdhető) </w:t>
            </w:r>
            <w:r>
              <w:t>követelmények .</w:t>
            </w:r>
          </w:p>
          <w:p w14:paraId="7FE1BB64" w14:textId="7064EEB7" w:rsidR="00896468" w:rsidRDefault="00B31E50">
            <w:pPr>
              <w:pStyle w:val="P68B1DB1-TableParagraph40"/>
              <w:spacing w:before="108"/>
              <w:ind w:left="720"/>
              <w:jc w:val="both"/>
              <w:rPr>
                <w:color w:val="000000" w:themeColor="text1"/>
              </w:rPr>
            </w:pPr>
            <w:r>
              <w:t xml:space="preserve"> </w:t>
            </w:r>
          </w:p>
        </w:tc>
      </w:tr>
      <w:tr w:rsidR="00896468"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896468" w:rsidRDefault="00B31E50">
            <w:pPr>
              <w:pStyle w:val="P68B1DB1-TableParagraph17"/>
              <w:spacing w:before="108"/>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896468" w:rsidRDefault="00B31E50">
            <w:pPr>
              <w:pStyle w:val="P68B1DB1-TableParagraph14"/>
              <w:spacing w:before="108"/>
              <w:rPr>
                <w:bCs/>
              </w:rPr>
            </w:pPr>
            <w:r>
              <w:t>A kritikusság értékelése</w:t>
            </w:r>
          </w:p>
        </w:tc>
      </w:tr>
      <w:tr w:rsidR="00896468"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896468" w:rsidRDefault="00B31E50">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896468" w:rsidRDefault="00B31E50">
            <w:pPr>
              <w:pStyle w:val="P68B1DB1-TableParagraph14"/>
              <w:spacing w:before="108"/>
              <w:rPr>
                <w:bCs/>
              </w:rPr>
            </w:pPr>
            <w:r>
              <w:t xml:space="preserve">A piacra gyakorolt hatás </w:t>
            </w:r>
          </w:p>
          <w:p w14:paraId="7FE1BB6B" w14:textId="77777777" w:rsidR="00896468" w:rsidRDefault="00B31E50">
            <w:pPr>
              <w:pStyle w:val="P68B1DB1-TableParagraph13"/>
              <w:spacing w:before="108"/>
            </w:pPr>
            <w:r>
              <w:t>A funkció hirtelen megszűnésének a harmadik felekre, a pénzügyi piacokra és a reálgazdaságra gyakorolt becsült hatása, figyelembe véve az intézmény méretét, piaci részesedését az adott országban, a külső és belső összekapcsoltságot, összetettséget és az intézmény határokon átnyúló tevékenységeit.</w:t>
            </w:r>
          </w:p>
          <w:p w14:paraId="7FE1BB6C" w14:textId="3006E0F1" w:rsidR="00896468" w:rsidRDefault="00B31E50">
            <w:pPr>
              <w:pStyle w:val="P68B1DB1-TableParagraph13"/>
              <w:spacing w:before="108"/>
            </w:pPr>
            <w:r>
              <w:t>A minőségi értékelés eredményét „Magas”, „Közepes-Magas”, „Közepes-Alacsony” vagy „Alacsony” megjelöléssel kell kifejezni.</w:t>
            </w:r>
          </w:p>
          <w:p w14:paraId="7FE1BB6D" w14:textId="330A04DF" w:rsidR="00896468" w:rsidRDefault="00A21698">
            <w:pPr>
              <w:pStyle w:val="P68B1DB1-TableParagraph13"/>
              <w:spacing w:before="108"/>
            </w:pPr>
            <w:r>
              <w:t>Magas</w:t>
            </w:r>
            <w:r w:rsidR="00B31E50">
              <w:t>:</w:t>
            </w:r>
            <w:r w:rsidR="006A290F">
              <w:t xml:space="preserve"> </w:t>
            </w:r>
            <w:r w:rsidR="00B31E50">
              <w:t xml:space="preserve">a funkció megszüntetése kimagasló hatást gyakorol a nemzeti piacra; </w:t>
            </w:r>
            <w:r>
              <w:t>Közepes-Magas</w:t>
            </w:r>
            <w:r w:rsidR="00B31E50">
              <w:t>:</w:t>
            </w:r>
            <w:r w:rsidR="006A290F">
              <w:t xml:space="preserve"> </w:t>
            </w:r>
            <w:r w:rsidR="00B31E50">
              <w:t xml:space="preserve">jelentős hatás; </w:t>
            </w:r>
            <w:r>
              <w:t>Közepes-Alacsony</w:t>
            </w:r>
            <w:r w:rsidR="00B31E50">
              <w:t>”:</w:t>
            </w:r>
            <w:r w:rsidR="006A290F">
              <w:t xml:space="preserve"> </w:t>
            </w:r>
            <w:r w:rsidR="00B31E50">
              <w:t xml:space="preserve">a hatás lényeges, de korlátozott; </w:t>
            </w:r>
            <w:r>
              <w:t>Alacsony</w:t>
            </w:r>
            <w:r w:rsidR="00B31E50">
              <w:t>:</w:t>
            </w:r>
            <w:r>
              <w:t xml:space="preserve"> </w:t>
            </w:r>
            <w:r w:rsidR="00B31E50">
              <w:t>alacsony mértékű hatás.</w:t>
            </w:r>
          </w:p>
        </w:tc>
      </w:tr>
      <w:tr w:rsidR="00896468"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896468" w:rsidRDefault="00B31E50">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896468" w:rsidRDefault="00B31E50">
            <w:pPr>
              <w:pStyle w:val="P68B1DB1-TableParagraph14"/>
              <w:spacing w:before="108"/>
              <w:rPr>
                <w:bCs/>
              </w:rPr>
            </w:pPr>
            <w:r>
              <w:t>Helyettesíthetőség</w:t>
            </w:r>
          </w:p>
          <w:p w14:paraId="7FE1BB71" w14:textId="190CA063" w:rsidR="00896468" w:rsidRDefault="00B31E50">
            <w:pPr>
              <w:pStyle w:val="P68B1DB1-TableParagraph13"/>
              <w:spacing w:before="108"/>
            </w:pPr>
            <w:r>
              <w:t>Az (EU) 2016/778 felhatalmazáson alapuló rendelet 6. cikkének (3) bekezdése</w:t>
            </w:r>
            <w:r w:rsidR="001D34A8">
              <w:t>.</w:t>
            </w:r>
          </w:p>
          <w:p w14:paraId="7FE1BB72" w14:textId="4E18E707" w:rsidR="00896468" w:rsidRDefault="00B31E50">
            <w:pPr>
              <w:pStyle w:val="P68B1DB1-TableParagraph13"/>
              <w:spacing w:before="108"/>
            </w:pPr>
            <w:r>
              <w:t xml:space="preserve">A funkció helyettesíthető, ha elfogadható módon és észszerű időn belül helyettesíthető, </w:t>
            </w:r>
            <w:r w:rsidR="00390C77">
              <w:t xml:space="preserve">és ezáltal elkerülhetők </w:t>
            </w:r>
            <w:r>
              <w:t>a reálgazdaságot és a pénzügyi piacokat érintő rendszerszintű problémák. Figyelembe kell venni az alábbiakat:</w:t>
            </w:r>
          </w:p>
          <w:p w14:paraId="7FE1BB73" w14:textId="77777777" w:rsidR="00896468" w:rsidRDefault="00B31E50">
            <w:pPr>
              <w:pStyle w:val="P68B1DB1-TableParagraph13"/>
              <w:spacing w:before="108"/>
            </w:pPr>
            <w:r>
              <w:t xml:space="preserve">(a) az adott funkció piacának szerkezete, valamint helyettesítő szolgáltatók rendelkezésre állása; </w:t>
            </w:r>
          </w:p>
          <w:p w14:paraId="793B20B5" w14:textId="77777777" w:rsidR="00390C77" w:rsidRDefault="00390C77" w:rsidP="00390C77">
            <w:pPr>
              <w:pStyle w:val="P68B1DB1-TableParagraph13"/>
              <w:spacing w:before="108"/>
              <w:jc w:val="both"/>
            </w:pPr>
            <w:r>
              <w:t xml:space="preserve">(b) </w:t>
            </w:r>
            <w:r w:rsidRPr="0064267F">
              <w:t>más szolgáltatók alkalmassága a kapacitásuk, a funkciók követelményeinek való megfelelőségük, valamint a piacra lépés vagy terjeszkedés esetleges akadályai tekintetében</w:t>
            </w:r>
            <w:r>
              <w:t xml:space="preserve">; </w:t>
            </w:r>
          </w:p>
          <w:p w14:paraId="6C62AC3F" w14:textId="77777777" w:rsidR="00390C77" w:rsidRDefault="00390C77" w:rsidP="00390C77">
            <w:pPr>
              <w:pStyle w:val="P68B1DB1-TableParagraph13"/>
              <w:spacing w:before="108"/>
              <w:jc w:val="both"/>
            </w:pPr>
            <w:r>
              <w:t>(c) a</w:t>
            </w:r>
            <w:r w:rsidRPr="00F34880">
              <w:t>z érintett tevékenységek más szolgáltatók általi átvételének ösztönzői</w:t>
            </w:r>
            <w:r>
              <w:t xml:space="preserve">; </w:t>
            </w:r>
          </w:p>
          <w:p w14:paraId="7FE1BB76" w14:textId="1FC8593E" w:rsidR="00896468" w:rsidRDefault="00B31E50">
            <w:pPr>
              <w:pStyle w:val="P68B1DB1-TableParagraph13"/>
              <w:spacing w:before="108"/>
            </w:pPr>
            <w:r>
              <w:t xml:space="preserve">(d) a szolgáltatás igénybevevőinek a szolgáltatóváltáshoz szükséges idő és a szolgáltatóváltással járó költségek, a funkciók átvételéhez más versenytársaknak szükséges idő, illetve </w:t>
            </w:r>
            <w:r w:rsidR="00390C77">
              <w:t xml:space="preserve">annak a vizsgálata, </w:t>
            </w:r>
            <w:r>
              <w:t>hogy ez az idő – a szolgáltatás típusától függően – elegendő-e a jelentős zavarok elkerüléséhez.</w:t>
            </w:r>
          </w:p>
          <w:p w14:paraId="7FE1BB77" w14:textId="34C328B6" w:rsidR="00896468" w:rsidRDefault="00B31E50">
            <w:pPr>
              <w:pStyle w:val="P68B1DB1-TableParagraph13"/>
              <w:spacing w:before="108"/>
            </w:pPr>
            <w:r>
              <w:t xml:space="preserve">Adjon átfogó értékelést az egyes funkciók helyettesíthetőségének várható mértékéről, figyelembe véve a korábban értékelt különböző dimenziókat (piaci részesedés, piaci koncentráció, helyettesítéshez szükséges idő, jogi akadályok és a piacra lépésre vagy terjeszkedésre vonatkozó működési követelmények). A minőségi értékelés eredményét „Magas”, „Közepes-Magas”, „Közepes-Alacsony” vagy „Alacsony” megjelöléssel kell kifejezni. </w:t>
            </w:r>
          </w:p>
          <w:p w14:paraId="7FE1BB78" w14:textId="7F7DF327" w:rsidR="00896468" w:rsidRDefault="001D34A8">
            <w:pPr>
              <w:pStyle w:val="P68B1DB1-TableParagraph13"/>
              <w:spacing w:before="108"/>
            </w:pPr>
            <w:r>
              <w:t>Magas</w:t>
            </w:r>
            <w:r w:rsidR="00B31E50">
              <w:t>: az adott funkciót észszerű időn belül könnyen elláthatja egy másik bank hasonló feltételekkel;</w:t>
            </w:r>
          </w:p>
          <w:p w14:paraId="7FE1BB79" w14:textId="1DE625D1" w:rsidR="00896468" w:rsidRDefault="001D34A8">
            <w:pPr>
              <w:pStyle w:val="P68B1DB1-TableParagraph13"/>
              <w:spacing w:before="108"/>
            </w:pPr>
            <w:r>
              <w:t>Alacsony</w:t>
            </w:r>
            <w:r w:rsidR="00B31E50">
              <w:t xml:space="preserve">: a funkciót nem lehet könnyen vagy gyorsan helyettesíteni; </w:t>
            </w:r>
          </w:p>
          <w:p w14:paraId="7FE1BB7A" w14:textId="0D646BCA" w:rsidR="00896468" w:rsidRDefault="00B31E50">
            <w:pPr>
              <w:pStyle w:val="P68B1DB1-TableParagraph13"/>
              <w:spacing w:before="108"/>
            </w:pPr>
            <w:r>
              <w:t>„</w:t>
            </w:r>
            <w:r w:rsidR="001D34A8">
              <w:t>Közepes-Magas</w:t>
            </w:r>
            <w:r>
              <w:t>” és „</w:t>
            </w:r>
            <w:r w:rsidR="001D34A8">
              <w:t>Közepes-Alacsony</w:t>
            </w:r>
            <w:r>
              <w:t>”:</w:t>
            </w:r>
            <w:r w:rsidR="00CF748F">
              <w:t xml:space="preserve"> </w:t>
            </w:r>
            <w:r>
              <w:t>közepes esetek, figyelembe véve különböző szempontokat (pl. piaci részesedés, piaci koncentráció, helyettesítés időigénye, a piacra lépés vagy terjeszkedés jogi akadályai és operatív követelményei).</w:t>
            </w:r>
          </w:p>
        </w:tc>
      </w:tr>
      <w:tr w:rsidR="00896468"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896468" w:rsidRDefault="00B31E50">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896468" w:rsidRDefault="00B31E50">
            <w:pPr>
              <w:pStyle w:val="P68B1DB1-TableParagraph14"/>
              <w:spacing w:before="108"/>
              <w:rPr>
                <w:bCs/>
              </w:rPr>
            </w:pPr>
            <w:r>
              <w:t>Kritikus funkció</w:t>
            </w:r>
          </w:p>
          <w:p w14:paraId="7FE1BB7E" w14:textId="77777777" w:rsidR="00896468" w:rsidRDefault="00B31E50">
            <w:pPr>
              <w:pStyle w:val="P68B1DB1-TableParagraph13"/>
              <w:spacing w:before="108"/>
            </w:pPr>
            <w:r>
              <w:t>Ebben az oszlopban fel kell tüntetni, hogy az intézmény által végzett hatás- és helyettesíthetőségi elemzés alapján a gazdasági funkció kritikusnak tekinthető-e az adott ország piacán.</w:t>
            </w:r>
          </w:p>
          <w:p w14:paraId="7FE1BB7F" w14:textId="77777777" w:rsidR="00896468" w:rsidRDefault="00B31E50">
            <w:pPr>
              <w:pStyle w:val="P68B1DB1-TableParagraph13"/>
              <w:spacing w:before="108"/>
            </w:pPr>
            <w:r>
              <w:t>„Igen” vagy „Nem” megjelölés választható.</w:t>
            </w:r>
          </w:p>
        </w:tc>
      </w:tr>
      <w:tr w:rsidR="00896468"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896468" w:rsidRDefault="00B31E50">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896468" w:rsidRDefault="00B31E50">
            <w:pPr>
              <w:pStyle w:val="P68B1DB1-TableParagraph14"/>
              <w:spacing w:before="108"/>
              <w:rPr>
                <w:bCs/>
              </w:rPr>
            </w:pPr>
            <w:r>
              <w:t>A csoport észrevételei</w:t>
            </w:r>
          </w:p>
          <w:p w14:paraId="7FE1BB83" w14:textId="6087CE32" w:rsidR="00896468" w:rsidRDefault="00B31E50">
            <w:pPr>
              <w:pStyle w:val="P68B1DB1-TableParagraph13"/>
              <w:spacing w:before="108"/>
            </w:pPr>
            <w:r>
              <w:t>Ez a mező lehetővé teszi a</w:t>
            </w:r>
            <w:r w:rsidR="00BB69E9">
              <w:t>z adatszolgáltató szervezet</w:t>
            </w:r>
            <w:r>
              <w:t xml:space="preserve"> számára, hogy kifejtse a jelentett funkció(k) kritikusságának értékeléséhez használt feltételezéseket.</w:t>
            </w:r>
          </w:p>
        </w:tc>
      </w:tr>
    </w:tbl>
    <w:p w14:paraId="7FE1BB85" w14:textId="77777777" w:rsidR="00896468" w:rsidRDefault="00896468">
      <w:pPr>
        <w:rPr>
          <w:rFonts w:ascii="Times New Roman" w:hAnsi="Times New Roman" w:cs="Times New Roman"/>
          <w:color w:val="000000" w:themeColor="text1"/>
          <w:sz w:val="20"/>
          <w:szCs w:val="20"/>
        </w:rPr>
      </w:pPr>
    </w:p>
    <w:p w14:paraId="7FE1BB86" w14:textId="5010BF06" w:rsidR="00896468" w:rsidRDefault="00B31E50">
      <w:pPr>
        <w:pStyle w:val="P68B1DB1-Instructionsberschrift25"/>
        <w:numPr>
          <w:ilvl w:val="1"/>
          <w:numId w:val="49"/>
        </w:numPr>
        <w:ind w:left="357" w:hanging="357"/>
      </w:pPr>
      <w:bookmarkStart w:id="119" w:name="_Toc210982879"/>
      <w:r>
        <w:lastRenderedPageBreak/>
        <w:t>Z 07.01.3 FUNC 1 PAY.</w:t>
      </w:r>
      <w:bookmarkEnd w:id="119"/>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96468"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896468" w:rsidRDefault="00B31E50">
            <w:pPr>
              <w:pStyle w:val="P68B1DB1-TableParagraph17"/>
              <w:spacing w:before="108"/>
              <w:ind w:left="85"/>
              <w:jc w:val="both"/>
            </w:pPr>
            <w:r>
              <w:t>Oszlopok</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896468" w:rsidRDefault="00B31E50">
            <w:pPr>
              <w:pStyle w:val="P68B1DB1-TableParagraph17"/>
              <w:spacing w:before="108"/>
              <w:ind w:left="85" w:right="1"/>
              <w:jc w:val="both"/>
            </w:pPr>
            <w:r>
              <w:t>Útmutató</w:t>
            </w:r>
          </w:p>
        </w:tc>
      </w:tr>
      <w:tr w:rsidR="00896468"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896468" w:rsidRDefault="00B31E50">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896468" w:rsidRDefault="00B31E50">
            <w:pPr>
              <w:pStyle w:val="P68B1DB1-TableParagraph14"/>
              <w:spacing w:before="108"/>
              <w:ind w:left="85"/>
              <w:jc w:val="both"/>
              <w:rPr>
                <w:bCs/>
              </w:rPr>
            </w:pPr>
            <w:r>
              <w:t>A gazdasági funkció leírása</w:t>
            </w:r>
          </w:p>
          <w:p w14:paraId="7FE1BB94" w14:textId="56901CA7" w:rsidR="00896468" w:rsidRDefault="00B31E50">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Ha a gazdasági funkció „Egyéb” típusú (Z</w:t>
            </w:r>
            <w:r>
              <w:t>07.01.3 FUNC 1 PAY r0220–r0240)</w:t>
            </w:r>
            <w:r>
              <w:rPr>
                <w:rFonts w:ascii="Times New Roman" w:eastAsia="Cambria" w:hAnsi="Times New Roman" w:cs="Times New Roman"/>
                <w:color w:val="000000" w:themeColor="text1"/>
                <w:sz w:val="20"/>
                <w:szCs w:val="20"/>
              </w:rPr>
              <w:t xml:space="preserve">, meg kell adni e funkció leírását. </w:t>
            </w:r>
          </w:p>
        </w:tc>
      </w:tr>
      <w:tr w:rsidR="00896468"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896468" w:rsidRDefault="00B31E50">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896468" w:rsidRDefault="00B31E50">
            <w:pPr>
              <w:pStyle w:val="P68B1DB1-TableParagraph14"/>
              <w:spacing w:before="108"/>
              <w:ind w:left="85"/>
              <w:jc w:val="both"/>
              <w:rPr>
                <w:bCs/>
              </w:rPr>
            </w:pPr>
            <w:r>
              <w:t xml:space="preserve">Piaci részesedés </w:t>
            </w:r>
          </w:p>
          <w:p w14:paraId="7FE1BB98" w14:textId="71A825FB" w:rsidR="00896468" w:rsidRDefault="00B31E50">
            <w:pPr>
              <w:pStyle w:val="P68B1DB1-TableParagraph17"/>
              <w:spacing w:before="108"/>
              <w:ind w:left="85"/>
            </w:pPr>
            <w:r>
              <w:t>Az intézmény vagy csoport piaci részesedésére vonatkozó becslés az adott országban vagy földrajzi területen az adott gazdasági funkció vonatkozásában. A monetáris értéken mért teljes piac százalékos arányában kifejezve. Ez megfelel az MPI-knek és nem MPI-knek nyújtott pénzforgalmi szolgáltatásokra vonatkozó ügyletek értékének, a központi szerződő fél elszámolási szolgáltatásai esetében a nyitott pozíciók értékének, valamint a letéti szolgáltatások letétkezelése alatt álló eszközök értékének.</w:t>
            </w:r>
          </w:p>
        </w:tc>
      </w:tr>
      <w:tr w:rsidR="00896468"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896468" w:rsidRDefault="00B31E50">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54FE2C47" w:rsidR="00896468" w:rsidRDefault="00D232EB">
            <w:pPr>
              <w:pStyle w:val="P68B1DB1-TableParagraph14"/>
              <w:spacing w:before="108"/>
              <w:rPr>
                <w:bCs/>
              </w:rPr>
            </w:pPr>
            <w:r>
              <w:t>Ügyletek</w:t>
            </w:r>
            <w:r w:rsidR="008441DA">
              <w:t xml:space="preserve"> </w:t>
            </w:r>
            <w:r w:rsidR="00B31E50">
              <w:t>értéke</w:t>
            </w:r>
          </w:p>
          <w:p w14:paraId="7FE1BB9C" w14:textId="77777777" w:rsidR="00896468" w:rsidRDefault="00B31E50">
            <w:pPr>
              <w:pStyle w:val="P68B1DB1-TableParagraph17"/>
              <w:spacing w:before="108"/>
            </w:pPr>
            <w:r>
              <w:t>Általános szabályként a napi tranzakciók éves átlagát kell jelenteni. Ha ez nem áll rendelkezésre, rövidebb időszak (pl. néhány hónap) átlagát is fel lehet tüntetni.</w:t>
            </w:r>
          </w:p>
          <w:p w14:paraId="7FE1BB9D" w14:textId="35F59103" w:rsidR="00896468" w:rsidRDefault="007D69C8">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Fizetési művelet</w:t>
            </w:r>
            <w:r w:rsidR="00B31E50">
              <w:rPr>
                <w:rFonts w:ascii="Times New Roman" w:eastAsia="Cambria" w:hAnsi="Times New Roman" w:cs="Times New Roman"/>
                <w:color w:val="000000" w:themeColor="text1"/>
                <w:sz w:val="20"/>
                <w:szCs w:val="20"/>
              </w:rPr>
              <w:t xml:space="preserve"> (funkcióazonosító 3.1 és 3.2): Küldött műveletek értéke.</w:t>
            </w:r>
            <w:r w:rsidR="00B31E50">
              <w:t xml:space="preserve"> </w:t>
            </w:r>
            <w:r w:rsidR="00B31E50">
              <w:rPr>
                <w:rFonts w:ascii="Times New Roman" w:eastAsia="Cambria" w:hAnsi="Times New Roman" w:cs="Times New Roman"/>
                <w:color w:val="000000" w:themeColor="text1"/>
                <w:sz w:val="20"/>
                <w:szCs w:val="20"/>
              </w:rPr>
              <w:t>Háttérhivatkozások: A belső piaci pénzforgalmi szolgáltatásokról szóló (EU) 2015/2366 irányelv 4. cikkének (5) bekezdése; Az Európai Központi Bank (EU) 2020/2011 rendelete a fizetési statisztikákról szóló (EU) 1409/2013 rendelet módosításáról (EKB/2020/59)</w:t>
            </w:r>
          </w:p>
          <w:p w14:paraId="33E9B40D" w14:textId="28C8E52D" w:rsidR="003F6B04" w:rsidRPr="003F6B04" w:rsidRDefault="003F6B04" w:rsidP="003F6B04">
            <w:pPr>
              <w:pStyle w:val="TableParagraph"/>
              <w:spacing w:before="108"/>
              <w:rPr>
                <w:rFonts w:ascii="Times New Roman" w:eastAsia="Cambria" w:hAnsi="Times New Roman" w:cs="Times New Roman"/>
                <w:color w:val="000000" w:themeColor="text1"/>
                <w:sz w:val="20"/>
                <w:szCs w:val="20"/>
                <w:lang w:val="hu-HU"/>
              </w:rPr>
            </w:pPr>
            <w:r w:rsidRPr="003F6B04">
              <w:rPr>
                <w:rFonts w:ascii="Times New Roman" w:eastAsia="Cambria" w:hAnsi="Times New Roman" w:cs="Times New Roman"/>
                <w:color w:val="000000" w:themeColor="text1"/>
                <w:sz w:val="20"/>
                <w:szCs w:val="20"/>
                <w:lang w:val="hu-HU"/>
              </w:rPr>
              <w:t xml:space="preserve">Készpénzszolgáltatások (3.3 funkcióazonosító): Az adatszolgáltató intézmény ATM-jeinél végrehajtott ATM-tranzakciók értéke, az Európai Központi Bank fizetési statisztikákról szóló 1409/2013/EU rendeletének (EKB/2013/43) 5a. táblázatában meghatározottak szerint, valamint az adatszolgáltató fiókjaiban végrehajtott, </w:t>
            </w:r>
            <w:r w:rsidR="007D69C8">
              <w:rPr>
                <w:rFonts w:ascii="Times New Roman" w:eastAsia="Cambria" w:hAnsi="Times New Roman" w:cs="Times New Roman"/>
                <w:color w:val="000000" w:themeColor="text1"/>
                <w:sz w:val="20"/>
                <w:szCs w:val="20"/>
                <w:lang w:val="hu-HU"/>
              </w:rPr>
              <w:t>pénztári</w:t>
            </w:r>
            <w:r w:rsidRPr="003F6B04">
              <w:rPr>
                <w:rFonts w:ascii="Times New Roman" w:eastAsia="Cambria" w:hAnsi="Times New Roman" w:cs="Times New Roman"/>
                <w:color w:val="000000" w:themeColor="text1"/>
                <w:sz w:val="20"/>
                <w:szCs w:val="20"/>
                <w:lang w:val="hu-HU"/>
              </w:rPr>
              <w:t xml:space="preserve"> készpénzfelvételek, az </w:t>
            </w:r>
            <w:r>
              <w:t>EKB/2014/15</w:t>
            </w:r>
            <w:r>
              <w:rPr>
                <w:rStyle w:val="FootnoteReference"/>
                <w:rFonts w:eastAsia="Cambria" w:cs="Times New Roman"/>
                <w:color w:val="000000" w:themeColor="text1"/>
              </w:rPr>
              <w:footnoteReference w:id="20"/>
            </w:r>
            <w:r>
              <w:t xml:space="preserve"> </w:t>
            </w:r>
            <w:r w:rsidRPr="003F6B04">
              <w:rPr>
                <w:rFonts w:ascii="Times New Roman" w:eastAsia="Cambria" w:hAnsi="Times New Roman" w:cs="Times New Roman"/>
                <w:color w:val="000000" w:themeColor="text1"/>
                <w:sz w:val="20"/>
                <w:szCs w:val="20"/>
                <w:lang w:val="hu-HU"/>
              </w:rPr>
              <w:t>táblázatában meghatározottak szerint.</w:t>
            </w:r>
          </w:p>
          <w:p w14:paraId="3FE3BA16" w14:textId="77777777" w:rsidR="003F6B04" w:rsidRDefault="003F6B04">
            <w:pPr>
              <w:pStyle w:val="TableParagraph"/>
              <w:spacing w:before="108"/>
              <w:rPr>
                <w:rFonts w:ascii="Times New Roman" w:eastAsia="Cambria" w:hAnsi="Times New Roman" w:cs="Times New Roman"/>
                <w:color w:val="000000" w:themeColor="text1"/>
                <w:sz w:val="20"/>
                <w:szCs w:val="20"/>
              </w:rPr>
            </w:pPr>
          </w:p>
          <w:p w14:paraId="4232CB62" w14:textId="3117FFD7" w:rsidR="003F6B04" w:rsidRDefault="003F6B04">
            <w:pPr>
              <w:pStyle w:val="P68B1DB1-TableParagraph17"/>
              <w:spacing w:before="108"/>
            </w:pPr>
          </w:p>
          <w:p w14:paraId="43D79129" w14:textId="2DBDAA45" w:rsidR="003F6B04" w:rsidRPr="003F6B04" w:rsidRDefault="003F6B04" w:rsidP="003F6B04">
            <w:pPr>
              <w:pStyle w:val="P68B1DB1-TableParagraph17"/>
              <w:spacing w:before="108"/>
              <w:rPr>
                <w:lang w:val="hu-HU"/>
              </w:rPr>
            </w:pPr>
            <w:r w:rsidRPr="003F6B04">
              <w:rPr>
                <w:lang w:val="hu-HU"/>
              </w:rPr>
              <w:t>Értékpapír-elszámolási szolgáltatások (funkcióazonosító: 3.4): Az ügyfelek nevében feldolgozott értékpapír-transzferek értéke. Ez magában foglalja az értékpapír-elszámolási</w:t>
            </w:r>
            <w:r w:rsidR="008441DA">
              <w:rPr>
                <w:lang w:val="hu-HU"/>
              </w:rPr>
              <w:t xml:space="preserve"> </w:t>
            </w:r>
            <w:r w:rsidRPr="003F6B04">
              <w:rPr>
                <w:lang w:val="hu-HU"/>
              </w:rPr>
              <w:t>rendszerrel elszámolt vagy a</w:t>
            </w:r>
            <w:r w:rsidR="00291255">
              <w:rPr>
                <w:lang w:val="hu-HU"/>
              </w:rPr>
              <w:t>z</w:t>
            </w:r>
            <w:r w:rsidRPr="003F6B04">
              <w:rPr>
                <w:lang w:val="hu-HU"/>
              </w:rPr>
              <w:t xml:space="preserve"> </w:t>
            </w:r>
            <w:r w:rsidR="00291255">
              <w:rPr>
                <w:lang w:val="hu-HU"/>
              </w:rPr>
              <w:t>adatszolgáltató</w:t>
            </w:r>
            <w:r w:rsidRPr="003F6B04">
              <w:rPr>
                <w:lang w:val="hu-HU"/>
              </w:rPr>
              <w:t xml:space="preserve"> által belsőleg elszámolt tranzakciókat, valamint a „fizetésmentes” tranzakciókat. Csak a küldött tranzakciók értékét kell jelenteni.</w:t>
            </w:r>
          </w:p>
          <w:p w14:paraId="7FE1BBA4" w14:textId="77777777" w:rsidR="003F6B04" w:rsidRDefault="003F6B04">
            <w:pPr>
              <w:pStyle w:val="P68B1DB1-TableParagraph17"/>
              <w:spacing w:before="108"/>
            </w:pPr>
          </w:p>
        </w:tc>
      </w:tr>
      <w:tr w:rsidR="00896468"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896468" w:rsidRDefault="00B31E50">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6039ECFC" w:rsidR="00896468" w:rsidRDefault="00B31E50">
            <w:pPr>
              <w:pStyle w:val="P68B1DB1-TableParagraph14"/>
              <w:spacing w:before="108"/>
              <w:rPr>
                <w:bCs/>
              </w:rPr>
            </w:pPr>
            <w:r>
              <w:t>Azon ügyletek értéke, amelyek</w:t>
            </w:r>
            <w:r w:rsidR="00D232EB">
              <w:t>et</w:t>
            </w:r>
            <w:r>
              <w:t xml:space="preserve"> </w:t>
            </w:r>
            <w:r w:rsidR="00D232EB">
              <w:t>rendszeres számláról hajtanak végre</w:t>
            </w:r>
          </w:p>
          <w:p w14:paraId="7FE1BBA8" w14:textId="294575AC" w:rsidR="00896468" w:rsidRDefault="00B31E50">
            <w:pPr>
              <w:pStyle w:val="P68B1DB1-TableParagraph17"/>
              <w:spacing w:before="108"/>
            </w:pPr>
            <w:r>
              <w:t>A (c0030) tételben jelentett olyan ügyletek értéke, amelyeket rendszeres pénzforgalmi szolgáltatási számláról hajtanak végre.  A</w:t>
            </w:r>
            <w:r w:rsidR="00D232EB">
              <w:t xml:space="preserve"> rendszeres</w:t>
            </w:r>
            <w:r>
              <w:t xml:space="preserve"> pénzforgalmi szolgáltatási számlák olyan pénzforgalmi szolgáltatási számlák, amelyek esetében a számlát a zárónapot megelőző 6 hónap során átlagosan legalább 5 havi tranzakcióval megterhelték vagy jóváírták, kivéve a számlához kapcsolódó éves díjakat, egyéb díjakat és kamatfizetéseket.</w:t>
            </w:r>
            <w:r>
              <w:tab/>
            </w:r>
            <w:r>
              <w:tab/>
            </w:r>
            <w:r>
              <w:tab/>
            </w:r>
            <w:r>
              <w:tab/>
            </w:r>
            <w:r>
              <w:tab/>
            </w:r>
            <w:r>
              <w:tab/>
            </w:r>
            <w:r>
              <w:tab/>
            </w:r>
            <w:r>
              <w:tab/>
            </w:r>
          </w:p>
        </w:tc>
      </w:tr>
      <w:tr w:rsidR="00896468"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896468" w:rsidRDefault="00B31E50">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896468" w:rsidRDefault="00B31E50">
            <w:pPr>
              <w:pStyle w:val="P68B1DB1-Normal42"/>
              <w:rPr>
                <w:bCs/>
              </w:rPr>
            </w:pPr>
            <w:r>
              <w:t>Nyitott pozíciók értéke</w:t>
            </w:r>
          </w:p>
          <w:p w14:paraId="7B054286" w14:textId="2A9A7E99" w:rsidR="00896468" w:rsidRDefault="00896468">
            <w:pPr>
              <w:pStyle w:val="P68B1DB1-TableParagraph17"/>
              <w:spacing w:before="108"/>
              <w:jc w:val="both"/>
            </w:pPr>
          </w:p>
          <w:p w14:paraId="4A4A88F0" w14:textId="03F78E8D" w:rsidR="00784CDE" w:rsidRPr="00784CDE" w:rsidRDefault="00784CDE" w:rsidP="00784CDE">
            <w:pPr>
              <w:pStyle w:val="P68B1DB1-TableParagraph17"/>
              <w:spacing w:before="108"/>
              <w:jc w:val="both"/>
              <w:rPr>
                <w:lang w:val="hu-HU"/>
              </w:rPr>
            </w:pPr>
            <w:r w:rsidRPr="00784CDE">
              <w:rPr>
                <w:lang w:val="hu-HU"/>
              </w:rPr>
              <w:lastRenderedPageBreak/>
              <w:t xml:space="preserve">Csak a 3.5-ös funkcióazonosítóhoz („CCP clearing services”) kell jelenteni: azokat a pozíciókat (kitettséget), amelyeket azok a </w:t>
            </w:r>
            <w:r w:rsidR="00D232EB">
              <w:rPr>
                <w:lang w:val="hu-HU"/>
              </w:rPr>
              <w:t>központi szerződő fele</w:t>
            </w:r>
            <w:r w:rsidRPr="00784CDE">
              <w:rPr>
                <w:lang w:val="hu-HU"/>
              </w:rPr>
              <w:t>k, amelyeknek az intézmény tagja, az intézménnyel szemben az ügyfelei nevében vállalnak.</w:t>
            </w:r>
          </w:p>
          <w:p w14:paraId="28744085" w14:textId="77777777" w:rsidR="00784CDE" w:rsidRPr="00784CDE" w:rsidRDefault="00784CDE" w:rsidP="00784CDE">
            <w:pPr>
              <w:pStyle w:val="P68B1DB1-TableParagraph17"/>
              <w:spacing w:before="108"/>
              <w:jc w:val="both"/>
              <w:rPr>
                <w:lang w:val="hu-HU"/>
              </w:rPr>
            </w:pPr>
          </w:p>
          <w:p w14:paraId="0EDC0649" w14:textId="4B2457F7" w:rsidR="00784CDE" w:rsidRPr="00784CDE" w:rsidRDefault="00784CDE" w:rsidP="00784CDE">
            <w:pPr>
              <w:pStyle w:val="P68B1DB1-TableParagraph17"/>
              <w:spacing w:before="108"/>
              <w:jc w:val="both"/>
              <w:rPr>
                <w:lang w:val="hu-HU"/>
              </w:rPr>
            </w:pPr>
            <w:r w:rsidRPr="00784CDE">
              <w:rPr>
                <w:lang w:val="hu-HU"/>
              </w:rPr>
              <w:t xml:space="preserve">A </w:t>
            </w:r>
            <w:r w:rsidR="00D232EB">
              <w:rPr>
                <w:lang w:val="hu-HU"/>
              </w:rPr>
              <w:t>központi szerződő fele</w:t>
            </w:r>
            <w:r w:rsidRPr="00784CDE">
              <w:rPr>
                <w:lang w:val="hu-HU"/>
              </w:rPr>
              <w:t>knél az ügyfelek tevékenységéhez kapcsolódó nyitott pozíciók átlagos napi értékét kell megadni. Ha ez nem áll rendelkezésre, akkor rövidebb időszak (pl. néhány hónap) átlagát vagy év végi nyitott pozíciókat is jelenthet.</w:t>
            </w:r>
          </w:p>
          <w:p w14:paraId="7FE1BBB0" w14:textId="156943E4" w:rsidR="00784CDE" w:rsidRDefault="00784CDE">
            <w:pPr>
              <w:pStyle w:val="P68B1DB1-TableParagraph17"/>
              <w:spacing w:before="108"/>
              <w:jc w:val="both"/>
            </w:pPr>
          </w:p>
        </w:tc>
      </w:tr>
      <w:tr w:rsidR="00896468"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896468" w:rsidRDefault="00B31E50">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BB3" w14:textId="4C4F8708" w:rsidR="00896468" w:rsidRDefault="00B31E50">
            <w:pPr>
              <w:pStyle w:val="P68B1DB1-Normal42"/>
              <w:rPr>
                <w:bCs/>
              </w:rPr>
            </w:pPr>
            <w:r>
              <w:t>Letéti őrzésben l</w:t>
            </w:r>
            <w:r w:rsidR="000802EF">
              <w:t>é</w:t>
            </w:r>
            <w:r>
              <w:t>vő eszközök értéke</w:t>
            </w:r>
          </w:p>
          <w:p w14:paraId="4E1BC0D2" w14:textId="647E5D7C" w:rsidR="00896468" w:rsidRDefault="00896468">
            <w:pPr>
              <w:pStyle w:val="P68B1DB1-TableParagraph13"/>
              <w:spacing w:before="108"/>
              <w:jc w:val="both"/>
            </w:pPr>
          </w:p>
          <w:p w14:paraId="64DB80FC" w14:textId="545FEE78" w:rsidR="006A5D83" w:rsidRPr="00C46908" w:rsidRDefault="006A5D83" w:rsidP="006A5D83">
            <w:pPr>
              <w:pStyle w:val="P68B1DB1-TableParagraph13"/>
              <w:spacing w:before="108"/>
              <w:jc w:val="both"/>
              <w:rPr>
                <w:lang w:val="hu-HU"/>
              </w:rPr>
            </w:pPr>
            <w:r w:rsidRPr="00C46908">
              <w:rPr>
                <w:lang w:val="hu-HU"/>
              </w:rPr>
              <w:t>Csak a 3.6-os „Letéti szolgáltatások” funkcióazonosítóhoz kell jelenteni: a letétben tartott eszközök összegét, valós értéken. Más mérési alapok, beleértve a névértéket is, használhatók, ha a valós érték nem áll rendelkezésre. Azokban az esetekben, amikor az intézmény szolgáltatásokat nyújt olyan szervezeteknek, mint a kollektív befektetési vállalkozások vagy nyugdíjalapok, az érintett eszközöket azon az értéken lehet feltüntetni, amelyen ezek a szervezetek a saját mérlegükben jelentik az eszközöket. A jelentett összegeknek tartalmazniuk kell a felhalmozott kamatot is, ha alkalmazható.</w:t>
            </w:r>
          </w:p>
          <w:p w14:paraId="7FE1BBB9" w14:textId="19631256" w:rsidR="006A5D83" w:rsidRDefault="006A5D83">
            <w:pPr>
              <w:pStyle w:val="P68B1DB1-TableParagraph13"/>
              <w:spacing w:before="108"/>
              <w:jc w:val="both"/>
              <w:rPr>
                <w:b/>
                <w:bCs/>
              </w:rPr>
            </w:pPr>
          </w:p>
        </w:tc>
      </w:tr>
      <w:tr w:rsidR="00896468"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896468" w:rsidRDefault="00B31E50">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896468" w:rsidRDefault="00B31E50">
            <w:pPr>
              <w:pStyle w:val="P68B1DB1-TableParagraph14"/>
              <w:spacing w:before="108"/>
              <w:ind w:left="85"/>
              <w:jc w:val="both"/>
              <w:rPr>
                <w:bCs/>
              </w:rPr>
            </w:pPr>
            <w:r>
              <w:t>Határon átnyúló érték</w:t>
            </w:r>
          </w:p>
          <w:p w14:paraId="7FE1BBBD" w14:textId="5ED5510F" w:rsidR="00896468" w:rsidRDefault="00B31E50">
            <w:pPr>
              <w:pStyle w:val="P68B1DB1-TableParagraph13"/>
              <w:spacing w:before="108"/>
              <w:ind w:left="85"/>
              <w:jc w:val="both"/>
            </w:pPr>
            <w:r>
              <w:t xml:space="preserve">A küldött műveletek esetében a kettős figyelembevétel elkerülése érdekében a határokon átnyúló műveleteket abban az országban kell </w:t>
            </w:r>
            <w:r w:rsidR="00D232EB">
              <w:t>jelenteni</w:t>
            </w:r>
            <w:r>
              <w:t>, ahonnan a művelet ered.</w:t>
            </w:r>
          </w:p>
          <w:p w14:paraId="7FE1BBBE" w14:textId="3893A5AF" w:rsidR="00896468" w:rsidRDefault="00896468">
            <w:pPr>
              <w:pStyle w:val="P68B1DB1-TableParagraph13"/>
              <w:spacing w:before="108"/>
              <w:ind w:left="85"/>
              <w:jc w:val="both"/>
              <w:rPr>
                <w:b/>
                <w:bCs/>
              </w:rPr>
            </w:pPr>
          </w:p>
        </w:tc>
      </w:tr>
      <w:tr w:rsidR="00896468"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896468" w:rsidRDefault="00B31E50">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896468" w:rsidRDefault="00B31E50">
            <w:pPr>
              <w:pStyle w:val="P68B1DB1-Normal42"/>
              <w:rPr>
                <w:bCs/>
              </w:rPr>
            </w:pPr>
            <w:r>
              <w:t>Tranzakciók száma</w:t>
            </w:r>
          </w:p>
          <w:p w14:paraId="7FE1BBC2" w14:textId="18871174" w:rsidR="00896468" w:rsidRDefault="00B31E50">
            <w:pPr>
              <w:pStyle w:val="P68B1DB1-TableParagraph16"/>
              <w:spacing w:before="108"/>
              <w:jc w:val="both"/>
            </w:pPr>
            <w:r>
              <w:t xml:space="preserve">Általános szabályként az ID 3.1–3.4 funkciók 0160–0190. sorában, 0030-as oszlopban jelentett értékeknek megfelelő napi ügyletek átlagos számát kell megadni az év során. Ha ez nem áll rendelkezésre, rövidebb időszak (pl. néhány hónap) átlagát is fel lehet tüntetni. Az egyes különböző funkciók tekintetében a következő mérőszámokat kell használni: </w:t>
            </w:r>
          </w:p>
          <w:p w14:paraId="7FE1BBC3" w14:textId="1348005F" w:rsidR="00896468" w:rsidRDefault="007D69C8">
            <w:pPr>
              <w:pStyle w:val="P68B1DB1-TableParagraph16"/>
              <w:spacing w:before="108"/>
              <w:jc w:val="both"/>
            </w:pPr>
            <w:r>
              <w:t>Fizetési művelet</w:t>
            </w:r>
            <w:r w:rsidR="00B31E50">
              <w:t xml:space="preserve"> (ID 3.1–3.2): Az elküldött ügyletek száma. Háttérhivatkozások: A belső piaci pénzforgalmi szolgáltatásokról szóló (EU) 2015/2366 irányelv 4. cikkének (5) bekezdése; Az EKB fizetési statisztikákról szóló rendelete (EKB/2013/43). </w:t>
            </w:r>
          </w:p>
          <w:p w14:paraId="7FE1BBC4" w14:textId="4C42EF2A" w:rsidR="00896468" w:rsidRDefault="00B31E50">
            <w:pPr>
              <w:pStyle w:val="P68B1DB1-TableParagraph16"/>
              <w:spacing w:before="108"/>
              <w:jc w:val="both"/>
            </w:pPr>
            <w:r>
              <w:t xml:space="preserve">Készpénzszolgáltatások (ID 3.3): Az ATM-műveletek száma az ECB/2021/16 5a. táblázatában meghatározottak szerint, valamint a pénztári készpénzfelvétel, az ECB/2014/15 4. táblázatában meghatározottak szerint. </w:t>
            </w:r>
          </w:p>
          <w:p w14:paraId="7FE1BBC5" w14:textId="3EDDF001" w:rsidR="00896468" w:rsidRDefault="00B31E50">
            <w:pPr>
              <w:pStyle w:val="P68B1DB1-TableParagraph16"/>
              <w:spacing w:before="108"/>
              <w:jc w:val="both"/>
              <w:rPr>
                <w:b/>
                <w:bCs/>
                <w:color w:val="000000" w:themeColor="text1"/>
                <w:sz w:val="20"/>
                <w:szCs w:val="20"/>
              </w:rPr>
            </w:pPr>
            <w:r>
              <w:t xml:space="preserve">Értékpapír-kiegyenlítési szolgáltatások (ID 3.4): Az ügyfelek nevében feldolgozott értékpapír-műveletek száma. Ide tartoznak az értékpapír-kiegyenlítési rendszerrel kiegyenlített vagy az adatszolgáltató </w:t>
            </w:r>
            <w:r w:rsidR="007D69C8">
              <w:t xml:space="preserve">szervezetek </w:t>
            </w:r>
            <w:r>
              <w:t>által belsőleg kiegyenlített ügyletek és a „fizetés nélküli ügyletek”.</w:t>
            </w:r>
          </w:p>
        </w:tc>
      </w:tr>
      <w:tr w:rsidR="00896468"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896468" w:rsidRDefault="00B31E50">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896468" w:rsidRDefault="00B31E50">
            <w:pPr>
              <w:pStyle w:val="P68B1DB1-TableParagraph14"/>
              <w:spacing w:before="108"/>
              <w:ind w:left="85"/>
              <w:jc w:val="both"/>
              <w:rPr>
                <w:bCs/>
              </w:rPr>
            </w:pPr>
            <w:r>
              <w:t>Ügyfelek száma</w:t>
            </w:r>
          </w:p>
          <w:p w14:paraId="7FE1BBC9" w14:textId="5C934B58" w:rsidR="00896468" w:rsidRDefault="00B31E50">
            <w:pPr>
              <w:pStyle w:val="P68B1DB1-TableParagraph13"/>
              <w:spacing w:before="108"/>
              <w:ind w:left="85"/>
              <w:jc w:val="both"/>
            </w:pPr>
            <w:r>
              <w:t>Azon (rezidens és nem rezidens) ügyfelek száma, akiknek a szolgáltatást nyújtják. Ha egy ügyfél egynél többször vesz igénybe egy alfunkción belüli szolgáltatást, az ügyfelet csak egyszer kell figyelembe venni.</w:t>
            </w:r>
          </w:p>
        </w:tc>
      </w:tr>
      <w:tr w:rsidR="00896468"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896468" w:rsidRDefault="00B31E50">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896468" w:rsidRDefault="00B31E50">
            <w:pPr>
              <w:pStyle w:val="P68B1DB1-TableParagraph14"/>
              <w:spacing w:before="108"/>
              <w:jc w:val="both"/>
              <w:rPr>
                <w:bCs/>
              </w:rPr>
            </w:pPr>
            <w:r>
              <w:t>Hatás- és helyettesíthetőségi elemzések</w:t>
            </w:r>
          </w:p>
          <w:p w14:paraId="7FE1BBD0" w14:textId="77777777" w:rsidR="00896468" w:rsidRDefault="00B31E50">
            <w:pPr>
              <w:pStyle w:val="P68B1DB1-TableParagraph13"/>
              <w:spacing w:before="108"/>
              <w:jc w:val="both"/>
            </w:pPr>
            <w:r>
              <w:t xml:space="preserve">A harmadik felekre gyakorolt hatás értékelési kritériumai a kritikus funkciókról szóló (EU) 2016/778 felhatalmazáson alapuló bizottsági rendelettel összhangban a következő elemeket </w:t>
            </w:r>
            <w:r>
              <w:lastRenderedPageBreak/>
              <w:t>foglalják magukban:</w:t>
            </w:r>
          </w:p>
          <w:p w14:paraId="7FE1BBD1" w14:textId="77777777" w:rsidR="00896468" w:rsidRDefault="00B31E50">
            <w:pPr>
              <w:pStyle w:val="P68B1DB1-ListParagraph38"/>
              <w:numPr>
                <w:ilvl w:val="0"/>
                <w:numId w:val="131"/>
              </w:numPr>
              <w:spacing w:line="276" w:lineRule="auto"/>
            </w:pPr>
            <w:r>
              <w:t>a tevékenység jellege és kiterjedtsége, az ügyletek globális, nemzeti vagy regionális kiterjedtsége, volumene és száma; az ügyfelek és partnerek száma; azon ügyfelek száma, amelyek számára az intézmény az egyetlen vagy fő banki partner;</w:t>
            </w:r>
          </w:p>
          <w:p w14:paraId="7FE1BBD2" w14:textId="77777777" w:rsidR="00896468" w:rsidRDefault="00B31E50">
            <w:pPr>
              <w:pStyle w:val="P68B1DB1-ListParagraph38"/>
              <w:numPr>
                <w:ilvl w:val="0"/>
                <w:numId w:val="131"/>
              </w:numPr>
              <w:spacing w:line="276" w:lineRule="auto"/>
            </w:pPr>
            <w:r>
              <w:t>az intézmény helyi, regionális, nemzeti vagy európai szintű jelentősége – az érintett piactól függően. Az intézmény jelentősége a piaci részesedés, a beágyazottság, az összetettség és a határokon átnyúló tevékenységek alapján értékelhető;</w:t>
            </w:r>
          </w:p>
          <w:p w14:paraId="7FE1BBD3" w14:textId="634D36B8" w:rsidR="00896468" w:rsidRDefault="00B31E50">
            <w:pPr>
              <w:pStyle w:val="P68B1DB1-ListParagraph38"/>
              <w:numPr>
                <w:ilvl w:val="0"/>
                <w:numId w:val="131"/>
              </w:numPr>
              <w:spacing w:line="276" w:lineRule="auto"/>
            </w:pPr>
            <w:r>
              <w:t xml:space="preserve">a funkció által érintett ügyfelek és érdekelt felek jellege, azaz többek között lakossági ügyfelek, vállalati ügyfelek, bankközi ügyfelek, központi elszámolóházak és </w:t>
            </w:r>
            <w:r w:rsidR="00F44EB3">
              <w:t xml:space="preserve">állami </w:t>
            </w:r>
            <w:r>
              <w:t xml:space="preserve">szervezetek; </w:t>
            </w:r>
          </w:p>
          <w:p w14:paraId="7FE1BBD4" w14:textId="77777777" w:rsidR="00896468" w:rsidRDefault="00B31E50">
            <w:pPr>
              <w:pStyle w:val="P68B1DB1-ListParagraph38"/>
              <w:numPr>
                <w:ilvl w:val="0"/>
                <w:numId w:val="131"/>
              </w:numPr>
              <w:spacing w:line="276" w:lineRule="auto"/>
            </w:pPr>
            <w:r>
              <w:t>a funkció zavarának a piacokra, infrastruktúrákra, ügyfelekre és közszolgáltatásokra gyakorolt potenciális hatása. Az értékelés kiterjedhet mindenekelőtt az érintett piacok likviditására, az ügyfelek tevékenységére kifejtett hatásokra és az ügyfelek tevékenysége megzavarásának mértékére, valamint a rövid távú likviditási szükségletekre; a partnerek, ügyfelek és a nyilvánosság általi észlelhetőség; az ügyfelek reagáló képessége és reakciójuk sebessége; a más piacok működése szempontjából vizsgált jelentőség; a más piacok likviditására, működési folyamataira, szerkezetére gyakorolt hatás; a fő ügyfelekhez kapcsolódó más partnerekre gyakorolt hatás, valamint a funkciónak más szolgáltatásokkal való összefüggései.</w:t>
            </w:r>
          </w:p>
          <w:p w14:paraId="7FE1BBD5"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896468" w:rsidRDefault="00B31E50">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24392150" w:rsidR="00896468" w:rsidRDefault="00DD6F86">
            <w:pPr>
              <w:pStyle w:val="P68B1DB1-TableParagraph14"/>
              <w:spacing w:before="108"/>
              <w:jc w:val="both"/>
              <w:rPr>
                <w:bCs/>
              </w:rPr>
            </w:pPr>
            <w:r>
              <w:t>Jelleg és kiterjedtség</w:t>
            </w:r>
          </w:p>
          <w:p w14:paraId="7FE1BBD9" w14:textId="3EBFC631" w:rsidR="00896468" w:rsidRDefault="00B31E50">
            <w:pPr>
              <w:pStyle w:val="P68B1DB1-TableParagraph13"/>
              <w:spacing w:before="108"/>
              <w:jc w:val="both"/>
            </w:pPr>
            <w:r>
              <w:t xml:space="preserve">A globális, nemzeti vagy regionális kiterjedtség, </w:t>
            </w:r>
            <w:r w:rsidR="00DD6F86" w:rsidRPr="00DD6F86">
              <w:t>tranzakciók volumene és száma</w:t>
            </w:r>
            <w:r>
              <w:t>; az ügyfelek és partnerek száma; azon ügyfelek száma, amelyek számára az intézmény az egyetlen vagy fő banki partner;</w:t>
            </w:r>
          </w:p>
        </w:tc>
      </w:tr>
      <w:tr w:rsidR="00896468"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896468" w:rsidRDefault="00B31E50">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023ECD67" w:rsidR="00896468" w:rsidRDefault="00B31E50">
            <w:pPr>
              <w:pStyle w:val="P68B1DB1-TableParagraph14"/>
              <w:spacing w:before="108"/>
              <w:jc w:val="both"/>
              <w:rPr>
                <w:bCs/>
              </w:rPr>
            </w:pPr>
            <w:r>
              <w:t>Méretmutató</w:t>
            </w:r>
            <w:r w:rsidR="00F44EB3">
              <w:t xml:space="preserve"> 1</w:t>
            </w:r>
          </w:p>
          <w:p w14:paraId="0D530995" w14:textId="5B5A29D2" w:rsidR="00896468" w:rsidRDefault="00F44EB3">
            <w:pPr>
              <w:pStyle w:val="P68B1DB1-Normal31"/>
              <w:spacing w:line="276" w:lineRule="auto"/>
              <w:jc w:val="both"/>
            </w:pPr>
            <w:r>
              <w:t xml:space="preserve">Értékelje a bank fontosságát ezekben a tevékenységekben. </w:t>
            </w:r>
            <w:r w:rsidR="00B31E50">
              <w:t xml:space="preserve">Ezt az értékelést minőségileg </w:t>
            </w:r>
            <w:r w:rsidR="00DD6F86">
              <w:t xml:space="preserve">a </w:t>
            </w:r>
            <w:r w:rsidR="00B31E50">
              <w:t>„nagy”, „közepes-magas”, „közepes-alacsony” vagy „alacsony”</w:t>
            </w:r>
            <w:r w:rsidR="00DD6F86">
              <w:t xml:space="preserve"> kategóriák</w:t>
            </w:r>
            <w:r w:rsidR="00B31E50">
              <w:t xml:space="preserve"> fejezik ki.</w:t>
            </w:r>
            <w:r w:rsidRPr="00F63DCF">
              <w:t xml:space="preserve"> „Magas” értéket adjon meg, ha a </w:t>
            </w:r>
            <w:r>
              <w:t>funkció</w:t>
            </w:r>
            <w:r w:rsidRPr="00F63DCF">
              <w:t xml:space="preserve"> mérete nagy, „Közepes-Magas” értéket, ha közepes, „Közepes-Alacsony” értéket, ha kicsi, és „Alacsony” értéket, ha elhanyagolható.</w:t>
            </w:r>
            <w:r w:rsidR="00B31E50">
              <w:t xml:space="preserve"> A minőségi értékeléshez olyan makrogazdasági változókat kell használni, mint a GDP, a népesség (</w:t>
            </w:r>
            <w:r w:rsidR="00DD6F86">
              <w:t>b</w:t>
            </w:r>
            <w:r w:rsidR="00B31E50">
              <w:t xml:space="preserve">etétek, hitelezés, fizetések, készpénz, </w:t>
            </w:r>
            <w:r w:rsidR="00DD6F86">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BDD" w14:textId="31D8226E" w:rsidR="00896468" w:rsidRDefault="00896468">
            <w:pPr>
              <w:pStyle w:val="TableParagraph"/>
              <w:spacing w:before="108"/>
              <w:jc w:val="both"/>
              <w:rPr>
                <w:rFonts w:ascii="Times New Roman" w:hAnsi="Times New Roman" w:cs="Times New Roman"/>
                <w:color w:val="000000" w:themeColor="text1"/>
                <w:sz w:val="20"/>
                <w:szCs w:val="20"/>
              </w:rPr>
            </w:pPr>
          </w:p>
          <w:p w14:paraId="7FE1BBDE" w14:textId="31D59058" w:rsidR="00896468" w:rsidRDefault="00B31E50">
            <w:pPr>
              <w:pStyle w:val="P68B1DB1-ListParagraph32"/>
              <w:numPr>
                <w:ilvl w:val="0"/>
                <w:numId w:val="300"/>
              </w:numPr>
              <w:spacing w:line="276" w:lineRule="auto"/>
            </w:pPr>
            <w:r>
              <w:t xml:space="preserve">Az ügyletek </w:t>
            </w:r>
            <w:r>
              <w:rPr>
                <w:b/>
              </w:rPr>
              <w:t>értékének szakértői megítélése (c0030</w:t>
            </w:r>
            <w:r>
              <w:t xml:space="preserve"> az ID 3.1, 3.2, 3.3 és 3.4 funkció esetében); nyitott pozíciók (c0050 az ID 3.5 esetében); vagy a letéti őrzés alatt álló eszközök teljes összege (c0060 az ID 3.6 esetében) </w:t>
            </w:r>
            <w:r>
              <w:rPr>
                <w:b/>
              </w:rPr>
              <w:t>uniós</w:t>
            </w:r>
            <w:r>
              <w:t xml:space="preserve"> szempontból [</w:t>
            </w:r>
            <w:r>
              <w:rPr>
                <w:i/>
              </w:rPr>
              <w:t>egy szint</w:t>
            </w:r>
            <w:r w:rsidR="000D6D48">
              <w:rPr>
                <w:i/>
              </w:rPr>
              <w:t>tel</w:t>
            </w:r>
            <w:r>
              <w:rPr>
                <w:i/>
              </w:rPr>
              <w:t xml:space="preserve"> magasabb, mint az érintett piac]</w:t>
            </w:r>
            <w:r>
              <w:t xml:space="preserve">: </w:t>
            </w:r>
          </w:p>
          <w:p w14:paraId="7FE1BBDF" w14:textId="77777777" w:rsidR="00896468" w:rsidRDefault="00B31E50">
            <w:pPr>
              <w:pStyle w:val="P68B1DB1-ListParagraph32"/>
              <w:numPr>
                <w:ilvl w:val="0"/>
                <w:numId w:val="126"/>
              </w:numPr>
              <w:spacing w:line="276" w:lineRule="auto"/>
            </w:pPr>
            <w:r>
              <w:t xml:space="preserve">Uniós szempontból mennyire tartja nagynak a bankja által feldolgozott ügyletek értékét </w:t>
            </w:r>
            <w:r>
              <w:rPr>
                <w:i/>
              </w:rPr>
              <w:t>vagy</w:t>
            </w:r>
            <w:r>
              <w:t xml:space="preserve"> a központi szerződő feleknél az Ön bankjának ügyfelei által nyitott pozíciókat, </w:t>
            </w:r>
            <w:r>
              <w:rPr>
                <w:i/>
              </w:rPr>
              <w:t>vagy</w:t>
            </w:r>
            <w:r>
              <w:t xml:space="preserve"> az intézménye által az ügyfelei számára letéti őrzés alatt álló összes eszközt?</w:t>
            </w:r>
          </w:p>
        </w:tc>
      </w:tr>
      <w:tr w:rsidR="00896468"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896468" w:rsidRDefault="00B31E50">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1FF5886" w:rsidR="00896468" w:rsidRDefault="00B31E50">
            <w:pPr>
              <w:pStyle w:val="P68B1DB1-TableParagraph14"/>
              <w:spacing w:before="108"/>
              <w:jc w:val="both"/>
              <w:rPr>
                <w:bCs/>
              </w:rPr>
            </w:pPr>
            <w:r>
              <w:t>Méretmutató</w:t>
            </w:r>
            <w:r w:rsidR="00F44EB3">
              <w:t xml:space="preserve"> 2</w:t>
            </w:r>
          </w:p>
          <w:p w14:paraId="7D6A05E9" w14:textId="2BF915F3" w:rsidR="00896468" w:rsidRDefault="00F44EB3">
            <w:pPr>
              <w:pStyle w:val="P68B1DB1-Normal31"/>
              <w:spacing w:line="276" w:lineRule="auto"/>
              <w:jc w:val="both"/>
            </w:pPr>
            <w:r>
              <w:t xml:space="preserve">Értékelje a bank fontosságát ezekben a tevékenységekben. </w:t>
            </w:r>
            <w:r w:rsidR="00B31E50">
              <w:t>Ezt az értékelést minőségileg</w:t>
            </w:r>
            <w:r w:rsidR="00E128F4">
              <w:t xml:space="preserve"> a</w:t>
            </w:r>
            <w:r w:rsidR="00B31E50">
              <w:t xml:space="preserve"> „nagy”, „közepes-magas”, „közepes-alacsony” vagy „alacsony”</w:t>
            </w:r>
            <w:r w:rsidR="00E128F4">
              <w:t xml:space="preserve"> kategóriák</w:t>
            </w:r>
            <w:r w:rsidR="00B31E50">
              <w:t xml:space="preserve"> fejezik ki. </w:t>
            </w:r>
            <w:r w:rsidR="00082B69" w:rsidRPr="00F63DCF">
              <w:t xml:space="preserve">„Magas” értéket adjon meg, ha a </w:t>
            </w:r>
            <w:r w:rsidR="00082B69">
              <w:t>funkció</w:t>
            </w:r>
            <w:r w:rsidR="00082B69" w:rsidRPr="00F63DCF">
              <w:t xml:space="preserve"> mérete nagy, „Közepes-Magas” értéket, ha közepes, „Közepes-Alacsony” értéket, ha kicsi, és „Alacsony” értéket, ha elhanyagolható.</w:t>
            </w:r>
            <w:r w:rsidR="00082B69">
              <w:t xml:space="preserve"> </w:t>
            </w:r>
            <w:r w:rsidR="00B31E50">
              <w:t>A minőségi értékeléshez olyan makrogazdasági változókat kell használni, mint a GDP, a népesség (</w:t>
            </w:r>
            <w:r w:rsidR="00E128F4">
              <w:t>b</w:t>
            </w:r>
            <w:r w:rsidR="00B31E50">
              <w:t xml:space="preserve">etétek, hitelezés, fizetések, készpénz, </w:t>
            </w:r>
            <w:r w:rsidR="00E128F4">
              <w:lastRenderedPageBreak/>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BE3" w14:textId="27BCCC99" w:rsidR="00896468" w:rsidRDefault="00B31E50">
            <w:pPr>
              <w:pStyle w:val="P68B1DB1-TableParagraph13"/>
              <w:spacing w:before="108"/>
              <w:jc w:val="both"/>
            </w:pPr>
            <w:r>
              <w:t xml:space="preserve"> </w:t>
            </w:r>
          </w:p>
          <w:p w14:paraId="7FE1BBE4" w14:textId="0FB26117" w:rsidR="00896468" w:rsidRDefault="00B31E50">
            <w:pPr>
              <w:pStyle w:val="P68B1DB1-ListParagraph32"/>
              <w:numPr>
                <w:ilvl w:val="0"/>
                <w:numId w:val="120"/>
              </w:numPr>
              <w:spacing w:line="276" w:lineRule="auto"/>
            </w:pPr>
            <w:r>
              <w:t xml:space="preserve">A tranzakciók </w:t>
            </w:r>
            <w:r>
              <w:rPr>
                <w:b/>
              </w:rPr>
              <w:t>számának szakértői megítélése (c0100</w:t>
            </w:r>
            <w:r>
              <w:t xml:space="preserve"> a 3.1., 3.2., 3.3. és 3.4. funkció esetében); vagy az ügyfelek száma (c0110 – ID 3.5 és 3.6) </w:t>
            </w:r>
            <w:r>
              <w:rPr>
                <w:b/>
              </w:rPr>
              <w:t>nemzeti</w:t>
            </w:r>
            <w:r>
              <w:t xml:space="preserve"> szemszögből</w:t>
            </w:r>
            <w:r>
              <w:rPr>
                <w:i/>
              </w:rPr>
              <w:t>[az érintett piac szintjén</w:t>
            </w:r>
            <w:r>
              <w:t>]:</w:t>
            </w:r>
          </w:p>
          <w:p w14:paraId="7FE1BBE5" w14:textId="77777777" w:rsidR="00896468" w:rsidRDefault="00B31E50">
            <w:pPr>
              <w:pStyle w:val="P68B1DB1-ListParagraph32"/>
              <w:numPr>
                <w:ilvl w:val="1"/>
                <w:numId w:val="124"/>
              </w:numPr>
              <w:spacing w:line="276" w:lineRule="auto"/>
            </w:pPr>
            <w:r>
              <w:t>Nemzeti szempontból mennyire nagy az Ön intézménye ügyleteinek becsült teljes száma</w:t>
            </w:r>
            <w:r>
              <w:rPr>
                <w:i/>
              </w:rPr>
              <w:t xml:space="preserve"> vagy</w:t>
            </w:r>
            <w:r>
              <w:t xml:space="preserve"> ügyfeleinek becsült száma?</w:t>
            </w:r>
          </w:p>
          <w:p w14:paraId="7FE1BBE6" w14:textId="77777777" w:rsidR="00896468" w:rsidRDefault="00896468">
            <w:pPr>
              <w:spacing w:line="276" w:lineRule="auto"/>
              <w:rPr>
                <w:rFonts w:ascii="Times New Roman" w:hAnsi="Times New Roman"/>
                <w:color w:val="000000" w:themeColor="text1"/>
                <w:sz w:val="20"/>
                <w:szCs w:val="20"/>
              </w:rPr>
            </w:pPr>
          </w:p>
        </w:tc>
      </w:tr>
      <w:tr w:rsidR="00896468"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896468" w:rsidRDefault="00B31E50">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896468" w:rsidRDefault="00B31E50">
            <w:pPr>
              <w:pStyle w:val="P68B1DB1-TableParagraph14"/>
              <w:spacing w:before="108"/>
              <w:jc w:val="both"/>
              <w:rPr>
                <w:bCs/>
              </w:rPr>
            </w:pPr>
            <w:r>
              <w:t>Határokon átnyúló mutató</w:t>
            </w:r>
          </w:p>
          <w:p w14:paraId="7FE1BBEA" w14:textId="77777777" w:rsidR="00896468" w:rsidRDefault="00B31E50">
            <w:pPr>
              <w:pStyle w:val="P68B1DB1-TableParagraph13"/>
              <w:spacing w:before="108"/>
              <w:jc w:val="both"/>
            </w:pPr>
            <w:r>
              <w:t>Értékelje a határokon átnyúló tevékenységek relatív jelentőségét a különböző gazdasági funkciók szempontjából.</w:t>
            </w:r>
          </w:p>
          <w:p w14:paraId="7FE1BBEB" w14:textId="77777777" w:rsidR="00896468" w:rsidRDefault="00B31E50">
            <w:pPr>
              <w:pStyle w:val="P68B1DB1-TableParagraph13"/>
              <w:spacing w:before="108"/>
              <w:jc w:val="both"/>
            </w:pPr>
            <w:r>
              <w:t xml:space="preserve">Ezt nem kell értékelni olyan jelentések esetében, amelyekben az érintett piac regionálisnak minősül. </w:t>
            </w:r>
          </w:p>
          <w:p w14:paraId="31893031" w14:textId="17F40C8B" w:rsidR="00896468" w:rsidRDefault="00B31E50">
            <w:pPr>
              <w:pStyle w:val="P68B1DB1-TableParagraph33"/>
              <w:spacing w:before="108"/>
              <w:jc w:val="both"/>
            </w:pPr>
            <w:r>
              <w:t xml:space="preserve">Azon uniós országok száma, amelyekben az adatszolgáltató szervezet 2%-ot meghaladó piaci részesedéssel rendelkezik (a kifizetések, értékpapírok vagy készpénzügyletek, a központi szerződő feleknél nyitott ügyfélpozíciók vagy a letétkezelés alatt álló eszközök összértékében kifejezve). Jelentés: </w:t>
            </w:r>
          </w:p>
          <w:p w14:paraId="58BCAA6E" w14:textId="090336B0" w:rsidR="00896468" w:rsidRDefault="00B31E50">
            <w:pPr>
              <w:pStyle w:val="P68B1DB1-TableParagraph33"/>
              <w:numPr>
                <w:ilvl w:val="0"/>
                <w:numId w:val="282"/>
              </w:numPr>
              <w:spacing w:before="108"/>
              <w:jc w:val="both"/>
            </w:pPr>
            <w:r>
              <w:t xml:space="preserve">≤ 1 ország; </w:t>
            </w:r>
          </w:p>
          <w:p w14:paraId="5B55A7F9" w14:textId="6B3C23F3" w:rsidR="00896468" w:rsidRDefault="00B31E50">
            <w:pPr>
              <w:pStyle w:val="P68B1DB1-TableParagraph33"/>
              <w:numPr>
                <w:ilvl w:val="0"/>
                <w:numId w:val="282"/>
              </w:numPr>
              <w:spacing w:before="108"/>
              <w:jc w:val="both"/>
            </w:pPr>
            <w:r>
              <w:t>2–3 tagállam</w:t>
            </w:r>
          </w:p>
          <w:p w14:paraId="6A334CED" w14:textId="15F946E0" w:rsidR="00896468" w:rsidRDefault="00B31E50">
            <w:pPr>
              <w:pStyle w:val="P68B1DB1-TableParagraph33"/>
              <w:numPr>
                <w:ilvl w:val="0"/>
                <w:numId w:val="282"/>
              </w:numPr>
              <w:spacing w:before="108"/>
              <w:jc w:val="both"/>
            </w:pPr>
            <w:r>
              <w:t xml:space="preserve">4–5 ország; </w:t>
            </w:r>
          </w:p>
          <w:p w14:paraId="4D1B0AB8" w14:textId="03F4FDF2" w:rsidR="00896468" w:rsidRDefault="00B31E50">
            <w:pPr>
              <w:pStyle w:val="P68B1DB1-TableParagraph33"/>
              <w:numPr>
                <w:ilvl w:val="0"/>
                <w:numId w:val="282"/>
              </w:numPr>
              <w:spacing w:before="108"/>
              <w:jc w:val="both"/>
            </w:pPr>
            <w:r>
              <w:t xml:space="preserve">&gt; 5 ország, </w:t>
            </w:r>
          </w:p>
          <w:p w14:paraId="7FE1BBED" w14:textId="6A2A41A1" w:rsidR="00896468" w:rsidRDefault="00B31E50">
            <w:pPr>
              <w:pStyle w:val="P68B1DB1-TableParagraph33"/>
              <w:spacing w:before="108"/>
              <w:jc w:val="both"/>
              <w:rPr>
                <w:rFonts w:cs="Times New Roman"/>
                <w:color w:val="000000" w:themeColor="text1"/>
              </w:rPr>
            </w:pPr>
            <w:r>
              <w:t xml:space="preserve"> </w:t>
            </w:r>
          </w:p>
        </w:tc>
      </w:tr>
      <w:tr w:rsidR="00896468"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896468" w:rsidRDefault="00B31E50">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896468" w:rsidRDefault="00B31E50">
            <w:pPr>
              <w:pStyle w:val="P68B1DB1-TableParagraph14"/>
              <w:spacing w:before="108"/>
              <w:jc w:val="both"/>
              <w:rPr>
                <w:bCs/>
              </w:rPr>
            </w:pPr>
            <w:r>
              <w:t xml:space="preserve">Relevancia – </w:t>
            </w:r>
          </w:p>
          <w:p w14:paraId="7FE1BBF1" w14:textId="0DCBDBE7" w:rsidR="00896468" w:rsidRDefault="00B31E50">
            <w:pPr>
              <w:pStyle w:val="P68B1DB1-TableParagraph13"/>
              <w:spacing w:before="108"/>
              <w:jc w:val="both"/>
            </w:pPr>
            <w:r>
              <w:t>A helyi, regionális, nemzeti vagy európai szintű jelentősége – az érintett piactól függően. Az intézmény jelentősége a piaci részesedés, a</w:t>
            </w:r>
            <w:r w:rsidR="00E128F4">
              <w:t>z összekapcsoltság</w:t>
            </w:r>
            <w:r>
              <w:t>, az összetettség és a határokon átnyúló tevékenységek alapján értékelhető;</w:t>
            </w:r>
          </w:p>
          <w:p w14:paraId="7FE1BBF2" w14:textId="77777777" w:rsidR="00896468" w:rsidRDefault="00B31E50">
            <w:pPr>
              <w:pStyle w:val="P68B1DB1-TableParagraph14"/>
              <w:spacing w:before="108"/>
              <w:jc w:val="both"/>
              <w:rPr>
                <w:bCs/>
              </w:rPr>
            </w:pPr>
            <w:r>
              <w:t>Piaci részesedés</w:t>
            </w:r>
          </w:p>
          <w:p w14:paraId="30AC503F" w14:textId="10379C40" w:rsidR="00896468" w:rsidRDefault="00B31E50">
            <w:pPr>
              <w:pStyle w:val="P68B1DB1-Normal31"/>
              <w:spacing w:line="276" w:lineRule="auto"/>
              <w:jc w:val="both"/>
            </w:pPr>
            <w:r>
              <w:t>Értékel</w:t>
            </w:r>
            <w:r w:rsidR="00E128F4">
              <w:t>je</w:t>
            </w:r>
            <w:r>
              <w:t xml:space="preserve">, hogy </w:t>
            </w:r>
            <w:r w:rsidR="00E128F4">
              <w:t>az adatszolgáltató szervezet</w:t>
            </w:r>
            <w:r>
              <w:t xml:space="preserve"> piaci részesedése mennyire </w:t>
            </w:r>
            <w:r w:rsidR="00E128F4">
              <w:t xml:space="preserve">jelentős </w:t>
            </w:r>
            <w:r>
              <w:t xml:space="preserve">a nemzeti vagy más érintett piachoz képest, amint az a táblában szerepel. Ezt az értékelést minőségileg a következőképpen fejezik ki: </w:t>
            </w:r>
          </w:p>
          <w:p w14:paraId="5D8F45F8" w14:textId="77777777" w:rsidR="00896468" w:rsidRDefault="00B31E50">
            <w:pPr>
              <w:pStyle w:val="P68B1DB1-ListParagraph32"/>
              <w:numPr>
                <w:ilvl w:val="0"/>
                <w:numId w:val="276"/>
              </w:numPr>
              <w:spacing w:line="276" w:lineRule="auto"/>
              <w:jc w:val="both"/>
            </w:pPr>
            <w:r>
              <w:t>Magas, ha a piaci részesedés nagy</w:t>
            </w:r>
          </w:p>
          <w:p w14:paraId="5C7C2710" w14:textId="77777777" w:rsidR="00896468" w:rsidRDefault="00B31E50">
            <w:pPr>
              <w:pStyle w:val="P68B1DB1-ListParagraph32"/>
              <w:numPr>
                <w:ilvl w:val="0"/>
                <w:numId w:val="276"/>
              </w:numPr>
              <w:spacing w:line="276" w:lineRule="auto"/>
              <w:jc w:val="both"/>
            </w:pPr>
            <w:r>
              <w:t>Közepesen magas, ha a piaci részesedés közepes</w:t>
            </w:r>
          </w:p>
          <w:p w14:paraId="21F38734" w14:textId="4071F3CE" w:rsidR="00896468" w:rsidRDefault="00B31E50">
            <w:pPr>
              <w:pStyle w:val="P68B1DB1-ListParagraph32"/>
              <w:numPr>
                <w:ilvl w:val="0"/>
                <w:numId w:val="276"/>
              </w:numPr>
              <w:spacing w:line="276" w:lineRule="auto"/>
              <w:jc w:val="both"/>
            </w:pPr>
            <w:r>
              <w:t xml:space="preserve">Közepesen alacsony, ha a piaci részesedés </w:t>
            </w:r>
            <w:r w:rsidR="00C65B3A">
              <w:t>kicsi</w:t>
            </w:r>
            <w:r>
              <w:t xml:space="preserve">, vagy </w:t>
            </w:r>
          </w:p>
          <w:p w14:paraId="16968912" w14:textId="77777777" w:rsidR="00896468" w:rsidRDefault="00B31E50">
            <w:pPr>
              <w:pStyle w:val="P68B1DB1-ListParagraph32"/>
              <w:numPr>
                <w:ilvl w:val="0"/>
                <w:numId w:val="276"/>
              </w:numPr>
              <w:spacing w:line="276" w:lineRule="auto"/>
              <w:jc w:val="both"/>
            </w:pPr>
            <w:r>
              <w:t xml:space="preserve">Alacsony, ha a piaci részesedés elhanyagolható. </w:t>
            </w:r>
          </w:p>
          <w:p w14:paraId="7FE1BBF7" w14:textId="3931B1D9" w:rsidR="00896468" w:rsidRDefault="00896468">
            <w:pPr>
              <w:pStyle w:val="ListParagraph"/>
              <w:spacing w:line="276" w:lineRule="auto"/>
              <w:jc w:val="both"/>
              <w:rPr>
                <w:rFonts w:ascii="Times New Roman" w:eastAsiaTheme="minorHAnsi" w:hAnsi="Times New Roman"/>
                <w:color w:val="000000" w:themeColor="text1"/>
                <w:sz w:val="20"/>
                <w:szCs w:val="20"/>
              </w:rPr>
            </w:pPr>
          </w:p>
          <w:p w14:paraId="7FE1BBF8" w14:textId="6EA2F449" w:rsidR="00896468" w:rsidRDefault="00B31E50">
            <w:pPr>
              <w:pStyle w:val="P68B1DB1-TableParagraph13"/>
              <w:spacing w:before="108"/>
              <w:jc w:val="both"/>
            </w:pPr>
            <w:r>
              <w:t xml:space="preserve">Ez az értékelés figyelembe veszi </w:t>
            </w:r>
            <w:r w:rsidR="00E128F4">
              <w:t>az adatszolgáltató szervezet</w:t>
            </w:r>
            <w:r>
              <w:t xml:space="preserve"> országának (vagy más érintett piacának) piaci szerkezetét és a részben jelentett piaci részesedéseket. </w:t>
            </w:r>
          </w:p>
          <w:p w14:paraId="7FE1BBF9" w14:textId="7C82752C" w:rsidR="00896468" w:rsidRDefault="00B31E50">
            <w:pPr>
              <w:pStyle w:val="P68B1DB1-TableParagraph13"/>
              <w:spacing w:before="108"/>
              <w:jc w:val="both"/>
            </w:pPr>
            <w:r>
              <w:t>2.</w:t>
            </w:r>
            <w:r w:rsidR="00C65B3A">
              <w:t>Mennyiségi</w:t>
            </w:r>
            <w:r>
              <w:t xml:space="preserve"> adatok:</w:t>
            </w:r>
          </w:p>
          <w:p w14:paraId="7FE1BBFA" w14:textId="33D6257A" w:rsidR="00896468" w:rsidRDefault="00B31E50">
            <w:pPr>
              <w:pStyle w:val="P68B1DB1-ListParagraph32"/>
              <w:numPr>
                <w:ilvl w:val="0"/>
                <w:numId w:val="117"/>
              </w:numPr>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E128F4">
              <w:t>szükséges</w:t>
            </w:r>
            <w:r>
              <w:t>).</w:t>
            </w:r>
          </w:p>
          <w:p w14:paraId="7FE1BBFB"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BFC"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896468" w:rsidRDefault="00B31E50">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896468" w:rsidRDefault="00B31E50">
            <w:pPr>
              <w:pStyle w:val="P68B1DB1-TableParagraph14"/>
              <w:spacing w:before="108"/>
              <w:jc w:val="both"/>
              <w:rPr>
                <w:bCs/>
              </w:rPr>
            </w:pPr>
            <w:r>
              <w:t>Piacszerkezet – piaci koncentráció</w:t>
            </w:r>
          </w:p>
          <w:p w14:paraId="7FE1BC03" w14:textId="134C2541" w:rsidR="00896468" w:rsidRDefault="00B31E50">
            <w:pPr>
              <w:pStyle w:val="P68B1DB1-TableParagraph13"/>
              <w:spacing w:before="108"/>
              <w:jc w:val="both"/>
            </w:pPr>
            <w:r>
              <w:lastRenderedPageBreak/>
              <w:t>A jelenleg</w:t>
            </w:r>
            <w:r w:rsidR="00E128F4">
              <w:t>i</w:t>
            </w:r>
            <w:r>
              <w:t xml:space="preserve"> versenytársak számával mért piaci koncentráció</w:t>
            </w:r>
            <w:r w:rsidR="00E128F4">
              <w:t>, amelyek</w:t>
            </w:r>
            <w:r>
              <w:t xml:space="preserve"> hasonló gazdasági funkciók</w:t>
            </w:r>
            <w:r w:rsidR="00E128F4">
              <w:t>at látnak el</w:t>
            </w:r>
            <w:r>
              <w:t xml:space="preserve"> és/vagy azonos feltételek mellett hasonló szolgáltatások</w:t>
            </w:r>
            <w:r w:rsidR="00E128F4">
              <w:t>at nyújtanak</w:t>
            </w:r>
            <w:r>
              <w:t xml:space="preserve"> (azaz összehasonlítható </w:t>
            </w:r>
            <w:r w:rsidR="00E128F4">
              <w:t xml:space="preserve">a </w:t>
            </w:r>
            <w:r>
              <w:t xml:space="preserve">terjedelem és </w:t>
            </w:r>
            <w:r w:rsidR="00E128F4">
              <w:t xml:space="preserve">a </w:t>
            </w:r>
            <w:r>
              <w:t xml:space="preserve">minőség, valamint összehasonlítható </w:t>
            </w:r>
            <w:r w:rsidR="00E128F4">
              <w:t xml:space="preserve">a </w:t>
            </w:r>
            <w:r>
              <w:t>költség),</w:t>
            </w:r>
            <w:r w:rsidR="00E128F4">
              <w:t xml:space="preserve"> és</w:t>
            </w:r>
            <w:r>
              <w:t xml:space="preserve"> amely</w:t>
            </w:r>
            <w:r w:rsidR="00E128F4">
              <w:t>ek</w:t>
            </w:r>
            <w:r>
              <w:t xml:space="preserve"> potenciálisan átvehet</w:t>
            </w:r>
            <w:r w:rsidR="00E128F4">
              <w:t>ik</w:t>
            </w:r>
            <w:r>
              <w:t xml:space="preserve"> a</w:t>
            </w:r>
            <w:r w:rsidR="00E128F4">
              <w:t>z adatszolgáltató szervezet</w:t>
            </w:r>
            <w:r>
              <w:t xml:space="preserve"> ügyfelei</w:t>
            </w:r>
            <w:r w:rsidR="00E128F4">
              <w:t>t</w:t>
            </w:r>
            <w:r>
              <w:t xml:space="preserve"> és/vagy üzleti tevékenység</w:t>
            </w:r>
            <w:r w:rsidR="00E128F4">
              <w:t>ét</w:t>
            </w:r>
            <w:r>
              <w:t xml:space="preserve"> (</w:t>
            </w:r>
            <w:r w:rsidR="00E128F4">
              <w:t xml:space="preserve">vagy ennek egy </w:t>
            </w:r>
            <w:r>
              <w:t>rész</w:t>
            </w:r>
            <w:r w:rsidR="00E128F4">
              <w:t>ét</w:t>
            </w:r>
            <w:r>
              <w:t xml:space="preserve">) észszerű időn belül. </w:t>
            </w:r>
          </w:p>
          <w:p w14:paraId="7FE1BC04" w14:textId="77777777" w:rsidR="00896468" w:rsidRDefault="00B31E50">
            <w:pPr>
              <w:pStyle w:val="P68B1DB1-TableParagraph13"/>
              <w:spacing w:before="108"/>
              <w:jc w:val="both"/>
            </w:pPr>
            <w:r>
              <w:t xml:space="preserve">Ezt kategóriákban kell jelenteni, amelyek minden egyes alfunkció esetében azonosak. </w:t>
            </w:r>
          </w:p>
          <w:p w14:paraId="4C2F14CB" w14:textId="77777777" w:rsidR="00896468" w:rsidRDefault="00B31E50">
            <w:pPr>
              <w:pStyle w:val="P68B1DB1-ListParagraph32"/>
              <w:numPr>
                <w:ilvl w:val="0"/>
                <w:numId w:val="277"/>
              </w:numPr>
              <w:jc w:val="both"/>
            </w:pPr>
            <w:r>
              <w:t xml:space="preserve">&gt; 20 versenytárs; </w:t>
            </w:r>
          </w:p>
          <w:p w14:paraId="453D853E" w14:textId="77777777" w:rsidR="00896468" w:rsidRDefault="00B31E50">
            <w:pPr>
              <w:pStyle w:val="P68B1DB1-ListParagraph32"/>
              <w:numPr>
                <w:ilvl w:val="0"/>
                <w:numId w:val="277"/>
              </w:numPr>
              <w:jc w:val="both"/>
            </w:pPr>
            <w:r>
              <w:t xml:space="preserve">11–20 versenytárs; </w:t>
            </w:r>
          </w:p>
          <w:p w14:paraId="642D6421" w14:textId="77777777" w:rsidR="00896468" w:rsidRDefault="00B31E50">
            <w:pPr>
              <w:pStyle w:val="P68B1DB1-ListParagraph32"/>
              <w:numPr>
                <w:ilvl w:val="0"/>
                <w:numId w:val="277"/>
              </w:numPr>
              <w:jc w:val="both"/>
            </w:pPr>
            <w:r>
              <w:t xml:space="preserve">5–10 versenytárs, </w:t>
            </w:r>
          </w:p>
          <w:p w14:paraId="3C672034" w14:textId="6B3DDC8B" w:rsidR="00896468" w:rsidRDefault="00C65B3A">
            <w:pPr>
              <w:pStyle w:val="P68B1DB1-ListParagraph32"/>
              <w:numPr>
                <w:ilvl w:val="0"/>
                <w:numId w:val="277"/>
              </w:numPr>
              <w:jc w:val="both"/>
              <w:rPr>
                <w:b/>
                <w:bCs/>
                <w:color w:val="000000" w:themeColor="text1"/>
              </w:rPr>
            </w:pPr>
            <w:r>
              <w:t>&lt;</w:t>
            </w:r>
            <w:r w:rsidR="00B31E50">
              <w:t>5 versenytárs</w:t>
            </w:r>
          </w:p>
          <w:p w14:paraId="7FE1BC08" w14:textId="3B09659F" w:rsidR="00896468" w:rsidRDefault="00896468">
            <w:pPr>
              <w:jc w:val="both"/>
              <w:rPr>
                <w:rFonts w:ascii="Times New Roman" w:hAnsi="Times New Roman"/>
                <w:color w:val="000000" w:themeColor="text1"/>
                <w:sz w:val="20"/>
                <w:szCs w:val="20"/>
              </w:rPr>
            </w:pPr>
          </w:p>
        </w:tc>
      </w:tr>
      <w:tr w:rsidR="00896468"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896468" w:rsidRDefault="00B31E50">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3F42A799" w:rsidR="00896468" w:rsidRDefault="00B31E50">
            <w:pPr>
              <w:pStyle w:val="P68B1DB1-TableParagraph14"/>
              <w:spacing w:before="108"/>
              <w:jc w:val="both"/>
              <w:rPr>
                <w:bCs/>
              </w:rPr>
            </w:pPr>
            <w:r>
              <w:t>Idő</w:t>
            </w:r>
            <w:r w:rsidR="000D6D48">
              <w:t>tartam</w:t>
            </w:r>
            <w:r>
              <w:t xml:space="preserve"> – A helyettesítés várható ideje</w:t>
            </w:r>
          </w:p>
          <w:p w14:paraId="7FE1BC0D" w14:textId="1FB2E352" w:rsidR="00896468" w:rsidRDefault="00C65B3A">
            <w:pPr>
              <w:pStyle w:val="P68B1DB1-TableParagraph13"/>
              <w:spacing w:before="108"/>
              <w:jc w:val="both"/>
            </w:pPr>
            <w:r w:rsidRPr="00C65B3A">
              <w:br/>
              <w:t xml:space="preserve">Becsülje meg, hogy mennyi idő szükséges ahhoz, hogy </w:t>
            </w:r>
            <w:r w:rsidR="00442269">
              <w:t>az adatszolgáltató szervezet</w:t>
            </w:r>
            <w:r w:rsidRPr="00C65B3A">
              <w:t xml:space="preserve"> által ellátott gazdasági funkciót válsághelyzetben a piac felszívja.</w:t>
            </w:r>
            <w:r>
              <w:t xml:space="preserve"> </w:t>
            </w:r>
            <w:r w:rsidR="00B31E50">
              <w:t xml:space="preserve">Lebontva: </w:t>
            </w:r>
          </w:p>
          <w:p w14:paraId="7FE1BC0E" w14:textId="77777777" w:rsidR="00896468" w:rsidRDefault="00B31E50">
            <w:pPr>
              <w:pStyle w:val="P68B1DB1-ListParagraph38"/>
              <w:numPr>
                <w:ilvl w:val="0"/>
                <w:numId w:val="274"/>
              </w:numPr>
              <w:jc w:val="both"/>
            </w:pPr>
            <w:r>
              <w:t xml:space="preserve">az egy vagy több versenytárs számára a funkció átvételéhez szükséges jogi és technikai lépések elvégzéséhez várhatóan szükséges idő; valamint  </w:t>
            </w:r>
          </w:p>
          <w:p w14:paraId="7FE1BC0F" w14:textId="2CC790F7" w:rsidR="00896468" w:rsidRDefault="00B31E50">
            <w:pPr>
              <w:pStyle w:val="P68B1DB1-ListParagraph38"/>
              <w:numPr>
                <w:ilvl w:val="0"/>
                <w:numId w:val="274"/>
              </w:numPr>
              <w:jc w:val="both"/>
            </w:pPr>
            <w:r>
              <w:t xml:space="preserve">a szolgáltatás igénybe vevői által egy másik szolgáltatóhoz való </w:t>
            </w:r>
            <w:r w:rsidR="00442269">
              <w:t xml:space="preserve">átálláshoz </w:t>
            </w:r>
            <w:r>
              <w:t xml:space="preserve">szükséges idő. </w:t>
            </w:r>
          </w:p>
          <w:p w14:paraId="7FE1BC10"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11" w14:textId="7C1F9E96" w:rsidR="00896468" w:rsidRDefault="00B31E50">
            <w:pPr>
              <w:pStyle w:val="P68B1DB1-TableParagraph13"/>
              <w:spacing w:before="108"/>
              <w:jc w:val="both"/>
            </w:pPr>
            <w:r>
              <w:t xml:space="preserve">Az előbbi helyettesítőjeként adja meg annak becslését, hogy </w:t>
            </w:r>
            <w:r w:rsidR="00442269">
              <w:t>az adatszolgáltató szervezetnek</w:t>
            </w:r>
            <w:r>
              <w:t xml:space="preserve"> mennyi időre lenne szüksége ahhoz, hogy saját üzleti tevékenység</w:t>
            </w:r>
            <w:r w:rsidR="00442269">
              <w:t>ébe olvasszon</w:t>
            </w:r>
            <w:r>
              <w:t xml:space="preserve"> egy másik intézmény által nyújtott szolgáltatást</w:t>
            </w:r>
            <w:r w:rsidR="00A95A9C">
              <w:t xml:space="preserve"> (vagy annak egy részét)</w:t>
            </w:r>
            <w:r>
              <w:t>, észszerű költség mellett, válsághelyzetben. A táblában megadott kategóriákban adja meg a helyettesítés becsült idejét:</w:t>
            </w:r>
          </w:p>
          <w:p w14:paraId="7FE1BC12" w14:textId="77777777" w:rsidR="00896468" w:rsidRDefault="00896468">
            <w:pPr>
              <w:jc w:val="both"/>
              <w:rPr>
                <w:rFonts w:ascii="Times New Roman" w:eastAsia="Times New Roman" w:hAnsi="Times New Roman" w:cs="Times New Roman"/>
                <w:sz w:val="20"/>
                <w:szCs w:val="20"/>
              </w:rPr>
            </w:pPr>
          </w:p>
          <w:p w14:paraId="7FE1BC13" w14:textId="77777777" w:rsidR="00896468" w:rsidRDefault="00B31E50">
            <w:pPr>
              <w:pStyle w:val="P68B1DB1-Normal31"/>
              <w:jc w:val="both"/>
            </w:pPr>
            <w:bookmarkStart w:id="120" w:name="_Hlk194476081"/>
            <w:r>
              <w:t xml:space="preserve">Kategóriák: </w:t>
            </w:r>
          </w:p>
          <w:p w14:paraId="7FE1BC14" w14:textId="6413CC89" w:rsidR="00896468" w:rsidRDefault="00C65B3A">
            <w:pPr>
              <w:pStyle w:val="P68B1DB1-ListParagraph32"/>
              <w:numPr>
                <w:ilvl w:val="0"/>
                <w:numId w:val="284"/>
              </w:numPr>
              <w:jc w:val="both"/>
            </w:pPr>
            <w:r>
              <w:t>&lt;</w:t>
            </w:r>
            <w:r w:rsidR="00B31E50">
              <w:t xml:space="preserve"> 1 nap; </w:t>
            </w:r>
          </w:p>
          <w:p w14:paraId="7FE1BC15" w14:textId="15883A0D" w:rsidR="00896468" w:rsidRDefault="00B31E50">
            <w:pPr>
              <w:pStyle w:val="P68B1DB1-ListParagraph32"/>
              <w:numPr>
                <w:ilvl w:val="0"/>
                <w:numId w:val="284"/>
              </w:numPr>
              <w:jc w:val="both"/>
            </w:pPr>
            <w:r>
              <w:t xml:space="preserve">1–2 nap; </w:t>
            </w:r>
          </w:p>
          <w:p w14:paraId="7FE1BC16" w14:textId="0B950876" w:rsidR="00896468" w:rsidRDefault="00B31E50">
            <w:pPr>
              <w:pStyle w:val="P68B1DB1-ListParagraph32"/>
              <w:numPr>
                <w:ilvl w:val="0"/>
                <w:numId w:val="284"/>
              </w:numPr>
              <w:jc w:val="both"/>
            </w:pPr>
            <w:r>
              <w:t xml:space="preserve">&gt; 2 nap ≤ 1 hét </w:t>
            </w:r>
          </w:p>
          <w:p w14:paraId="7FE1BC17" w14:textId="0973D87D" w:rsidR="00896468" w:rsidRDefault="00B31E50">
            <w:pPr>
              <w:pStyle w:val="P68B1DB1-ListParagraph32"/>
              <w:numPr>
                <w:ilvl w:val="0"/>
                <w:numId w:val="284"/>
              </w:numPr>
              <w:jc w:val="both"/>
            </w:pPr>
            <w:r>
              <w:t xml:space="preserve">&gt; 1 hét </w:t>
            </w:r>
          </w:p>
          <w:bookmarkEnd w:id="120"/>
          <w:p w14:paraId="7FE1BC18"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896468" w:rsidRDefault="00B31E50">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896468" w:rsidRDefault="00B31E50">
            <w:pPr>
              <w:pStyle w:val="P68B1DB1-TableParagraph14"/>
              <w:spacing w:before="108"/>
              <w:jc w:val="both"/>
              <w:rPr>
                <w:bCs/>
              </w:rPr>
            </w:pPr>
            <w:r>
              <w:t>Helyettesítési képesség</w:t>
            </w:r>
          </w:p>
        </w:tc>
      </w:tr>
      <w:tr w:rsidR="00896468"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896468" w:rsidRDefault="00B31E50">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51CA4024" w:rsidR="00896468" w:rsidRDefault="00B31E50">
            <w:pPr>
              <w:pStyle w:val="P68B1DB1-TableParagraph14"/>
              <w:spacing w:before="108"/>
              <w:jc w:val="both"/>
              <w:rPr>
                <w:bCs/>
              </w:rPr>
            </w:pPr>
            <w:r>
              <w:t xml:space="preserve">A </w:t>
            </w:r>
            <w:r w:rsidR="001D5EAA">
              <w:t xml:space="preserve">piacra lépés </w:t>
            </w:r>
            <w:r>
              <w:t>vagy terjeszkedés jogi akadályai</w:t>
            </w:r>
          </w:p>
          <w:p w14:paraId="7FE1BC1F"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20" w14:textId="77777777" w:rsidR="00896468" w:rsidRDefault="00B31E50">
            <w:pPr>
              <w:pStyle w:val="P68B1DB1-TableParagraph13"/>
              <w:spacing w:before="108"/>
              <w:jc w:val="both"/>
            </w:pPr>
            <w:r>
              <w:t xml:space="preserve">A versenytársak számára a szolgáltatás nyújtása előtt álló jogi akadályok. A hitelintézetek tevékenységének végzésére vonatkozó jogi követelmények (pl. banki engedélyek vagy tőkekövetelmények) alternatív szolgáltatók jelenlétében nem tekinthetők leküzdhetetlen akadálynak. Ezt a mutatót kategóriákban kell jelenteni, amelyek minden egyes alfunkció esetében azonosak: </w:t>
            </w:r>
          </w:p>
          <w:p w14:paraId="7FE1BC21" w14:textId="474C67C3" w:rsidR="00896468" w:rsidRDefault="00B31E50">
            <w:pPr>
              <w:pStyle w:val="P68B1DB1-ListParagraph39"/>
              <w:numPr>
                <w:ilvl w:val="0"/>
                <w:numId w:val="275"/>
              </w:numPr>
              <w:jc w:val="both"/>
            </w:pPr>
            <w:r>
              <w:t xml:space="preserve">nincsenek jelentős akadályok, </w:t>
            </w:r>
          </w:p>
          <w:p w14:paraId="7FE1BC22" w14:textId="2597009C" w:rsidR="00896468" w:rsidRDefault="00B31E50">
            <w:pPr>
              <w:pStyle w:val="P68B1DB1-ListParagraph39"/>
              <w:numPr>
                <w:ilvl w:val="0"/>
                <w:numId w:val="275"/>
              </w:numPr>
              <w:jc w:val="both"/>
            </w:pPr>
            <w:r>
              <w:t xml:space="preserve">néhány akadály, </w:t>
            </w:r>
          </w:p>
          <w:p w14:paraId="7FE1BC23" w14:textId="78601E46" w:rsidR="00896468" w:rsidRDefault="00B31E50">
            <w:pPr>
              <w:pStyle w:val="P68B1DB1-ListParagraph39"/>
              <w:numPr>
                <w:ilvl w:val="0"/>
                <w:numId w:val="275"/>
              </w:numPr>
              <w:jc w:val="both"/>
            </w:pPr>
            <w:r>
              <w:t xml:space="preserve">jelentős (de leküzdhető) akadályok, </w:t>
            </w:r>
          </w:p>
          <w:p w14:paraId="7FE1BC25" w14:textId="12D666ED" w:rsidR="00896468" w:rsidRDefault="00B31E50">
            <w:pPr>
              <w:pStyle w:val="P68B1DB1-ListParagraph8"/>
              <w:numPr>
                <w:ilvl w:val="0"/>
                <w:numId w:val="275"/>
              </w:numPr>
              <w:jc w:val="both"/>
            </w:pPr>
            <w:r>
              <w:t>kritikus (nehezen leküzdhető) akadályok.</w:t>
            </w:r>
          </w:p>
        </w:tc>
      </w:tr>
      <w:tr w:rsidR="00896468"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896468" w:rsidRDefault="00B31E50">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6F83C9DE" w:rsidR="00896468" w:rsidRDefault="00B31E50">
            <w:pPr>
              <w:pStyle w:val="P68B1DB1-TableParagraph14"/>
              <w:spacing w:before="108"/>
              <w:jc w:val="both"/>
              <w:rPr>
                <w:bCs/>
              </w:rPr>
            </w:pPr>
            <w:r>
              <w:t xml:space="preserve">A </w:t>
            </w:r>
            <w:r w:rsidR="001D5EAA">
              <w:t xml:space="preserve">piacra lépésre </w:t>
            </w:r>
            <w:r>
              <w:t xml:space="preserve">vagy </w:t>
            </w:r>
            <w:r w:rsidR="001D5EAA">
              <w:t xml:space="preserve">terjeszkedésre </w:t>
            </w:r>
            <w:r>
              <w:t>vonatkozó működési követelmények</w:t>
            </w:r>
          </w:p>
          <w:p w14:paraId="7FE1BC29"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2A" w14:textId="2DE43E03" w:rsidR="00896468" w:rsidRDefault="00B31E50">
            <w:pPr>
              <w:pStyle w:val="P68B1DB1-TableParagraph13"/>
              <w:spacing w:before="108"/>
              <w:jc w:val="both"/>
            </w:pPr>
            <w:r>
              <w:t xml:space="preserve">Szervezeti, műszaki és infrastrukturális követelmények a versenytársak számára a szolgáltatás nyújtásához. Az (al)funkcióhoz kapcsolódó szolgáltatások nyújtása megköveteli a szolgáltatóktól, hogy (új vagy kiegészítő) infrastruktúrába fektessenek be, vagy módosítsák szervezeteiket. </w:t>
            </w:r>
            <w:r>
              <w:lastRenderedPageBreak/>
              <w:t>Értékel</w:t>
            </w:r>
            <w:r w:rsidR="001D5EAA">
              <w:t>je</w:t>
            </w:r>
            <w:r>
              <w:t xml:space="preserve">, hogy a piac képes-e felvenni az adott üzletágat, például a tőkekövetelmények tekintetében. </w:t>
            </w:r>
          </w:p>
          <w:p w14:paraId="7FE1BC2B" w14:textId="77777777" w:rsidR="00896468" w:rsidRDefault="00B31E50">
            <w:pPr>
              <w:pStyle w:val="P68B1DB1-TableParagraph13"/>
              <w:spacing w:before="108"/>
              <w:jc w:val="both"/>
            </w:pPr>
            <w:r>
              <w:t xml:space="preserve">Ezt a mutatót kategóriákban kell jelenteni, amelyek minden egyes alfunkció esetében azonosak: </w:t>
            </w:r>
          </w:p>
          <w:p w14:paraId="7FE1BC2C" w14:textId="59F4E6B2" w:rsidR="00896468" w:rsidRDefault="00B31E50">
            <w:pPr>
              <w:pStyle w:val="P68B1DB1-ListParagraph39"/>
              <w:numPr>
                <w:ilvl w:val="0"/>
                <w:numId w:val="278"/>
              </w:numPr>
              <w:jc w:val="both"/>
            </w:pPr>
            <w:r>
              <w:t xml:space="preserve">nincsenek főbb követelmények, </w:t>
            </w:r>
          </w:p>
          <w:p w14:paraId="7FE1BC2D" w14:textId="17A47EF8" w:rsidR="00896468" w:rsidRDefault="00B31E50">
            <w:pPr>
              <w:pStyle w:val="P68B1DB1-ListParagraph39"/>
              <w:numPr>
                <w:ilvl w:val="0"/>
                <w:numId w:val="278"/>
              </w:numPr>
              <w:jc w:val="both"/>
            </w:pPr>
            <w:r>
              <w:t xml:space="preserve">néhány követelmény, </w:t>
            </w:r>
          </w:p>
          <w:p w14:paraId="7FE1BC2E" w14:textId="6B2B459E" w:rsidR="00896468" w:rsidRDefault="00B31E50">
            <w:pPr>
              <w:pStyle w:val="P68B1DB1-ListParagraph39"/>
              <w:numPr>
                <w:ilvl w:val="0"/>
                <w:numId w:val="278"/>
              </w:numPr>
              <w:jc w:val="both"/>
            </w:pPr>
            <w:r>
              <w:t xml:space="preserve">lényeges (de leküzdhető) követelmények, </w:t>
            </w:r>
          </w:p>
          <w:p w14:paraId="7FE1BC2F" w14:textId="282BD661" w:rsidR="00896468" w:rsidRDefault="00B31E50">
            <w:pPr>
              <w:pStyle w:val="P68B1DB1-ListParagraph39"/>
              <w:numPr>
                <w:ilvl w:val="0"/>
                <w:numId w:val="278"/>
              </w:numPr>
              <w:jc w:val="both"/>
            </w:pPr>
            <w:r>
              <w:t xml:space="preserve">kritikus </w:t>
            </w:r>
            <w:r w:rsidR="004748D5">
              <w:t xml:space="preserve">(nehezen leküzdhető) </w:t>
            </w:r>
            <w:r>
              <w:t>követelmények .</w:t>
            </w:r>
          </w:p>
          <w:p w14:paraId="7FE1BC30"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896468" w:rsidRDefault="00B31E50">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896468" w:rsidRDefault="00B31E50">
            <w:pPr>
              <w:pStyle w:val="P68B1DB1-TableParagraph14"/>
              <w:spacing w:before="108"/>
              <w:jc w:val="both"/>
              <w:rPr>
                <w:bCs/>
              </w:rPr>
            </w:pPr>
            <w:r>
              <w:t>Beszállási kapacitás</w:t>
            </w:r>
          </w:p>
        </w:tc>
      </w:tr>
      <w:tr w:rsidR="00896468"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896468" w:rsidRDefault="00B31E50">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67C15F90" w14:textId="0EDF6877" w:rsidR="001D5EAA" w:rsidRDefault="00B31E50">
            <w:pPr>
              <w:pStyle w:val="P68B1DB1-TableParagraph13"/>
              <w:spacing w:before="108"/>
            </w:pPr>
            <w:r w:rsidRPr="00D42656">
              <w:rPr>
                <w:bCs/>
              </w:rPr>
              <w:t>Be</w:t>
            </w:r>
            <w:r w:rsidR="001D5EAA" w:rsidRPr="00D42656">
              <w:rPr>
                <w:bCs/>
              </w:rPr>
              <w:t>lépési</w:t>
            </w:r>
            <w:r w:rsidRPr="00D42656">
              <w:rPr>
                <w:bCs/>
              </w:rPr>
              <w:t xml:space="preserve"> kapacitás –</w:t>
            </w:r>
            <w:r>
              <w:t xml:space="preserve"> </w:t>
            </w:r>
            <w:r w:rsidR="001D5EAA" w:rsidRPr="001D5EAA">
              <w:t>Az új ügyfelek 1 munkanap alatt benyújtott kérelmeinek száma (szám)</w:t>
            </w:r>
          </w:p>
          <w:p w14:paraId="3F7DDDEF" w14:textId="364ED702" w:rsidR="00896468" w:rsidRPr="00C46908" w:rsidRDefault="001D5EAA">
            <w:pPr>
              <w:pStyle w:val="TableParagraph"/>
              <w:spacing w:before="108"/>
              <w:jc w:val="both"/>
              <w:rPr>
                <w:rFonts w:ascii="Times New Roman" w:hAnsi="Times New Roman" w:cs="Times New Roman"/>
                <w:color w:val="000000" w:themeColor="text1"/>
                <w:sz w:val="20"/>
                <w:szCs w:val="20"/>
                <w:lang w:val="hu-HU"/>
              </w:rPr>
            </w:pPr>
            <w:r w:rsidRPr="001D5EAA">
              <w:rPr>
                <w:rFonts w:ascii="Times New Roman" w:hAnsi="Times New Roman" w:cs="Times New Roman"/>
                <w:color w:val="000000" w:themeColor="text1"/>
                <w:sz w:val="20"/>
                <w:szCs w:val="20"/>
                <w:lang w:val="hu-HU"/>
              </w:rPr>
              <w:t xml:space="preserve">Az intézményeknek meg kell adniuk azon kérelmek legmagasabb számát, amelyek esetén az intézmény </w:t>
            </w:r>
            <w:r>
              <w:rPr>
                <w:rFonts w:ascii="Times New Roman" w:hAnsi="Times New Roman" w:cs="Times New Roman"/>
                <w:color w:val="000000" w:themeColor="text1"/>
                <w:sz w:val="20"/>
                <w:szCs w:val="20"/>
                <w:lang w:val="hu-HU"/>
              </w:rPr>
              <w:t>feldolgozta</w:t>
            </w:r>
            <w:r w:rsidRPr="001D5EAA">
              <w:rPr>
                <w:rFonts w:ascii="Times New Roman" w:hAnsi="Times New Roman" w:cs="Times New Roman"/>
                <w:color w:val="000000" w:themeColor="text1"/>
                <w:sz w:val="20"/>
                <w:szCs w:val="20"/>
                <w:lang w:val="hu-HU"/>
              </w:rPr>
              <w:t xml:space="preserve"> a banki szolgáltatás iránti kérelmet</w:t>
            </w:r>
            <w:r w:rsidR="00E921B2">
              <w:rPr>
                <w:rFonts w:ascii="Times New Roman" w:hAnsi="Times New Roman" w:cs="Times New Roman"/>
                <w:color w:val="000000" w:themeColor="text1"/>
                <w:sz w:val="20"/>
                <w:szCs w:val="20"/>
                <w:lang w:val="hu-HU"/>
              </w:rPr>
              <w:t>.</w:t>
            </w:r>
          </w:p>
          <w:p w14:paraId="5AB7F16A" w14:textId="086251E3" w:rsidR="00896468" w:rsidRDefault="00B31E50">
            <w:pPr>
              <w:pStyle w:val="P68B1DB1-TableParagraph13"/>
              <w:spacing w:before="108"/>
              <w:jc w:val="both"/>
              <w:rPr>
                <w:b/>
                <w:bCs/>
              </w:rPr>
            </w:pPr>
            <w:r>
              <w:t xml:space="preserve">Az MPI-knek nyújtott pénzforgalmi szolgáltatások, a nem MPI-knek nyújtott pénzforgalmi szolgáltatások és a készpénzszolgáltatások </w:t>
            </w:r>
            <w:r w:rsidR="00E921B2">
              <w:t xml:space="preserve">belépési kapacitását </w:t>
            </w:r>
            <w:r>
              <w:t xml:space="preserve">az új számlák számában </w:t>
            </w:r>
            <w:r w:rsidR="00E921B2">
              <w:t xml:space="preserve">kifejezve </w:t>
            </w:r>
            <w:r>
              <w:t xml:space="preserve">1 munkanapra </w:t>
            </w:r>
            <w:r w:rsidR="00CE2175">
              <w:t>kell megadni</w:t>
            </w:r>
            <w:r>
              <w:t xml:space="preserve">. </w:t>
            </w:r>
          </w:p>
          <w:p w14:paraId="10BCF6A2" w14:textId="3EEC2CBC" w:rsidR="00896468" w:rsidRDefault="00B31E50">
            <w:pPr>
              <w:pStyle w:val="P68B1DB1-TableParagraph13"/>
              <w:spacing w:before="108"/>
              <w:jc w:val="both"/>
              <w:rPr>
                <w:b/>
                <w:bCs/>
              </w:rPr>
            </w:pPr>
            <w:r>
              <w:t xml:space="preserve">Az intézményeknek figyelembe kell venniük az új ügyfelek felvételére rendelkezésre álló időkeretet, </w:t>
            </w:r>
            <w:r w:rsidR="001D5EAA">
              <w:t xml:space="preserve">attól az időponttól számítva, hogy </w:t>
            </w:r>
            <w:r>
              <w:t>egy új ügyfél banki szolgáltatásért folyamodott.</w:t>
            </w:r>
          </w:p>
          <w:p w14:paraId="54138520" w14:textId="77777777" w:rsidR="00896468" w:rsidRDefault="00896468">
            <w:pPr>
              <w:pStyle w:val="TableParagraph"/>
              <w:spacing w:before="108"/>
              <w:rPr>
                <w:rFonts w:ascii="Times New Roman" w:hAnsi="Times New Roman" w:cs="Times New Roman"/>
                <w:b/>
                <w:bCs/>
                <w:color w:val="000000" w:themeColor="text1"/>
                <w:sz w:val="20"/>
                <w:szCs w:val="20"/>
              </w:rPr>
            </w:pPr>
          </w:p>
        </w:tc>
      </w:tr>
      <w:tr w:rsidR="00896468"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896468" w:rsidRDefault="00B31E50">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057CF5C7" w:rsidR="00896468" w:rsidRDefault="00E921B2">
            <w:pPr>
              <w:pStyle w:val="P68B1DB1-TableParagraph14"/>
              <w:spacing w:before="108"/>
              <w:rPr>
                <w:bCs/>
              </w:rPr>
            </w:pPr>
            <w:r>
              <w:t xml:space="preserve">Belépési </w:t>
            </w:r>
            <w:r w:rsidR="00B31E50">
              <w:t>kapacitás – Az új ügyfelek 7 munkanap alatt benyújtott kérelmeinek száma (szám)</w:t>
            </w:r>
          </w:p>
          <w:p w14:paraId="0E95DFBC" w14:textId="2349D166" w:rsidR="00E921B2" w:rsidRDefault="00E921B2">
            <w:pPr>
              <w:pStyle w:val="P68B1DB1-TableParagraph13"/>
              <w:spacing w:before="108"/>
              <w:jc w:val="both"/>
            </w:pPr>
            <w:r w:rsidRPr="00E921B2">
              <w:t>Az intézményeknek meg kell adniuk azon kérelmek legmagasabb számát, amelyek esetén az intézmény feldolgozta a banki szolgáltatás iránti kérelmet.</w:t>
            </w:r>
          </w:p>
          <w:p w14:paraId="59CBAFC9" w14:textId="3F745263" w:rsidR="00896468" w:rsidRDefault="00B31E50">
            <w:pPr>
              <w:pStyle w:val="P68B1DB1-TableParagraph13"/>
              <w:spacing w:before="108"/>
              <w:jc w:val="both"/>
            </w:pPr>
            <w:r>
              <w:t>Az értékpapír-elszámolási szolgáltatások, a központi szerződő felek elszámolási szolgáltatásai és a letétkezelői szolgáltatások belépési kapacitás</w:t>
            </w:r>
            <w:r w:rsidR="00E921B2">
              <w:t>át</w:t>
            </w:r>
            <w:r>
              <w:t xml:space="preserve"> az új számlák számában kifejezve 7 munkanapra </w:t>
            </w:r>
            <w:r w:rsidR="00E921B2">
              <w:t>kell megadni</w:t>
            </w:r>
            <w:r>
              <w:t>.</w:t>
            </w:r>
          </w:p>
          <w:p w14:paraId="7623A7E1" w14:textId="6C8983D8" w:rsidR="00896468" w:rsidRDefault="00B31E50">
            <w:pPr>
              <w:pStyle w:val="P68B1DB1-TableParagraph13"/>
              <w:spacing w:before="108"/>
              <w:jc w:val="both"/>
              <w:rPr>
                <w:b/>
                <w:bCs/>
              </w:rPr>
            </w:pPr>
            <w:r>
              <w:t xml:space="preserve">Az intézményeknek figyelembe kell venniük az új ügyfelek felvételére rendelkezésre álló időkeretet, </w:t>
            </w:r>
            <w:r w:rsidR="00E921B2">
              <w:t>attól az időponttól számítva, hogy</w:t>
            </w:r>
            <w:r>
              <w:t xml:space="preserve"> egy új ügyfél banki szolgáltatásért folyamodott.</w:t>
            </w:r>
          </w:p>
          <w:p w14:paraId="6541ECB8" w14:textId="7269F4A9" w:rsidR="00896468" w:rsidRDefault="00896468">
            <w:pPr>
              <w:pStyle w:val="TableParagraph"/>
              <w:spacing w:before="108"/>
              <w:rPr>
                <w:rFonts w:ascii="Times New Roman" w:hAnsi="Times New Roman" w:cs="Times New Roman"/>
                <w:b/>
                <w:bCs/>
                <w:color w:val="000000" w:themeColor="text1"/>
                <w:sz w:val="20"/>
                <w:szCs w:val="20"/>
              </w:rPr>
            </w:pPr>
          </w:p>
        </w:tc>
      </w:tr>
      <w:tr w:rsidR="00896468"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896468" w:rsidRDefault="00B31E50">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896468" w:rsidRDefault="00B31E50">
            <w:pPr>
              <w:pStyle w:val="P68B1DB1-TableParagraph14"/>
              <w:spacing w:before="108"/>
              <w:rPr>
                <w:bCs/>
              </w:rPr>
            </w:pPr>
            <w:r>
              <w:t>A kritikusság értékelése</w:t>
            </w:r>
          </w:p>
        </w:tc>
      </w:tr>
      <w:tr w:rsidR="00896468"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896468" w:rsidRDefault="00B31E50">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896468" w:rsidRPr="00C46908" w:rsidRDefault="00B31E50">
            <w:pPr>
              <w:pStyle w:val="P68B1DB1-TableParagraph13"/>
              <w:spacing w:before="108"/>
              <w:rPr>
                <w:b/>
                <w:bCs/>
              </w:rPr>
            </w:pPr>
            <w:r w:rsidRPr="00C46908">
              <w:rPr>
                <w:b/>
                <w:bCs/>
              </w:rPr>
              <w:t xml:space="preserve">A piacra gyakorolt hatás </w:t>
            </w:r>
          </w:p>
          <w:p w14:paraId="7FE1BC42" w14:textId="77777777" w:rsidR="00896468" w:rsidRDefault="00B31E50">
            <w:pPr>
              <w:pStyle w:val="P68B1DB1-TableParagraph13"/>
              <w:spacing w:before="108"/>
            </w:pPr>
            <w:r>
              <w:t>A funkció hirtelen megszűnésének a harmadik felekre, a pénzügyi piacokra és a reálgazdaságra gyakorolt becsült hatása, figyelembe véve az intézmény méretét, piaci részesedését az adott országban, a külső és belső összekapcsoltságot, összetettséget és az intézmény határokon átnyúló tevékenységeit.</w:t>
            </w:r>
          </w:p>
          <w:p w14:paraId="7FE1BC43" w14:textId="46266FB9" w:rsidR="00896468" w:rsidRDefault="00B31E50">
            <w:pPr>
              <w:pStyle w:val="P68B1DB1-TableParagraph13"/>
              <w:spacing w:before="108"/>
            </w:pPr>
            <w:r>
              <w:t>A minőségi értékelés eredményét „Magas”, „Közepes-Magas”, „Közepes-Alacsony” vagy „Alacsony” megjelöléssel kell kifejezni.</w:t>
            </w:r>
          </w:p>
          <w:p w14:paraId="7FE1BC44" w14:textId="75863D31" w:rsidR="00896468" w:rsidRDefault="00CF748F">
            <w:pPr>
              <w:pStyle w:val="P68B1DB1-TableParagraph13"/>
              <w:spacing w:before="108"/>
            </w:pPr>
            <w:r>
              <w:t>Magas</w:t>
            </w:r>
            <w:r w:rsidR="00B31E50">
              <w:t>:</w:t>
            </w:r>
            <w:r>
              <w:t xml:space="preserve"> </w:t>
            </w:r>
            <w:r w:rsidR="00B31E50">
              <w:t xml:space="preserve">a funkció megszüntetése kimagasló hatást gyakorol a nemzeti piacra; </w:t>
            </w:r>
            <w:r>
              <w:t>Közepes-Magas</w:t>
            </w:r>
            <w:r w:rsidR="00B31E50">
              <w:t>:</w:t>
            </w:r>
            <w:r>
              <w:t xml:space="preserve"> </w:t>
            </w:r>
            <w:r w:rsidR="00B31E50">
              <w:t>jelentős hatás; „</w:t>
            </w:r>
            <w:r>
              <w:t>Közepes-Alacsony</w:t>
            </w:r>
            <w:r w:rsidR="00B31E50">
              <w:t>”:</w:t>
            </w:r>
            <w:r w:rsidR="006A290F">
              <w:t xml:space="preserve"> </w:t>
            </w:r>
            <w:r w:rsidR="00B31E50">
              <w:t>a hatás lényeges, de korlátozott; „</w:t>
            </w:r>
            <w:r>
              <w:t>Alacsony</w:t>
            </w:r>
            <w:r w:rsidR="00B31E50">
              <w:t>”:</w:t>
            </w:r>
            <w:r w:rsidR="006A290F">
              <w:t xml:space="preserve"> </w:t>
            </w:r>
            <w:r w:rsidR="00B31E50">
              <w:t>alacsony mértékű hatás.</w:t>
            </w:r>
          </w:p>
        </w:tc>
      </w:tr>
      <w:tr w:rsidR="00896468"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896468" w:rsidRDefault="00B31E50">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896468" w:rsidRDefault="00B31E50">
            <w:pPr>
              <w:pStyle w:val="P68B1DB1-TableParagraph14"/>
              <w:spacing w:before="108"/>
              <w:rPr>
                <w:bCs/>
              </w:rPr>
            </w:pPr>
            <w:r>
              <w:t>Helyettesíthetőség</w:t>
            </w:r>
          </w:p>
          <w:p w14:paraId="7FE1BC48" w14:textId="77777777" w:rsidR="00896468" w:rsidRDefault="00B31E50">
            <w:pPr>
              <w:pStyle w:val="P68B1DB1-TableParagraph13"/>
              <w:spacing w:before="108"/>
            </w:pPr>
            <w:r>
              <w:t>Az (EU) 2016/778 felhatalmazáson alapuló rendelet 6. cikkének (3) bekezdése</w:t>
            </w:r>
          </w:p>
          <w:p w14:paraId="7FE1BC49" w14:textId="58663256" w:rsidR="00896468" w:rsidRDefault="00B31E50">
            <w:pPr>
              <w:pStyle w:val="P68B1DB1-TableParagraph13"/>
              <w:spacing w:before="108"/>
            </w:pPr>
            <w:r>
              <w:t xml:space="preserve">A funkció helyettesíthető, ha elfogadható módon és észszerű időn belül helyettesíthető, </w:t>
            </w:r>
            <w:r w:rsidR="00E921B2">
              <w:t xml:space="preserve">és ezáltal elkerülhetők </w:t>
            </w:r>
            <w:r>
              <w:t>a reálgazdaságot és a pénzügyi piacokat érintő rendszerszintű problémák. Figyelembe kell venni az alábbiakat:</w:t>
            </w:r>
          </w:p>
          <w:p w14:paraId="7FE1BC4A" w14:textId="77777777" w:rsidR="00896468" w:rsidRDefault="00B31E50">
            <w:pPr>
              <w:pStyle w:val="P68B1DB1-TableParagraph13"/>
              <w:spacing w:before="108"/>
            </w:pPr>
            <w:r>
              <w:t xml:space="preserve">(a) az adott funkció piacának szerkezete, valamint helyettesítő szolgáltatók rendelkezésre állása; </w:t>
            </w:r>
          </w:p>
          <w:p w14:paraId="52F3CC2C" w14:textId="77777777" w:rsidR="00E921B2" w:rsidRDefault="00E921B2" w:rsidP="00E921B2">
            <w:pPr>
              <w:pStyle w:val="P68B1DB1-TableParagraph13"/>
              <w:spacing w:before="108"/>
            </w:pPr>
            <w:r>
              <w:lastRenderedPageBreak/>
              <w:t xml:space="preserve">(b) más szolgáltatók alkalmassága a kapacitásuk, a funkciók követelményeinek való megfelelőségük, valamint a piacra lépés vagy terjeszkedés esetleges akadályai tekintetében; </w:t>
            </w:r>
          </w:p>
          <w:p w14:paraId="261BF0FB" w14:textId="4A85E598" w:rsidR="00E921B2" w:rsidRDefault="00E921B2">
            <w:pPr>
              <w:pStyle w:val="P68B1DB1-TableParagraph13"/>
              <w:spacing w:before="108"/>
            </w:pPr>
            <w:r>
              <w:t xml:space="preserve">(c) az érintett tevékenységek más szolgáltatók általi átvételének ösztönzői; </w:t>
            </w:r>
          </w:p>
          <w:p w14:paraId="7FE1BC4D" w14:textId="31049326" w:rsidR="00896468" w:rsidRDefault="00B31E50">
            <w:pPr>
              <w:pStyle w:val="P68B1DB1-TableParagraph13"/>
              <w:spacing w:before="108"/>
            </w:pPr>
            <w:r>
              <w:t xml:space="preserve">(d) a szolgáltatás igénybevevőinek a szolgáltatóváltáshoz szükséges idő és a szolgáltatóváltással járó költségek, a funkciók átvételéhez más versenytársaknak szükséges idő, illetve </w:t>
            </w:r>
            <w:r w:rsidR="00E921B2">
              <w:t xml:space="preserve">annak a vizsgálata, </w:t>
            </w:r>
            <w:r>
              <w:t>hogy ez az idő – a szolgáltatás típusától függően – elegendő-e a jelentős zavarok elkerüléséhez.</w:t>
            </w:r>
          </w:p>
          <w:p w14:paraId="7FE1BC4E" w14:textId="5259F9E9" w:rsidR="00896468" w:rsidRDefault="00B31E50">
            <w:pPr>
              <w:pStyle w:val="P68B1DB1-TableParagraph13"/>
              <w:spacing w:before="108"/>
            </w:pPr>
            <w:r>
              <w:t xml:space="preserve">Adjon átfogó értékelést az egyes funkciók helyettesíthetőségének várható mértékéről, figyelembe véve a korábban értékelt különböző dimenziókat (piaci részesedés, piaci koncentráció, helyettesítéshez szükséges idő, jogi akadályok és a piacra lépésre vagy terjeszkedésre vonatkozó működési követelmények). A minőségi értékelés eredményét „Magas”, „Közepes-Magas”, „Közepes-Alacsony” vagy „Alacsony” megjelöléssel kell kifejezni. </w:t>
            </w:r>
          </w:p>
          <w:p w14:paraId="7FE1BC4F" w14:textId="0DC5D116" w:rsidR="00896468" w:rsidRDefault="00CF748F">
            <w:pPr>
              <w:pStyle w:val="P68B1DB1-TableParagraph13"/>
              <w:spacing w:before="108"/>
            </w:pPr>
            <w:r>
              <w:t>Magas</w:t>
            </w:r>
            <w:r w:rsidR="00B31E50">
              <w:t>: az adott funkciót észszerű időn belül könnyen elláthatja egy másik bank hasonló feltételekkel;</w:t>
            </w:r>
          </w:p>
          <w:p w14:paraId="7FE1BC50" w14:textId="78F2FCCD" w:rsidR="00896468" w:rsidRDefault="00CF748F">
            <w:pPr>
              <w:pStyle w:val="P68B1DB1-TableParagraph13"/>
              <w:spacing w:before="108"/>
            </w:pPr>
            <w:r>
              <w:t>Alacsony</w:t>
            </w:r>
            <w:r w:rsidR="00B31E50">
              <w:t xml:space="preserve">: a funkciót nem lehet könnyen vagy gyorsan helyettesíteni; </w:t>
            </w:r>
          </w:p>
          <w:p w14:paraId="7FE1BC51" w14:textId="518DE625" w:rsidR="00896468" w:rsidRDefault="00CF748F">
            <w:pPr>
              <w:pStyle w:val="P68B1DB1-TableParagraph13"/>
              <w:spacing w:before="108"/>
            </w:pPr>
            <w:r>
              <w:t>Közepes-Magas</w:t>
            </w:r>
            <w:r w:rsidR="00B31E50">
              <w:t>” és „</w:t>
            </w:r>
            <w:r>
              <w:t>Közepes-Alacsony</w:t>
            </w:r>
            <w:r w:rsidR="00B31E50">
              <w:t>”:</w:t>
            </w:r>
            <w:r>
              <w:t xml:space="preserve"> </w:t>
            </w:r>
            <w:r w:rsidR="00B31E50">
              <w:t>közepes esetek, figyelembe véve különböző szempontokat (pl. piaci részesedés, piaci koncentráció, helyettesítés időigénye, a piacra lépés vagy terjeszkedés jogi akadályai és operatív követelményei).</w:t>
            </w:r>
          </w:p>
        </w:tc>
      </w:tr>
      <w:tr w:rsidR="00896468"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896468" w:rsidRDefault="00B31E50">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896468" w:rsidRDefault="00B31E50">
            <w:pPr>
              <w:pStyle w:val="P68B1DB1-TableParagraph14"/>
              <w:spacing w:before="108"/>
              <w:rPr>
                <w:bCs/>
              </w:rPr>
            </w:pPr>
            <w:r>
              <w:t>Kritikus funkció</w:t>
            </w:r>
          </w:p>
          <w:p w14:paraId="7FE1BC55" w14:textId="77777777" w:rsidR="00896468" w:rsidRDefault="00B31E50">
            <w:pPr>
              <w:pStyle w:val="P68B1DB1-TableParagraph13"/>
              <w:spacing w:before="108"/>
            </w:pPr>
            <w:r>
              <w:t>Ebben az oszlopban fel kell tüntetni, hogy az intézmény által végzett hatás- és helyettesíthetőségi elemzés alapján a gazdasági funkció kritikusnak tekinthető-e az adott ország piacán.</w:t>
            </w:r>
          </w:p>
          <w:p w14:paraId="7FE1BC56" w14:textId="77777777" w:rsidR="00896468" w:rsidRDefault="00B31E50">
            <w:pPr>
              <w:pStyle w:val="P68B1DB1-TableParagraph13"/>
              <w:spacing w:before="108"/>
            </w:pPr>
            <w:r>
              <w:t>„Igen” vagy „Nem” megjelölés választható.</w:t>
            </w:r>
          </w:p>
        </w:tc>
      </w:tr>
      <w:tr w:rsidR="00896468"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896468" w:rsidRDefault="00B31E50">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896468" w:rsidRDefault="00B31E50">
            <w:pPr>
              <w:pStyle w:val="P68B1DB1-TableParagraph14"/>
              <w:spacing w:before="108"/>
              <w:rPr>
                <w:bCs/>
              </w:rPr>
            </w:pPr>
            <w:r>
              <w:t>A csoport észrevételei</w:t>
            </w:r>
          </w:p>
          <w:p w14:paraId="7FE1BC5A" w14:textId="4BC30B1B" w:rsidR="00896468" w:rsidRDefault="00B31E50">
            <w:pPr>
              <w:pStyle w:val="P68B1DB1-TableParagraph13"/>
              <w:spacing w:before="108"/>
            </w:pPr>
            <w:r>
              <w:t>Ez a mező lehetővé teszi a</w:t>
            </w:r>
            <w:r w:rsidR="000A2507">
              <w:t>z adatszolgáltató szervezet</w:t>
            </w:r>
            <w:r>
              <w:t xml:space="preserve"> számára, hogy kifejtse a jelentett funkció(k) kritikusságának értékeléséhez használt feltételezéseket.</w:t>
            </w:r>
          </w:p>
        </w:tc>
      </w:tr>
    </w:tbl>
    <w:p w14:paraId="7FE1BC5C" w14:textId="77777777" w:rsidR="00896468" w:rsidRDefault="00896468">
      <w:pPr>
        <w:pStyle w:val="Instructionsberschrift2"/>
        <w:rPr>
          <w:rFonts w:ascii="Times New Roman" w:hAnsi="Times New Roman" w:cs="Times New Roman"/>
        </w:rPr>
      </w:pPr>
    </w:p>
    <w:p w14:paraId="7FE1BC5D" w14:textId="5C971E12" w:rsidR="00896468" w:rsidRDefault="00B31E50">
      <w:pPr>
        <w:pStyle w:val="P68B1DB1-Instructionsberschrift25"/>
      </w:pPr>
      <w:bookmarkStart w:id="121" w:name="_Toc210982880"/>
      <w:r>
        <w:t>II.13.</w:t>
      </w:r>
      <w:r>
        <w:tab/>
        <w:t>Z 07.01.4 FUNC 1 CM.</w:t>
      </w:r>
      <w:bookmarkEnd w:id="121"/>
    </w:p>
    <w:p w14:paraId="7FE1BC65" w14:textId="77777777" w:rsidR="00896468" w:rsidRDefault="0089646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96468"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896468" w:rsidRDefault="00B31E50">
            <w:pPr>
              <w:pStyle w:val="P68B1DB1-TableParagraph17"/>
              <w:spacing w:before="108"/>
              <w:ind w:left="85"/>
              <w:jc w:val="both"/>
            </w:pPr>
            <w:r>
              <w:t>Oszlopok</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896468" w:rsidRDefault="00B31E50">
            <w:pPr>
              <w:pStyle w:val="P68B1DB1-TableParagraph17"/>
              <w:spacing w:before="108"/>
              <w:ind w:left="85" w:right="1"/>
              <w:jc w:val="both"/>
            </w:pPr>
            <w:r>
              <w:t>Útmutató</w:t>
            </w:r>
          </w:p>
        </w:tc>
      </w:tr>
      <w:tr w:rsidR="00896468"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896468" w:rsidRDefault="00B31E50">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896468" w:rsidRDefault="00B31E50">
            <w:pPr>
              <w:pStyle w:val="P68B1DB1-TableParagraph14"/>
              <w:spacing w:before="108"/>
              <w:ind w:left="85"/>
              <w:jc w:val="both"/>
              <w:rPr>
                <w:bCs/>
              </w:rPr>
            </w:pPr>
            <w:r>
              <w:t>A gazdasági funkció leírása</w:t>
            </w:r>
          </w:p>
          <w:p w14:paraId="7FE1BC6B" w14:textId="673475F1" w:rsidR="00896468" w:rsidRDefault="00B31E50">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Ha a gazdasági funkció „Egyéb” típusú (Z</w:t>
            </w:r>
            <w:r>
              <w:t xml:space="preserve">07.01.4 FUNC 1 CM </w:t>
            </w:r>
            <w:r>
              <w:rPr>
                <w:rFonts w:ascii="Times New Roman" w:eastAsia="Cambria" w:hAnsi="Times New Roman" w:cs="Times New Roman"/>
                <w:color w:val="000000" w:themeColor="text1"/>
                <w:sz w:val="20"/>
                <w:szCs w:val="20"/>
              </w:rPr>
              <w:t xml:space="preserve">r0290–r0310), akkor ezt a funkciót ismertetni kell. </w:t>
            </w:r>
          </w:p>
        </w:tc>
      </w:tr>
      <w:tr w:rsidR="00896468"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896468" w:rsidRDefault="00B31E50">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896468" w:rsidRDefault="00B31E50">
            <w:pPr>
              <w:pStyle w:val="P68B1DB1-TableParagraph14"/>
              <w:spacing w:before="108"/>
              <w:ind w:left="85"/>
              <w:jc w:val="both"/>
              <w:rPr>
                <w:bCs/>
              </w:rPr>
            </w:pPr>
            <w:r>
              <w:t xml:space="preserve">Piaci részesedés </w:t>
            </w:r>
          </w:p>
          <w:p w14:paraId="7FE1BC6F" w14:textId="148DF9B5" w:rsidR="00896468" w:rsidRDefault="00B31E50">
            <w:pPr>
              <w:pStyle w:val="P68B1DB1-TableParagraph17"/>
              <w:spacing w:before="108"/>
              <w:ind w:left="85"/>
            </w:pPr>
            <w:r>
              <w:t xml:space="preserve">Az intézmény vagy csoport piaci részesedésére vonatkozó becslés az adott országban vagy földrajzi területen az adott gazdasági funkció vonatkozásában. </w:t>
            </w:r>
            <w:r w:rsidR="00D71DEE">
              <w:t xml:space="preserve"> </w:t>
            </w:r>
            <w:r w:rsidR="00D71DEE" w:rsidRPr="00D71DEE">
              <w:br/>
            </w:r>
            <w:r w:rsidR="00D71DEE" w:rsidRPr="00A62E4E">
              <w:t>A teljes piac százalékos aránya a származtatott ügyletek névértéke, a másodlagos piacok könyv szerinti értéke és az elsődleges piacok díjbevétele tekintetében.</w:t>
            </w:r>
          </w:p>
        </w:tc>
      </w:tr>
      <w:tr w:rsidR="00896468"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896468" w:rsidRDefault="00B31E50">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25B141A3" w:rsidR="00896468" w:rsidRDefault="00B31E50">
            <w:pPr>
              <w:pStyle w:val="P68B1DB1-TableParagraph14"/>
              <w:spacing w:before="108"/>
              <w:rPr>
                <w:bCs/>
              </w:rPr>
            </w:pPr>
            <w:r>
              <w:t>Név</w:t>
            </w:r>
            <w:r w:rsidR="002E261E">
              <w:t>érték</w:t>
            </w:r>
          </w:p>
          <w:p w14:paraId="7FE1BC73" w14:textId="77777777" w:rsidR="00896468" w:rsidRDefault="00B31E50">
            <w:pPr>
              <w:pStyle w:val="P68B1DB1-TableParagraph17"/>
              <w:spacing w:before="108"/>
            </w:pPr>
            <w:r>
              <w:t xml:space="preserve">az összes megkötött, de a vonatkozási időpontban még ki nem egyenlített ügylet bruttó névértéke. </w:t>
            </w:r>
          </w:p>
          <w:p w14:paraId="7FE1BC74" w14:textId="5435485A" w:rsidR="00896468" w:rsidRDefault="00B31E50">
            <w:pPr>
              <w:pStyle w:val="P68B1DB1-TableParagraph17"/>
              <w:spacing w:before="108"/>
            </w:pPr>
            <w:r>
              <w:t>Hivatkozások: Defincíció:FINREP, V. melléklet, 2. rész 133. pont</w:t>
            </w:r>
            <w:r w:rsidR="002E261E">
              <w:t>,</w:t>
            </w:r>
            <w:r>
              <w:t xml:space="preserve"> adatok: FINREP III. melléklet; IV. és V.:</w:t>
            </w:r>
          </w:p>
          <w:p w14:paraId="7FE1BC75" w14:textId="77777777" w:rsidR="00896468" w:rsidRDefault="00B31E50">
            <w:pPr>
              <w:pStyle w:val="P68B1DB1-TableParagraph17"/>
              <w:spacing w:before="108"/>
            </w:pPr>
            <w:r>
              <w:lastRenderedPageBreak/>
              <w:t>– Származtatott ügyletek összesen (4.1–4.2): F 10.00 tábla 030. oszlop 290. sor</w:t>
            </w:r>
          </w:p>
          <w:p w14:paraId="7FE1BC76" w14:textId="77777777" w:rsidR="00896468" w:rsidRDefault="00B31E50">
            <w:pPr>
              <w:pStyle w:val="P68B1DB1-TableParagraph17"/>
              <w:spacing w:before="108"/>
            </w:pPr>
            <w:r>
              <w:t>– Származtatott ügyletek – tőzsdén kívüli (4.1): F 10.00 tábla 030. oszlop 300+ 310+ 320. sor</w:t>
            </w:r>
          </w:p>
        </w:tc>
      </w:tr>
      <w:tr w:rsidR="00896468"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896468" w:rsidRDefault="00B31E50">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896468" w:rsidRDefault="00B31E50">
            <w:pPr>
              <w:pStyle w:val="P68B1DB1-TableParagraph14"/>
              <w:spacing w:before="108"/>
              <w:rPr>
                <w:bCs/>
              </w:rPr>
            </w:pPr>
            <w:r>
              <w:t>Könyv szerinti érték</w:t>
            </w:r>
          </w:p>
          <w:p w14:paraId="7FE1BC7A" w14:textId="5A06761C" w:rsidR="00896468" w:rsidRDefault="00B31E50">
            <w:pPr>
              <w:pStyle w:val="P68B1DB1-TableParagraph17"/>
              <w:spacing w:before="108"/>
            </w:pPr>
            <w:r>
              <w:t>A mérleg eszközoldalán feltüntetendő könyv szerinti érték, beleértve a felhalmozott kamatot [FINREP: V. melléklet, 1. rész, 27. pont] a tulajdoni részesedést megtestesítő instrumentumok és hitelviszonyt megtestesítő értékpapírok esetében [FINREP: V. melléklet, 1. rész, 31. pont</w:t>
            </w:r>
            <w:r w:rsidR="002E261E">
              <w:t>]</w:t>
            </w:r>
            <w:r>
              <w:t>, a</w:t>
            </w:r>
            <w:r w:rsidR="002E261E">
              <w:t>melyek kereskedési célúak</w:t>
            </w:r>
            <w:r>
              <w:t xml:space="preserve"> </w:t>
            </w:r>
            <w:r w:rsidR="002E261E">
              <w:t>[</w:t>
            </w:r>
            <w:r>
              <w:t>„FINREP: V. melléklet 1. része 15. pontjának a) alpontja és 16. pontjának a) alpontja].</w:t>
            </w:r>
          </w:p>
          <w:p w14:paraId="7FE1BC7B" w14:textId="77777777" w:rsidR="00896468" w:rsidRDefault="00B31E50">
            <w:pPr>
              <w:pStyle w:val="P68B1DB1-TableParagraph17"/>
              <w:spacing w:before="108"/>
            </w:pPr>
            <w:r>
              <w:t>Hivatkozás: FINREP: III. melléklet F 04.01 tábla 010. oszlop 010+ 060+ 120. sor</w:t>
            </w:r>
          </w:p>
        </w:tc>
      </w:tr>
      <w:tr w:rsidR="00896468"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896468" w:rsidRDefault="00B31E50">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896468" w:rsidRDefault="00B31E50">
            <w:pPr>
              <w:pStyle w:val="P68B1DB1-TableParagraph14"/>
              <w:spacing w:before="108"/>
              <w:jc w:val="both"/>
              <w:rPr>
                <w:bCs/>
              </w:rPr>
            </w:pPr>
            <w:r>
              <w:t>Díjakból származó jövedelem</w:t>
            </w:r>
          </w:p>
          <w:p w14:paraId="7FE1BC7F" w14:textId="732A6BD1" w:rsidR="00896468" w:rsidRDefault="00B31E50">
            <w:pPr>
              <w:pStyle w:val="P68B1DB1-TableParagraph13"/>
              <w:spacing w:before="108"/>
              <w:jc w:val="both"/>
            </w:pPr>
            <w:r>
              <w:t>Nem az intézmény által keletkeztetett vagy kibocsátott értékpapírok keletkeztetésében vagy kibocsátásában történt részvételért kapott díjak és jutalékok.</w:t>
            </w:r>
          </w:p>
          <w:p w14:paraId="7FE1BC80" w14:textId="77777777" w:rsidR="00896468" w:rsidRDefault="00B31E50">
            <w:pPr>
              <w:pStyle w:val="P68B1DB1-TableParagraph13"/>
              <w:spacing w:before="108"/>
              <w:jc w:val="both"/>
            </w:pPr>
            <w:r>
              <w:t>Hivatkozás: FINREP: És IV. melléklet F 22.01 tábla 010. oszlop 030+ 180. sor</w:t>
            </w:r>
          </w:p>
        </w:tc>
      </w:tr>
      <w:tr w:rsidR="00896468"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896468" w:rsidRDefault="00B31E50">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896468" w:rsidRDefault="00B31E50">
            <w:pPr>
              <w:pStyle w:val="P68B1DB1-TableParagraph14"/>
              <w:spacing w:before="108"/>
              <w:jc w:val="both"/>
              <w:rPr>
                <w:bCs/>
              </w:rPr>
            </w:pPr>
            <w:r>
              <w:t>Határon átnyúló érték</w:t>
            </w:r>
          </w:p>
          <w:p w14:paraId="7FE1BC84" w14:textId="1FB5FB65" w:rsidR="00896468" w:rsidRDefault="00B31E50">
            <w:pPr>
              <w:pStyle w:val="P68B1DB1-TableParagraph13"/>
              <w:spacing w:before="108"/>
              <w:jc w:val="both"/>
            </w:pPr>
            <w:r>
              <w:t xml:space="preserve">Származtatott ügyletek: a székhely szerinti országon vagy az érintett országon kívül </w:t>
            </w:r>
            <w:r w:rsidR="00A83C9B">
              <w:t xml:space="preserve">kintlévő </w:t>
            </w:r>
            <w:r>
              <w:t>név</w:t>
            </w:r>
            <w:r w:rsidR="00637C28">
              <w:t>érték</w:t>
            </w:r>
            <w:r>
              <w:t xml:space="preserve">. </w:t>
            </w:r>
          </w:p>
          <w:p w14:paraId="7FE1BC85" w14:textId="77777777" w:rsidR="00896468" w:rsidRDefault="00B31E50">
            <w:pPr>
              <w:pStyle w:val="P68B1DB1-TableParagraph13"/>
              <w:spacing w:before="108"/>
              <w:jc w:val="both"/>
            </w:pPr>
            <w:r>
              <w:t>Másodlagos piacok: a székhely szerinti országon vagy az érintett országon kívül kinnlevő bruttó könyv szerinti érték. Háttér-hivatkozás: FINREP III. melléklet, 20.04. táblázat, 011. oszlop, 040+ 080. sor, a székhely szerinti vagy az érintett ország kivételével valamennyi ország.</w:t>
            </w:r>
          </w:p>
          <w:p w14:paraId="7FE1BC86" w14:textId="54CF0108" w:rsidR="00896468" w:rsidRDefault="00B31E50">
            <w:pPr>
              <w:pStyle w:val="P68B1DB1-TableParagraph13"/>
              <w:spacing w:before="108"/>
              <w:jc w:val="both"/>
            </w:pPr>
            <w:r>
              <w:t xml:space="preserve">Elsődleges piacok: </w:t>
            </w:r>
            <w:r w:rsidR="001300B7">
              <w:t>a székhely szerinti országon vagy az érintett országon</w:t>
            </w:r>
            <w:r>
              <w:t xml:space="preserve"> kívül keletkezett díjbevétel.</w:t>
            </w:r>
          </w:p>
        </w:tc>
      </w:tr>
      <w:tr w:rsidR="00896468"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896468" w:rsidRDefault="00B31E50">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896468" w:rsidRDefault="00B31E50">
            <w:pPr>
              <w:pStyle w:val="P68B1DB1-TableParagraph14"/>
              <w:spacing w:before="108"/>
              <w:jc w:val="both"/>
              <w:rPr>
                <w:bCs/>
              </w:rPr>
            </w:pPr>
            <w:r>
              <w:t>Partnerek VAGY ügyletek száma.</w:t>
            </w:r>
          </w:p>
          <w:p w14:paraId="7FE1BC8A" w14:textId="24677E34" w:rsidR="00896468" w:rsidRDefault="00B31E50">
            <w:pPr>
              <w:pStyle w:val="P68B1DB1-TableParagraph13"/>
              <w:spacing w:before="108"/>
              <w:jc w:val="both"/>
              <w:rPr>
                <w:b/>
                <w:bCs/>
              </w:rPr>
            </w:pPr>
            <w:r>
              <w:t xml:space="preserve">Származtatott ügyletek és másodlagos piacok esetében a </w:t>
            </w:r>
            <w:r w:rsidR="00CF69DF">
              <w:t>partnerek</w:t>
            </w:r>
            <w:r>
              <w:t xml:space="preserve"> teljes száma. Az elsődleges piaci tevékenység esetében a jegyzési garanciával ellátott ügyletek teljes száma.</w:t>
            </w:r>
          </w:p>
        </w:tc>
      </w:tr>
      <w:tr w:rsidR="00896468"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896468" w:rsidRDefault="00B31E50">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896468" w:rsidRDefault="00B31E50">
            <w:pPr>
              <w:pStyle w:val="P68B1DB1-TableParagraph14"/>
              <w:spacing w:before="108"/>
              <w:jc w:val="both"/>
              <w:rPr>
                <w:bCs/>
              </w:rPr>
            </w:pPr>
            <w:r>
              <w:t>Hatás- és helyettesíthetőségi elemzések</w:t>
            </w:r>
          </w:p>
          <w:p w14:paraId="7FE1BC8E" w14:textId="77777777" w:rsidR="00896468" w:rsidRDefault="00B31E50">
            <w:pPr>
              <w:pStyle w:val="P68B1DB1-TableParagraph13"/>
              <w:spacing w:before="108"/>
              <w:jc w:val="both"/>
            </w:pPr>
            <w:r>
              <w:t>A harmadik felekre gyakorolt hatás értékelési kritériumai a kritikus funkciókról szóló (EU) 2016/778 felhatalmazáson alapuló bizottsági rendelettel összhangban a következő elemeket foglalják magukban:</w:t>
            </w:r>
          </w:p>
          <w:p w14:paraId="7FE1BC8F" w14:textId="77777777" w:rsidR="00896468" w:rsidRDefault="00B31E50">
            <w:pPr>
              <w:pStyle w:val="P68B1DB1-ListParagraph38"/>
              <w:numPr>
                <w:ilvl w:val="0"/>
                <w:numId w:val="131"/>
              </w:numPr>
              <w:spacing w:line="276" w:lineRule="auto"/>
            </w:pPr>
            <w:r>
              <w:t>a tevékenység jellege és kiterjedtsége, az ügyletek globális, nemzeti vagy regionális kiterjedtsége, volumene és száma; az ügyfelek és partnerek száma; azon ügyfelek száma, amelyek számára az intézmény az egyetlen vagy fő banki partner;</w:t>
            </w:r>
          </w:p>
          <w:p w14:paraId="7FE1BC90" w14:textId="77777777" w:rsidR="00896468" w:rsidRDefault="00B31E50">
            <w:pPr>
              <w:pStyle w:val="P68B1DB1-ListParagraph38"/>
              <w:numPr>
                <w:ilvl w:val="0"/>
                <w:numId w:val="131"/>
              </w:numPr>
              <w:spacing w:line="276" w:lineRule="auto"/>
            </w:pPr>
            <w:r>
              <w:t>az intézmény helyi, regionális, nemzeti vagy európai szintű jelentősége – az érintett piactól függően. Az intézmény jelentősége a piaci részesedés, a beágyazottság, az összetettség és a határokon átnyúló tevékenységek alapján értékelhető;</w:t>
            </w:r>
          </w:p>
          <w:p w14:paraId="7FE1BC91" w14:textId="316152C1" w:rsidR="00896468" w:rsidRDefault="00B31E50">
            <w:pPr>
              <w:pStyle w:val="P68B1DB1-ListParagraph38"/>
              <w:numPr>
                <w:ilvl w:val="0"/>
                <w:numId w:val="131"/>
              </w:numPr>
              <w:spacing w:line="276" w:lineRule="auto"/>
            </w:pPr>
            <w:r>
              <w:t xml:space="preserve">a funkció által érintett ügyfelek és érdekelt felek jellege, azaz többek között lakossági ügyfelek, vállalati ügyfelek, bankközi ügyfelek, központi elszámolóházak és </w:t>
            </w:r>
            <w:r w:rsidR="00D71DEE">
              <w:t xml:space="preserve">állami </w:t>
            </w:r>
            <w:r>
              <w:t xml:space="preserve">szervezetek; </w:t>
            </w:r>
          </w:p>
          <w:p w14:paraId="7FE1BC92" w14:textId="77777777" w:rsidR="00896468" w:rsidRDefault="00B31E50">
            <w:pPr>
              <w:pStyle w:val="P68B1DB1-ListParagraph38"/>
              <w:numPr>
                <w:ilvl w:val="0"/>
                <w:numId w:val="131"/>
              </w:numPr>
              <w:spacing w:line="276" w:lineRule="auto"/>
            </w:pPr>
            <w:r>
              <w:t xml:space="preserve">a funkció zavarának a piacokra, infrastruktúrákra, ügyfelekre és közszolgáltatásokra gyakorolt potenciális hatása. Az értékelés kiterjedhet mindenekelőtt az érintett piacok likviditására, az ügyfelek tevékenységére kifejtett hatásokra és az ügyfelek tevékenysége megzavarásának mértékére, valamint a rövid távú likviditási szükségletekre; a partnerek, ügyfelek és a nyilvánosság általi észlelhetőség; az ügyfelek reagáló képessége és reakciójuk sebessége; a más piacok működése szempontjából vizsgált jelentőség; a más piacok likviditására, működési folyamataira, szerkezetére gyakorolt hatás; a fő </w:t>
            </w:r>
            <w:r>
              <w:lastRenderedPageBreak/>
              <w:t>ügyfelekhez kapcsolódó más partnerekre gyakorolt hatás, valamint a funkciónak más szolgáltatásokkal való összefüggései.</w:t>
            </w:r>
          </w:p>
          <w:p w14:paraId="7FE1BC93"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896468" w:rsidRDefault="00B31E50">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DB082FC" w:rsidR="00896468" w:rsidRDefault="00627225">
            <w:pPr>
              <w:pStyle w:val="P68B1DB1-TableParagraph14"/>
              <w:spacing w:before="108"/>
              <w:jc w:val="both"/>
              <w:rPr>
                <w:bCs/>
              </w:rPr>
            </w:pPr>
            <w:r>
              <w:t>Jelleg és kiterjedtség</w:t>
            </w:r>
            <w:r w:rsidR="00B31E50">
              <w:t xml:space="preserve"> </w:t>
            </w:r>
          </w:p>
          <w:p w14:paraId="7FE1BC97" w14:textId="779E0BAF" w:rsidR="00896468" w:rsidRDefault="00B31E50">
            <w:pPr>
              <w:pStyle w:val="P68B1DB1-TableParagraph13"/>
              <w:spacing w:before="108"/>
              <w:jc w:val="both"/>
            </w:pPr>
            <w:r>
              <w:t xml:space="preserve">A globális, nemzeti vagy regionális kiterjedtség, </w:t>
            </w:r>
            <w:r w:rsidR="00627225" w:rsidRPr="00627225">
              <w:t xml:space="preserve">tranzakciók volumene és </w:t>
            </w:r>
            <w:r>
              <w:t>száma; az ügyfelek és partnerek száma; azon ügyfelek száma, amelyek számára az intézmény az egyetlen vagy fő banki partner;</w:t>
            </w:r>
          </w:p>
        </w:tc>
      </w:tr>
      <w:tr w:rsidR="00896468"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896468" w:rsidRDefault="00B31E50">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FA0E619" w:rsidR="00896468" w:rsidRDefault="00B31E50">
            <w:pPr>
              <w:pStyle w:val="P68B1DB1-TableParagraph14"/>
              <w:spacing w:before="108"/>
              <w:jc w:val="both"/>
              <w:rPr>
                <w:bCs/>
              </w:rPr>
            </w:pPr>
            <w:r>
              <w:t>Méretmutató</w:t>
            </w:r>
            <w:r w:rsidR="00082B69">
              <w:t xml:space="preserve"> 1</w:t>
            </w:r>
          </w:p>
          <w:p w14:paraId="4965F0DF" w14:textId="49478700" w:rsidR="00896468" w:rsidRDefault="00082B69">
            <w:pPr>
              <w:pStyle w:val="P68B1DB1-Normal31"/>
              <w:spacing w:line="276" w:lineRule="auto"/>
              <w:jc w:val="both"/>
            </w:pPr>
            <w:r>
              <w:t xml:space="preserve">Értékelje a bank fontosságát ezekben a tevékenységekben. </w:t>
            </w:r>
            <w:r w:rsidR="00B31E50">
              <w:t>Ezt az értékelést minőségileg</w:t>
            </w:r>
            <w:r w:rsidR="00903889">
              <w:t xml:space="preserve"> a</w:t>
            </w:r>
            <w:r w:rsidR="00B31E50">
              <w:t xml:space="preserve"> „nagy”, „közepes-magas”, „közepes-alacsony” vagy „alacsony”</w:t>
            </w:r>
            <w:r w:rsidR="00903889">
              <w:t xml:space="preserve"> kategóriák</w:t>
            </w:r>
            <w:r w:rsidR="00B31E50">
              <w:t xml:space="preserve"> fejezik ki. </w:t>
            </w:r>
            <w:r w:rsidRPr="00F63DCF">
              <w:t xml:space="preserve">„Magas” értéket adjon meg, ha a </w:t>
            </w:r>
            <w:r>
              <w:t>funkció</w:t>
            </w:r>
            <w:r w:rsidRPr="00F63DCF">
              <w:t xml:space="preserve"> mérete nagy, „Közepes-Magas” értéket, ha közepes, „Közepes-Alacsony” értéket, ha kicsi, és „Alacsony” értéket, ha elhanyagolható.</w:t>
            </w:r>
            <w:r>
              <w:t xml:space="preserve"> </w:t>
            </w:r>
            <w:r w:rsidR="00B31E50">
              <w:t>A minőségi értékeléshez olyan makrogazdasági változókat kell használni, mint a GDP, a népesség (</w:t>
            </w:r>
            <w:r w:rsidR="00903889">
              <w:t>b</w:t>
            </w:r>
            <w:r w:rsidR="00B31E50">
              <w:t xml:space="preserve">etétek, hitelezés, fizetések, készpénz, </w:t>
            </w:r>
            <w:r w:rsidR="00903889">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C9B" w14:textId="478A7B58" w:rsidR="00896468" w:rsidRDefault="00B31E50">
            <w:pPr>
              <w:pStyle w:val="P68B1DB1-TableParagraph13"/>
              <w:spacing w:before="108"/>
              <w:jc w:val="both"/>
            </w:pPr>
            <w:r>
              <w:t xml:space="preserve"> </w:t>
            </w:r>
          </w:p>
          <w:p w14:paraId="7FE1BC9C" w14:textId="67E79D84" w:rsidR="00896468" w:rsidRDefault="00B31E50">
            <w:pPr>
              <w:pStyle w:val="P68B1DB1-ListParagraph32"/>
              <w:numPr>
                <w:ilvl w:val="0"/>
                <w:numId w:val="126"/>
              </w:numPr>
              <w:spacing w:line="276" w:lineRule="auto"/>
            </w:pPr>
            <w:r>
              <w:t>Szakértői vélemény a kintlévőség név</w:t>
            </w:r>
            <w:r w:rsidR="00903889">
              <w:t>értékének</w:t>
            </w:r>
            <w:r>
              <w:t xml:space="preserve"> (c0030 </w:t>
            </w:r>
            <w:r>
              <w:rPr>
                <w:b/>
              </w:rPr>
              <w:t>a</w:t>
            </w:r>
            <w:r>
              <w:t xml:space="preserve"> 4.1. és 4.2. funkció esetében); könyv szerinti érték</w:t>
            </w:r>
            <w:r w:rsidR="008E5912">
              <w:t>ének</w:t>
            </w:r>
            <w:r>
              <w:t xml:space="preserve"> (c0040 az ID 4.3 esetében); vagy a generált díjbevétel</w:t>
            </w:r>
            <w:r w:rsidR="008E5912">
              <w:t>nek</w:t>
            </w:r>
            <w:r>
              <w:t xml:space="preserve"> (c0050 az ID 4.4 esetében) </w:t>
            </w:r>
            <w:r w:rsidR="00903889">
              <w:t xml:space="preserve">nagyságáról </w:t>
            </w:r>
            <w:r>
              <w:rPr>
                <w:b/>
              </w:rPr>
              <w:t>globális</w:t>
            </w:r>
            <w:r>
              <w:t xml:space="preserve"> szempontból [</w:t>
            </w:r>
            <w:r>
              <w:rPr>
                <w:i/>
              </w:rPr>
              <w:t>egy szint</w:t>
            </w:r>
            <w:r w:rsidR="00903889">
              <w:rPr>
                <w:i/>
              </w:rPr>
              <w:t>tel</w:t>
            </w:r>
            <w:r>
              <w:rPr>
                <w:i/>
              </w:rPr>
              <w:t xml:space="preserve"> magasabb, mint az érintett piac. Ha az érintett piac globális, akkor az 1. méret feleslegessé válik, és nem kell jelenteni]</w:t>
            </w:r>
            <w:r>
              <w:t>:</w:t>
            </w:r>
          </w:p>
          <w:p w14:paraId="7FE1BC9D" w14:textId="3B92C877" w:rsidR="00896468" w:rsidRDefault="00B31E50">
            <w:pPr>
              <w:pStyle w:val="P68B1DB1-TableParagraph33"/>
              <w:spacing w:before="108"/>
              <w:jc w:val="both"/>
              <w:rPr>
                <w:rFonts w:cs="Times New Roman"/>
                <w:color w:val="000000" w:themeColor="text1"/>
              </w:rPr>
            </w:pPr>
            <w:r>
              <w:t>Globális szempontból Ön szerint mekkora a kintlévő teljes név</w:t>
            </w:r>
            <w:r w:rsidR="008E5912">
              <w:t>érték</w:t>
            </w:r>
            <w:r>
              <w:t>, a könyv szerinti érték vagy a keletkezett díjbevétel?</w:t>
            </w:r>
          </w:p>
        </w:tc>
      </w:tr>
      <w:tr w:rsidR="00896468"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896468" w:rsidRDefault="00B31E50">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09214C35" w:rsidR="00896468" w:rsidRDefault="00B31E50">
            <w:pPr>
              <w:pStyle w:val="P68B1DB1-TableParagraph14"/>
              <w:spacing w:before="108"/>
              <w:jc w:val="both"/>
              <w:rPr>
                <w:bCs/>
              </w:rPr>
            </w:pPr>
            <w:r>
              <w:t>Méretmutató</w:t>
            </w:r>
            <w:r w:rsidR="00082B69">
              <w:t xml:space="preserve"> </w:t>
            </w:r>
            <w:r w:rsidR="008E5912">
              <w:t>2</w:t>
            </w:r>
          </w:p>
          <w:p w14:paraId="419C7762" w14:textId="72B2BC7F" w:rsidR="00896468" w:rsidRDefault="00082B69">
            <w:pPr>
              <w:pStyle w:val="P68B1DB1-Normal31"/>
              <w:spacing w:line="276" w:lineRule="auto"/>
              <w:jc w:val="both"/>
            </w:pPr>
            <w:r>
              <w:t xml:space="preserve">Értékelje a bank fontosságát ezekben a tevékenységekben. </w:t>
            </w:r>
            <w:r w:rsidR="00B31E50">
              <w:t>Ezt az értékelést minőségileg</w:t>
            </w:r>
            <w:r w:rsidR="00CC3F7D">
              <w:t xml:space="preserve"> a</w:t>
            </w:r>
            <w:r w:rsidR="00B31E50">
              <w:t xml:space="preserve"> „nagy”, „közepes-magas”, „közepes-alacsony” vagy „alacsony”</w:t>
            </w:r>
            <w:r w:rsidR="00CC3F7D">
              <w:t xml:space="preserve"> kategóriák</w:t>
            </w:r>
            <w:r w:rsidR="00B31E50">
              <w:t xml:space="preserve"> fejezik ki. </w:t>
            </w:r>
            <w:r w:rsidRPr="00F63DCF">
              <w:t xml:space="preserve">„Magas” értéket adjon meg, ha a </w:t>
            </w:r>
            <w:r>
              <w:t>funkció</w:t>
            </w:r>
            <w:r w:rsidRPr="00F63DCF">
              <w:t xml:space="preserve"> mérete nagy, „Közepes-Magas” értéket, ha közepes, „Közepes-Alacsony” értéket, ha kicsi, és „Alacsony” értéket, ha elhanyagolható.</w:t>
            </w:r>
            <w:r>
              <w:t xml:space="preserve"> </w:t>
            </w:r>
            <w:r w:rsidR="00B31E50">
              <w:t>A minőségi értékeléshez olyan makrogazdasági változókat kell használni, mint a GDP, a népesség (</w:t>
            </w:r>
            <w:r w:rsidR="00CC3F7D">
              <w:t>b</w:t>
            </w:r>
            <w:r w:rsidR="00B31E50">
              <w:t xml:space="preserve">etétek, hitelezés, fizetések, készpénz, </w:t>
            </w:r>
            <w:r w:rsidR="00CC3F7D">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CA1" w14:textId="7FB998B3" w:rsidR="00896468" w:rsidRDefault="00B31E50">
            <w:pPr>
              <w:pStyle w:val="P68B1DB1-TableParagraph13"/>
              <w:spacing w:before="108"/>
              <w:jc w:val="both"/>
            </w:pPr>
            <w:r>
              <w:t xml:space="preserve"> </w:t>
            </w:r>
          </w:p>
          <w:p w14:paraId="3C42A32E" w14:textId="7545FA6F" w:rsidR="00896468" w:rsidRDefault="00B31E50">
            <w:pPr>
              <w:pStyle w:val="P68B1DB1-ListParagraph32"/>
              <w:numPr>
                <w:ilvl w:val="0"/>
                <w:numId w:val="124"/>
              </w:numPr>
              <w:spacing w:line="276" w:lineRule="auto"/>
            </w:pPr>
            <w:r>
              <w:t xml:space="preserve">Szakértői vélemény a </w:t>
            </w:r>
            <w:r w:rsidR="00CC3F7D">
              <w:t>partnerek</w:t>
            </w:r>
            <w:r>
              <w:t xml:space="preserve"> számáról (c0090 az ID 4,1, 4.2, 4.3 funkció esetében) vagy a </w:t>
            </w:r>
            <w:r w:rsidR="00CC3F7D">
              <w:t>jegyzési garanciával ellátott ügyletek</w:t>
            </w:r>
            <w:r>
              <w:t xml:space="preserve"> </w:t>
            </w:r>
            <w:r>
              <w:rPr>
                <w:b/>
              </w:rPr>
              <w:t>számáról</w:t>
            </w:r>
            <w:r>
              <w:t xml:space="preserve"> (c0100 az ID 4.4 esetében) </w:t>
            </w:r>
            <w:r>
              <w:rPr>
                <w:b/>
              </w:rPr>
              <w:t>nemzeti</w:t>
            </w:r>
            <w:r>
              <w:t xml:space="preserve"> szempontból</w:t>
            </w:r>
            <w:r>
              <w:rPr>
                <w:i/>
              </w:rPr>
              <w:t>[az érintett piac szintjén</w:t>
            </w:r>
            <w:r>
              <w:t>]:</w:t>
            </w:r>
          </w:p>
          <w:p w14:paraId="7FE1BCA3" w14:textId="1D6BBCB1" w:rsidR="00896468" w:rsidRDefault="00B31E50">
            <w:pPr>
              <w:pStyle w:val="P68B1DB1-ListParagraph32"/>
              <w:numPr>
                <w:ilvl w:val="1"/>
                <w:numId w:val="124"/>
              </w:numPr>
              <w:spacing w:line="276" w:lineRule="auto"/>
            </w:pPr>
            <w:r>
              <w:t>Nemzeti szempontból mennyire nagy az Ön intézménye partnere</w:t>
            </w:r>
            <w:r w:rsidR="00CC3F7D">
              <w:t>ine</w:t>
            </w:r>
            <w:r>
              <w:t>k</w:t>
            </w:r>
            <w:r>
              <w:rPr>
                <w:i/>
              </w:rPr>
              <w:t xml:space="preserve"> vagy</w:t>
            </w:r>
            <w:r>
              <w:t xml:space="preserve"> jegyzési </w:t>
            </w:r>
            <w:r w:rsidR="00CC3F7D">
              <w:t xml:space="preserve">garanciával ellátott </w:t>
            </w:r>
            <w:r>
              <w:t>ügylete</w:t>
            </w:r>
            <w:r w:rsidR="00DC2AB9">
              <w:t>ine</w:t>
            </w:r>
            <w:r>
              <w:t>k becsült száma?</w:t>
            </w:r>
          </w:p>
          <w:p w14:paraId="7FE1BCA4"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896468" w:rsidRDefault="00B31E50">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896468" w:rsidRDefault="00B31E50">
            <w:pPr>
              <w:pStyle w:val="P68B1DB1-TableParagraph14"/>
              <w:spacing w:before="108"/>
              <w:jc w:val="both"/>
              <w:rPr>
                <w:bCs/>
              </w:rPr>
            </w:pPr>
            <w:r>
              <w:t>Határokon átnyúló mutató</w:t>
            </w:r>
          </w:p>
          <w:p w14:paraId="7FE1BCA8" w14:textId="77777777" w:rsidR="00896468" w:rsidRDefault="00B31E50">
            <w:pPr>
              <w:pStyle w:val="P68B1DB1-TableParagraph13"/>
              <w:spacing w:before="108"/>
              <w:jc w:val="both"/>
            </w:pPr>
            <w:r>
              <w:t>Értékelje a határokon átnyúló tevékenységek relatív jelentőségét a különböző gazdasági funkciók szempontjából.</w:t>
            </w:r>
          </w:p>
          <w:p w14:paraId="7FE1BCA9" w14:textId="77777777" w:rsidR="00896468" w:rsidRDefault="00B31E50">
            <w:pPr>
              <w:pStyle w:val="P68B1DB1-TableParagraph13"/>
              <w:spacing w:before="108"/>
              <w:jc w:val="both"/>
            </w:pPr>
            <w:r>
              <w:t xml:space="preserve">Ezt nem kell értékelni olyan jelentések esetében, amelyekben az érintett piac regionálisnak minősül. </w:t>
            </w:r>
          </w:p>
          <w:p w14:paraId="7FE1BCAA" w14:textId="77777777" w:rsidR="00896468" w:rsidRDefault="00B31E50">
            <w:pPr>
              <w:pStyle w:val="P68B1DB1-ListParagraph32"/>
              <w:numPr>
                <w:ilvl w:val="0"/>
                <w:numId w:val="118"/>
              </w:numPr>
              <w:rPr>
                <w:i/>
                <w:iCs/>
              </w:rPr>
            </w:pPr>
            <w:r>
              <w:t xml:space="preserve">A beszámolót készítő gazdálkodó egység joghatóságon átívelő tevékenységének részaránya a teljes érték százalékában, névleges összegekben (származtatott ügyletek), </w:t>
            </w:r>
            <w:r>
              <w:lastRenderedPageBreak/>
              <w:t xml:space="preserve">könyv szerinti értékben (másodlagos piacok), külföldi ügyfelektől származó díjbevételben (elsődleges piacok) kifejezve. Jelentés: </w:t>
            </w:r>
          </w:p>
          <w:p w14:paraId="7FE1BCAB" w14:textId="493287CD" w:rsidR="00896468" w:rsidRDefault="00540821">
            <w:pPr>
              <w:pStyle w:val="P68B1DB1-ListParagraph32"/>
              <w:numPr>
                <w:ilvl w:val="1"/>
                <w:numId w:val="118"/>
              </w:numPr>
              <w:rPr>
                <w:i/>
                <w:iCs/>
              </w:rPr>
            </w:pPr>
            <w:bookmarkStart w:id="122" w:name="_Hlk194476322"/>
            <w:r>
              <w:t>&lt;</w:t>
            </w:r>
            <w:r w:rsidR="00B31E50">
              <w:t xml:space="preserve">5%; </w:t>
            </w:r>
          </w:p>
          <w:p w14:paraId="7FE1BCAC" w14:textId="35A9186D" w:rsidR="00896468" w:rsidRDefault="00B31E50">
            <w:pPr>
              <w:pStyle w:val="P68B1DB1-ListParagraph32"/>
              <w:numPr>
                <w:ilvl w:val="1"/>
                <w:numId w:val="118"/>
              </w:numPr>
              <w:rPr>
                <w:i/>
                <w:iCs/>
              </w:rPr>
            </w:pPr>
            <w:r>
              <w:t xml:space="preserve">5–15%; </w:t>
            </w:r>
          </w:p>
          <w:p w14:paraId="7FE1BCAD" w14:textId="54C07240" w:rsidR="00896468" w:rsidRDefault="00B31E50">
            <w:pPr>
              <w:pStyle w:val="P68B1DB1-ListParagraph32"/>
              <w:numPr>
                <w:ilvl w:val="1"/>
                <w:numId w:val="118"/>
              </w:numPr>
              <w:rPr>
                <w:i/>
                <w:iCs/>
              </w:rPr>
            </w:pPr>
            <w:r>
              <w:t xml:space="preserve">16–25%, </w:t>
            </w:r>
          </w:p>
          <w:p w14:paraId="7FE1BCAE" w14:textId="34AC2F5B" w:rsidR="00896468" w:rsidRDefault="00B31E50">
            <w:pPr>
              <w:pStyle w:val="P68B1DB1-ListParagraph32"/>
              <w:numPr>
                <w:ilvl w:val="1"/>
                <w:numId w:val="118"/>
              </w:numPr>
              <w:rPr>
                <w:i/>
                <w:iCs/>
              </w:rPr>
            </w:pPr>
            <w:r>
              <w:t xml:space="preserve">&gt; 25%. </w:t>
            </w:r>
          </w:p>
          <w:bookmarkEnd w:id="122"/>
          <w:p w14:paraId="7FE1BCAF"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896468" w:rsidRDefault="00B31E50">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896468" w:rsidRDefault="00B31E50">
            <w:pPr>
              <w:pStyle w:val="P68B1DB1-TableParagraph14"/>
              <w:spacing w:before="108"/>
              <w:jc w:val="both"/>
              <w:rPr>
                <w:bCs/>
              </w:rPr>
            </w:pPr>
            <w:r>
              <w:t xml:space="preserve">Relevancia – </w:t>
            </w:r>
          </w:p>
          <w:p w14:paraId="7FE1BCB3" w14:textId="7E91639F" w:rsidR="00896468" w:rsidRDefault="00B31E50">
            <w:pPr>
              <w:pStyle w:val="P68B1DB1-TableParagraph13"/>
              <w:spacing w:before="108"/>
              <w:jc w:val="both"/>
            </w:pPr>
            <w:r>
              <w:t>A helyi, regionális, nemzeti vagy európai szintű jelentősége – az érintett piactól függően. Az intézmény jelentősége a piaci részesedés, a</w:t>
            </w:r>
            <w:r w:rsidR="00DC2AB9">
              <w:t>z</w:t>
            </w:r>
            <w:r>
              <w:t xml:space="preserve"> </w:t>
            </w:r>
            <w:r w:rsidR="00DC2AB9">
              <w:t>összekapcsoltság</w:t>
            </w:r>
            <w:r>
              <w:t>, az összetettség és a határokon átnyúló tevékenységek alapján értékelhető;</w:t>
            </w:r>
          </w:p>
          <w:p w14:paraId="7FE1BCB4" w14:textId="77777777" w:rsidR="00896468" w:rsidRDefault="00B31E50">
            <w:pPr>
              <w:pStyle w:val="P68B1DB1-TableParagraph14"/>
              <w:spacing w:before="108"/>
              <w:jc w:val="both"/>
              <w:rPr>
                <w:bCs/>
              </w:rPr>
            </w:pPr>
            <w:r>
              <w:t>Piaci részesedés</w:t>
            </w:r>
          </w:p>
          <w:p w14:paraId="7FE1BCB5" w14:textId="1F99AABB" w:rsidR="00896468" w:rsidRDefault="00B31E50">
            <w:pPr>
              <w:pStyle w:val="P68B1DB1-TableParagraph13"/>
              <w:spacing w:before="108"/>
              <w:jc w:val="both"/>
            </w:pPr>
            <w:r>
              <w:t>Értékel</w:t>
            </w:r>
            <w:r w:rsidR="00DC2AB9">
              <w:t>je</w:t>
            </w:r>
            <w:r>
              <w:t xml:space="preserve">, hogy </w:t>
            </w:r>
            <w:r w:rsidR="00DC2AB9">
              <w:t>az adatszolgáltató szervezet</w:t>
            </w:r>
            <w:r>
              <w:t xml:space="preserve"> piaci részesedése mennyire </w:t>
            </w:r>
            <w:r w:rsidR="00DC2AB9">
              <w:t xml:space="preserve">jelentős </w:t>
            </w:r>
            <w:r>
              <w:t xml:space="preserve">a nemzeti vagy más érintett piachoz képest, amint az a táblában szerepel. Ezt az értékelést minőségileg a következőképpen fejezik ki: </w:t>
            </w:r>
          </w:p>
          <w:p w14:paraId="7FE1BCB6" w14:textId="3D988DC8" w:rsidR="00896468" w:rsidRDefault="00B31E50">
            <w:pPr>
              <w:pStyle w:val="P68B1DB1-ListParagraph38"/>
              <w:numPr>
                <w:ilvl w:val="0"/>
                <w:numId w:val="276"/>
              </w:numPr>
              <w:spacing w:line="276" w:lineRule="auto"/>
              <w:jc w:val="both"/>
            </w:pPr>
            <w:r>
              <w:t>Magas, ha a piaci részesedés nagy</w:t>
            </w:r>
          </w:p>
          <w:p w14:paraId="7FE1BCB7" w14:textId="2084195C" w:rsidR="00896468" w:rsidRDefault="00B31E50">
            <w:pPr>
              <w:pStyle w:val="P68B1DB1-ListParagraph38"/>
              <w:numPr>
                <w:ilvl w:val="0"/>
                <w:numId w:val="276"/>
              </w:numPr>
              <w:spacing w:line="276" w:lineRule="auto"/>
              <w:jc w:val="both"/>
            </w:pPr>
            <w:r>
              <w:t>Közepesen magas, ha a piaci részesedés közepes</w:t>
            </w:r>
          </w:p>
          <w:p w14:paraId="7FE1BCB8" w14:textId="65379AE1" w:rsidR="00896468" w:rsidRDefault="00B31E50">
            <w:pPr>
              <w:pStyle w:val="P68B1DB1-ListParagraph38"/>
              <w:numPr>
                <w:ilvl w:val="0"/>
                <w:numId w:val="276"/>
              </w:numPr>
              <w:spacing w:line="276" w:lineRule="auto"/>
              <w:jc w:val="both"/>
            </w:pPr>
            <w:r>
              <w:t xml:space="preserve">Közepesen alacsony, ha a piaci részesedés </w:t>
            </w:r>
            <w:r w:rsidR="00540821">
              <w:t>kicsi</w:t>
            </w:r>
            <w:r>
              <w:t xml:space="preserve">, vagy </w:t>
            </w:r>
          </w:p>
          <w:p w14:paraId="7FE1BCB9" w14:textId="19A1DC5D" w:rsidR="00896468" w:rsidRDefault="00B31E50">
            <w:pPr>
              <w:pStyle w:val="P68B1DB1-ListParagraph38"/>
              <w:numPr>
                <w:ilvl w:val="0"/>
                <w:numId w:val="276"/>
              </w:numPr>
              <w:spacing w:line="276" w:lineRule="auto"/>
              <w:jc w:val="both"/>
            </w:pPr>
            <w:r>
              <w:t xml:space="preserve">Alacsony”, ha a piaci részesedés elhanyagolható. </w:t>
            </w:r>
          </w:p>
          <w:p w14:paraId="7FE1BCBA" w14:textId="213D8680" w:rsidR="00896468" w:rsidRDefault="00B31E50">
            <w:pPr>
              <w:pStyle w:val="P68B1DB1-TableParagraph13"/>
              <w:spacing w:before="108"/>
              <w:jc w:val="both"/>
            </w:pPr>
            <w:r>
              <w:t>Ez az értékelés figyelembe veszi a</w:t>
            </w:r>
            <w:r w:rsidR="00DC2AB9">
              <w:t>z adatszolgáltató szervezet</w:t>
            </w:r>
            <w:r>
              <w:t xml:space="preserve"> országának (vagy más érintett piacának) piaci szerkezetét és a részben jelentett piaci részesedéseket. </w:t>
            </w:r>
          </w:p>
          <w:p w14:paraId="7FE1BCBB" w14:textId="505DB165" w:rsidR="00896468" w:rsidRDefault="00B31E50">
            <w:pPr>
              <w:pStyle w:val="P68B1DB1-TableParagraph13"/>
              <w:spacing w:before="108"/>
              <w:jc w:val="both"/>
            </w:pPr>
            <w:r>
              <w:t>2.</w:t>
            </w:r>
            <w:r w:rsidR="00DC2AB9">
              <w:t xml:space="preserve">Mennyiségi </w:t>
            </w:r>
            <w:r>
              <w:t>adatok:</w:t>
            </w:r>
          </w:p>
          <w:p w14:paraId="7FE1BCBC" w14:textId="356B41D0" w:rsidR="00896468" w:rsidRDefault="00B31E50">
            <w:pPr>
              <w:pStyle w:val="P68B1DB1-ListParagraph32"/>
              <w:numPr>
                <w:ilvl w:val="0"/>
                <w:numId w:val="117"/>
              </w:numPr>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DC2AB9">
              <w:t>szükséges</w:t>
            </w:r>
            <w:r>
              <w:t>).</w:t>
            </w:r>
          </w:p>
          <w:p w14:paraId="7FE1BCBD"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BE"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896468" w:rsidRDefault="00B31E50">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896468" w:rsidRDefault="00B31E50">
            <w:pPr>
              <w:pStyle w:val="P68B1DB1-TableParagraph14"/>
              <w:spacing w:before="108"/>
              <w:jc w:val="both"/>
              <w:rPr>
                <w:bCs/>
              </w:rPr>
            </w:pPr>
            <w:r>
              <w:t>Piacszerkezet – piaci koncentráció</w:t>
            </w:r>
          </w:p>
          <w:p w14:paraId="7FE1BCC5" w14:textId="5447ED33" w:rsidR="00896468" w:rsidRDefault="00B31E50" w:rsidP="000D6BD3">
            <w:pPr>
              <w:pStyle w:val="P68B1DB1-TableParagraph13"/>
              <w:spacing w:before="108"/>
              <w:jc w:val="both"/>
            </w:pPr>
            <w:r>
              <w:t>A jelenleg</w:t>
            </w:r>
            <w:r w:rsidR="000D6BD3">
              <w:t>i</w:t>
            </w:r>
            <w:r>
              <w:t xml:space="preserve"> versenytársak számával mért piaci koncentráció</w:t>
            </w:r>
            <w:r w:rsidR="000D6BD3">
              <w:t>, amelyek</w:t>
            </w:r>
            <w:r>
              <w:t xml:space="preserve"> hasonló gazdasági funkciók</w:t>
            </w:r>
            <w:r w:rsidR="000D6BD3">
              <w:t>at látnak el</w:t>
            </w:r>
            <w:r>
              <w:t xml:space="preserve"> és/vagy azonos feltételek mellett hasonló szolgáltatások</w:t>
            </w:r>
            <w:r w:rsidR="000D6BD3">
              <w:t>at</w:t>
            </w:r>
            <w:r>
              <w:t xml:space="preserve"> </w:t>
            </w:r>
            <w:r w:rsidR="000D6BD3">
              <w:t xml:space="preserve">nyújtanak </w:t>
            </w:r>
            <w:r>
              <w:t xml:space="preserve">(azaz összehasonlítható </w:t>
            </w:r>
            <w:r w:rsidR="000D6BD3">
              <w:t xml:space="preserve">a </w:t>
            </w:r>
            <w:r>
              <w:t xml:space="preserve">terjedelem és </w:t>
            </w:r>
            <w:r w:rsidR="000D6BD3">
              <w:t xml:space="preserve">a </w:t>
            </w:r>
            <w:r>
              <w:t xml:space="preserve">minőség, valamint összehasonlítható </w:t>
            </w:r>
            <w:r w:rsidR="000D6BD3">
              <w:t xml:space="preserve">a </w:t>
            </w:r>
            <w:r>
              <w:t>költség),</w:t>
            </w:r>
            <w:r w:rsidR="000D6BD3">
              <w:t xml:space="preserve"> és</w:t>
            </w:r>
            <w:r>
              <w:t xml:space="preserve"> amely</w:t>
            </w:r>
            <w:r w:rsidR="000D6BD3">
              <w:t>ek</w:t>
            </w:r>
            <w:r>
              <w:t xml:space="preserve"> potenciálisan átvehet</w:t>
            </w:r>
            <w:r w:rsidR="000D6BD3">
              <w:t>ik</w:t>
            </w:r>
            <w:r>
              <w:t xml:space="preserve"> </w:t>
            </w:r>
            <w:r w:rsidR="000D6BD3">
              <w:t>az adatszolgáltató szervezet</w:t>
            </w:r>
            <w:r>
              <w:t xml:space="preserve"> ügyfelei</w:t>
            </w:r>
            <w:r w:rsidR="000D6BD3">
              <w:t>t</w:t>
            </w:r>
            <w:r>
              <w:t xml:space="preserve"> és/vagy üzleti tevékenység</w:t>
            </w:r>
            <w:r w:rsidR="000D6BD3">
              <w:t>ét</w:t>
            </w:r>
            <w:r>
              <w:t xml:space="preserve"> (</w:t>
            </w:r>
            <w:r w:rsidR="000D6BD3">
              <w:t xml:space="preserve">vagy ennek </w:t>
            </w:r>
            <w:r>
              <w:t>egy rész</w:t>
            </w:r>
            <w:r w:rsidR="000D6BD3">
              <w:t>ét</w:t>
            </w:r>
            <w:r>
              <w:t xml:space="preserve">) észszerű időn belül. </w:t>
            </w:r>
          </w:p>
          <w:p w14:paraId="7FE1BCC6" w14:textId="77777777" w:rsidR="00896468" w:rsidRDefault="00B31E50">
            <w:pPr>
              <w:pStyle w:val="P68B1DB1-TableParagraph13"/>
              <w:spacing w:before="108"/>
              <w:jc w:val="both"/>
            </w:pPr>
            <w:r>
              <w:t xml:space="preserve">Ezt kategóriákban kell jelenteni, amelyek minden egyes alfunkció esetében azonosak. </w:t>
            </w:r>
          </w:p>
          <w:p w14:paraId="6E6D19F8" w14:textId="77777777" w:rsidR="00896468" w:rsidRDefault="00B31E50">
            <w:pPr>
              <w:pStyle w:val="P68B1DB1-ListParagraph32"/>
              <w:numPr>
                <w:ilvl w:val="0"/>
                <w:numId w:val="277"/>
              </w:numPr>
              <w:jc w:val="both"/>
            </w:pPr>
            <w:r>
              <w:t xml:space="preserve">&gt; 20 versenytárs; </w:t>
            </w:r>
          </w:p>
          <w:p w14:paraId="6A8A3C5F" w14:textId="77777777" w:rsidR="00896468" w:rsidRDefault="00B31E50">
            <w:pPr>
              <w:pStyle w:val="P68B1DB1-ListParagraph32"/>
              <w:numPr>
                <w:ilvl w:val="0"/>
                <w:numId w:val="277"/>
              </w:numPr>
              <w:jc w:val="both"/>
            </w:pPr>
            <w:r>
              <w:t xml:space="preserve">11–20 versenytárs; </w:t>
            </w:r>
          </w:p>
          <w:p w14:paraId="543AFD53" w14:textId="77777777" w:rsidR="00896468" w:rsidRDefault="00B31E50">
            <w:pPr>
              <w:pStyle w:val="P68B1DB1-ListParagraph32"/>
              <w:numPr>
                <w:ilvl w:val="0"/>
                <w:numId w:val="277"/>
              </w:numPr>
              <w:jc w:val="both"/>
            </w:pPr>
            <w:r>
              <w:t xml:space="preserve">5–10 versenytárs, </w:t>
            </w:r>
          </w:p>
          <w:p w14:paraId="761539CF" w14:textId="6663A2D4" w:rsidR="00896468" w:rsidRDefault="00540821">
            <w:pPr>
              <w:pStyle w:val="P68B1DB1-ListParagraph32"/>
              <w:numPr>
                <w:ilvl w:val="0"/>
                <w:numId w:val="277"/>
              </w:numPr>
              <w:jc w:val="both"/>
              <w:rPr>
                <w:b/>
                <w:bCs/>
                <w:color w:val="000000" w:themeColor="text1"/>
              </w:rPr>
            </w:pPr>
            <w:r>
              <w:t>&lt;</w:t>
            </w:r>
            <w:r w:rsidR="00B31E50">
              <w:t>5 versenytárs</w:t>
            </w:r>
          </w:p>
          <w:p w14:paraId="7FE1BCCA" w14:textId="06EC2320" w:rsidR="00896468" w:rsidRDefault="00896468">
            <w:pPr>
              <w:jc w:val="both"/>
              <w:rPr>
                <w:rFonts w:ascii="Times New Roman" w:hAnsi="Times New Roman"/>
                <w:color w:val="000000" w:themeColor="text1"/>
                <w:sz w:val="20"/>
                <w:szCs w:val="20"/>
              </w:rPr>
            </w:pPr>
          </w:p>
        </w:tc>
      </w:tr>
      <w:tr w:rsidR="00896468"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896468" w:rsidRDefault="00B31E50">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176A8F09" w:rsidR="00896468" w:rsidRDefault="00B31E50">
            <w:pPr>
              <w:pStyle w:val="P68B1DB1-TableParagraph14"/>
              <w:spacing w:before="108"/>
              <w:jc w:val="both"/>
              <w:rPr>
                <w:bCs/>
              </w:rPr>
            </w:pPr>
            <w:r>
              <w:t>Idő</w:t>
            </w:r>
            <w:r w:rsidR="000D6D48">
              <w:t>tartam</w:t>
            </w:r>
            <w:r>
              <w:t xml:space="preserve"> – A helyettesítés várható ideje</w:t>
            </w:r>
          </w:p>
          <w:p w14:paraId="7FE1BCCF" w14:textId="4FBCFB95" w:rsidR="00896468" w:rsidRDefault="00540821">
            <w:pPr>
              <w:pStyle w:val="P68B1DB1-TableParagraph13"/>
              <w:spacing w:before="108"/>
              <w:jc w:val="both"/>
            </w:pPr>
            <w:r w:rsidRPr="00C65B3A">
              <w:t xml:space="preserve">Becsülje meg, hogy mennyi idő szükséges ahhoz, hogy </w:t>
            </w:r>
            <w:r w:rsidR="000D6BD3">
              <w:t>az adatszolgáltató szervezet</w:t>
            </w:r>
            <w:r w:rsidRPr="00C65B3A">
              <w:t xml:space="preserve"> által ellátott gazdasági funkciót válsághelyzetben a piac felszívja.</w:t>
            </w:r>
            <w:r>
              <w:t xml:space="preserve"> </w:t>
            </w:r>
            <w:r w:rsidR="00B31E50">
              <w:t xml:space="preserve">Lebontva: </w:t>
            </w:r>
          </w:p>
          <w:p w14:paraId="7FE1BCD0" w14:textId="77777777" w:rsidR="00896468" w:rsidRDefault="00B31E50">
            <w:pPr>
              <w:pStyle w:val="P68B1DB1-ListParagraph38"/>
              <w:numPr>
                <w:ilvl w:val="0"/>
                <w:numId w:val="274"/>
              </w:numPr>
              <w:jc w:val="both"/>
            </w:pPr>
            <w:r>
              <w:t xml:space="preserve">az egy vagy több versenytárs számára a funkció átvételéhez szükséges jogi és technikai lépések elvégzéséhez várhatóan szükséges idő; valamint  </w:t>
            </w:r>
          </w:p>
          <w:p w14:paraId="7FE1BCD1" w14:textId="200C71F3" w:rsidR="00896468" w:rsidRDefault="00B31E50">
            <w:pPr>
              <w:pStyle w:val="P68B1DB1-ListParagraph38"/>
              <w:numPr>
                <w:ilvl w:val="0"/>
                <w:numId w:val="274"/>
              </w:numPr>
              <w:jc w:val="both"/>
            </w:pPr>
            <w:r>
              <w:t>a szolgáltatás igénybe vevői által egy másik szolgáltatóhoz való</w:t>
            </w:r>
            <w:r w:rsidR="000D6BD3">
              <w:t xml:space="preserve"> átálláshoz</w:t>
            </w:r>
            <w:r>
              <w:t xml:space="preserve"> szükséges idő. </w:t>
            </w:r>
          </w:p>
          <w:p w14:paraId="7FE1BCD2"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D3" w14:textId="757D5479" w:rsidR="00896468" w:rsidRDefault="00B31E50">
            <w:pPr>
              <w:pStyle w:val="P68B1DB1-TableParagraph13"/>
              <w:spacing w:before="108"/>
              <w:jc w:val="both"/>
            </w:pPr>
            <w:r>
              <w:lastRenderedPageBreak/>
              <w:t xml:space="preserve">Az előbbi helyettesítőjeként adja meg annak becslését, hogy </w:t>
            </w:r>
            <w:r w:rsidR="000D6BD3">
              <w:t>az adatszolgáltató szervezetnek</w:t>
            </w:r>
            <w:r>
              <w:t xml:space="preserve"> mennyi időre lenne szüksége ahhoz, hogy saját üzleti tevékenység</w:t>
            </w:r>
            <w:r w:rsidR="000D6BD3">
              <w:t>ébe olvasszon</w:t>
            </w:r>
            <w:r>
              <w:t xml:space="preserve">  egy másik intézmény által nyújtott szolgáltatást</w:t>
            </w:r>
            <w:r w:rsidR="000D6BD3">
              <w:t xml:space="preserve"> (vagy annak egy részét)</w:t>
            </w:r>
            <w:r>
              <w:t>, észszerű költség mellett, válsághelyzetben. A táblában megadott kategóriákban adja meg a helyettesítés becsült idejét:</w:t>
            </w:r>
          </w:p>
          <w:p w14:paraId="7FE1BCD4" w14:textId="77777777" w:rsidR="00896468" w:rsidRDefault="00B31E50">
            <w:pPr>
              <w:pStyle w:val="P68B1DB1-Normal31"/>
              <w:jc w:val="both"/>
            </w:pPr>
            <w:r>
              <w:t xml:space="preserve">Kategóriák: </w:t>
            </w:r>
          </w:p>
          <w:p w14:paraId="7FE1BCD5" w14:textId="641EA795" w:rsidR="00896468" w:rsidRDefault="00540821">
            <w:pPr>
              <w:pStyle w:val="P68B1DB1-ListParagraph32"/>
              <w:numPr>
                <w:ilvl w:val="0"/>
                <w:numId w:val="286"/>
              </w:numPr>
              <w:jc w:val="both"/>
            </w:pPr>
            <w:r>
              <w:t>&lt;</w:t>
            </w:r>
            <w:r w:rsidR="00B31E50">
              <w:t xml:space="preserve"> 1 hét; </w:t>
            </w:r>
          </w:p>
          <w:p w14:paraId="7FE1BCD6" w14:textId="712CDEEF" w:rsidR="00896468" w:rsidRDefault="00B31E50">
            <w:pPr>
              <w:pStyle w:val="P68B1DB1-ListParagraph32"/>
              <w:numPr>
                <w:ilvl w:val="0"/>
                <w:numId w:val="286"/>
              </w:numPr>
              <w:jc w:val="both"/>
            </w:pPr>
            <w:r>
              <w:t xml:space="preserve">1 hét – 1 hónap; </w:t>
            </w:r>
          </w:p>
          <w:p w14:paraId="7FE1BCD7" w14:textId="5ECCCD1B" w:rsidR="00896468" w:rsidRDefault="00B31E50">
            <w:pPr>
              <w:pStyle w:val="P68B1DB1-ListParagraph32"/>
              <w:numPr>
                <w:ilvl w:val="0"/>
                <w:numId w:val="286"/>
              </w:numPr>
              <w:jc w:val="both"/>
            </w:pPr>
            <w:r>
              <w:t xml:space="preserve">&gt; 1 hónap-6 hónap, </w:t>
            </w:r>
          </w:p>
          <w:p w14:paraId="7FE1BCD8" w14:textId="66817B18" w:rsidR="00896468" w:rsidRDefault="00B31E50">
            <w:pPr>
              <w:pStyle w:val="P68B1DB1-ListParagraph32"/>
              <w:numPr>
                <w:ilvl w:val="0"/>
                <w:numId w:val="286"/>
              </w:numPr>
              <w:jc w:val="both"/>
            </w:pPr>
            <w:r>
              <w:t xml:space="preserve">&gt; 6 hónap  </w:t>
            </w:r>
          </w:p>
          <w:p w14:paraId="7FE1BCD9"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896468" w:rsidRDefault="00B31E50">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896468" w:rsidRDefault="00B31E50">
            <w:pPr>
              <w:pStyle w:val="P68B1DB1-TableParagraph14"/>
              <w:spacing w:before="108"/>
              <w:jc w:val="both"/>
              <w:rPr>
                <w:bCs/>
              </w:rPr>
            </w:pPr>
            <w:r>
              <w:t>Helyettesítési képesség</w:t>
            </w:r>
          </w:p>
        </w:tc>
      </w:tr>
      <w:tr w:rsidR="00896468"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896468" w:rsidRDefault="00B31E50">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896468" w:rsidRDefault="00B31E50">
            <w:pPr>
              <w:pStyle w:val="P68B1DB1-TableParagraph14"/>
              <w:spacing w:before="108"/>
              <w:jc w:val="both"/>
              <w:rPr>
                <w:bCs/>
              </w:rPr>
            </w:pPr>
            <w:r>
              <w:t>A piacra lépés és a terjeszkedés jogi akadályai</w:t>
            </w:r>
          </w:p>
          <w:p w14:paraId="7FE1BCE0"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E1" w14:textId="77777777" w:rsidR="00896468" w:rsidRDefault="00B31E50">
            <w:pPr>
              <w:pStyle w:val="P68B1DB1-TableParagraph13"/>
              <w:spacing w:before="108"/>
              <w:jc w:val="both"/>
            </w:pPr>
            <w:r>
              <w:t xml:space="preserve">A versenytársak számára a szolgáltatás nyújtása előtt álló jogi akadályok. A hitelintézetek tevékenységének végzésére vonatkozó jogi követelmények (pl. banki engedélyek vagy tőkekövetelmények) alternatív szolgáltatók jelenlétében nem tekinthetők leküzdhetetlen akadálynak. Ezt a mutatót kategóriákban kell jelenteni, amelyek minden egyes alfunkció esetében azonosak: </w:t>
            </w:r>
          </w:p>
          <w:p w14:paraId="7FE1BCE2" w14:textId="67FD7AF2" w:rsidR="00896468" w:rsidRDefault="00B31E50">
            <w:pPr>
              <w:pStyle w:val="P68B1DB1-ListParagraph39"/>
              <w:numPr>
                <w:ilvl w:val="0"/>
                <w:numId w:val="275"/>
              </w:numPr>
              <w:jc w:val="both"/>
            </w:pPr>
            <w:r>
              <w:t xml:space="preserve">nincsenek jelentős akadályok, </w:t>
            </w:r>
          </w:p>
          <w:p w14:paraId="7FE1BCE3" w14:textId="6C8F8F76" w:rsidR="00896468" w:rsidRDefault="00B31E50">
            <w:pPr>
              <w:pStyle w:val="P68B1DB1-ListParagraph39"/>
              <w:numPr>
                <w:ilvl w:val="0"/>
                <w:numId w:val="275"/>
              </w:numPr>
              <w:jc w:val="both"/>
            </w:pPr>
            <w:r>
              <w:t xml:space="preserve">néhány akadály, </w:t>
            </w:r>
          </w:p>
          <w:p w14:paraId="7FE1BCE4" w14:textId="389397E1" w:rsidR="00896468" w:rsidRDefault="00B31E50">
            <w:pPr>
              <w:pStyle w:val="P68B1DB1-ListParagraph39"/>
              <w:numPr>
                <w:ilvl w:val="0"/>
                <w:numId w:val="275"/>
              </w:numPr>
              <w:jc w:val="both"/>
            </w:pPr>
            <w:r>
              <w:t xml:space="preserve">jelentős (de leküzdhető) akadályok, </w:t>
            </w:r>
          </w:p>
          <w:p w14:paraId="7FE1BCE6" w14:textId="5882E7D2" w:rsidR="00896468" w:rsidRDefault="00B31E50">
            <w:pPr>
              <w:pStyle w:val="P68B1DB1-ListParagraph8"/>
              <w:numPr>
                <w:ilvl w:val="0"/>
                <w:numId w:val="275"/>
              </w:numPr>
              <w:jc w:val="both"/>
            </w:pPr>
            <w:r>
              <w:t>kritikus (nehezen leküzdhető) akadályok.</w:t>
            </w:r>
          </w:p>
        </w:tc>
      </w:tr>
      <w:tr w:rsidR="00896468"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896468" w:rsidRDefault="00B31E50">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0767E3BC" w:rsidR="00896468" w:rsidRDefault="00B31E50">
            <w:pPr>
              <w:pStyle w:val="P68B1DB1-TableParagraph14"/>
              <w:spacing w:before="108"/>
              <w:jc w:val="both"/>
              <w:rPr>
                <w:bCs/>
              </w:rPr>
            </w:pPr>
            <w:r>
              <w:t xml:space="preserve">A </w:t>
            </w:r>
            <w:r w:rsidR="00FE6692">
              <w:t xml:space="preserve">piacra </w:t>
            </w:r>
            <w:r>
              <w:t xml:space="preserve">lépésre vagy </w:t>
            </w:r>
            <w:r w:rsidR="00FE6692">
              <w:t xml:space="preserve">terjeszkedésre </w:t>
            </w:r>
            <w:r>
              <w:t>vonatkozó működési követelmények</w:t>
            </w:r>
          </w:p>
          <w:p w14:paraId="7FE1BCEA" w14:textId="77777777" w:rsidR="00896468" w:rsidRDefault="00896468">
            <w:pPr>
              <w:pStyle w:val="TableParagraph"/>
              <w:spacing w:before="108"/>
              <w:jc w:val="both"/>
              <w:rPr>
                <w:rFonts w:ascii="Times New Roman" w:hAnsi="Times New Roman" w:cs="Times New Roman"/>
                <w:color w:val="000000" w:themeColor="text1"/>
                <w:sz w:val="20"/>
                <w:szCs w:val="20"/>
              </w:rPr>
            </w:pPr>
          </w:p>
          <w:p w14:paraId="7FE1BCEB" w14:textId="37984A09" w:rsidR="00896468" w:rsidRDefault="00B31E50">
            <w:pPr>
              <w:pStyle w:val="P68B1DB1-TableParagraph13"/>
              <w:spacing w:before="108"/>
              <w:jc w:val="both"/>
            </w:pPr>
            <w:r>
              <w:t>Szervezeti, műszaki és infrastrukturális követelmények a versenytársak számára a szolgáltatás nyújtásához. Az (al)funkcióhoz kapcsolódó szolgáltatások nyújtása megköveteli a szolgáltatóktól, hogy (új vagy kiegészítő) infrastruktúrába fektessenek be, vagy módosítsák szervezeteiket. Értékel</w:t>
            </w:r>
            <w:r w:rsidR="00FE6692">
              <w:t>je</w:t>
            </w:r>
            <w:r>
              <w:t xml:space="preserve">, hogy a piac képes-e felvenni az adott üzletágat, például a tőkekövetelmények tekintetében. </w:t>
            </w:r>
          </w:p>
          <w:p w14:paraId="7FE1BCEC" w14:textId="77777777" w:rsidR="00896468" w:rsidRDefault="00B31E50">
            <w:pPr>
              <w:pStyle w:val="P68B1DB1-TableParagraph13"/>
              <w:spacing w:before="108"/>
              <w:jc w:val="both"/>
            </w:pPr>
            <w:r>
              <w:t xml:space="preserve">Ezt a mutatót kategóriákban kell jelenteni, amelyek minden egyes alfunkció esetében azonosak: </w:t>
            </w:r>
          </w:p>
          <w:p w14:paraId="7FE1BCED" w14:textId="5283E021" w:rsidR="00896468" w:rsidRDefault="00B31E50">
            <w:pPr>
              <w:pStyle w:val="P68B1DB1-ListParagraph39"/>
              <w:numPr>
                <w:ilvl w:val="0"/>
                <w:numId w:val="278"/>
              </w:numPr>
              <w:jc w:val="both"/>
            </w:pPr>
            <w:r>
              <w:t xml:space="preserve">nincsenek főbb követelmények, </w:t>
            </w:r>
          </w:p>
          <w:p w14:paraId="7FE1BCEE" w14:textId="5ADAB5CD" w:rsidR="00896468" w:rsidRDefault="00B31E50">
            <w:pPr>
              <w:pStyle w:val="P68B1DB1-ListParagraph39"/>
              <w:numPr>
                <w:ilvl w:val="0"/>
                <w:numId w:val="278"/>
              </w:numPr>
              <w:jc w:val="both"/>
            </w:pPr>
            <w:r>
              <w:t xml:space="preserve">néhány követelmény, </w:t>
            </w:r>
          </w:p>
          <w:p w14:paraId="7FE1BCEF" w14:textId="579CC165" w:rsidR="00896468" w:rsidRDefault="00B31E50">
            <w:pPr>
              <w:pStyle w:val="P68B1DB1-ListParagraph39"/>
              <w:numPr>
                <w:ilvl w:val="0"/>
                <w:numId w:val="278"/>
              </w:numPr>
              <w:jc w:val="both"/>
            </w:pPr>
            <w:r>
              <w:t xml:space="preserve">lényeges (de leküzdhető) követelmények, </w:t>
            </w:r>
          </w:p>
          <w:p w14:paraId="7FE1BCF0" w14:textId="685D1196" w:rsidR="00896468" w:rsidRDefault="00B31E50">
            <w:pPr>
              <w:pStyle w:val="P68B1DB1-ListParagraph39"/>
              <w:numPr>
                <w:ilvl w:val="0"/>
                <w:numId w:val="278"/>
              </w:numPr>
              <w:jc w:val="both"/>
            </w:pPr>
            <w:r>
              <w:t xml:space="preserve">kritikus </w:t>
            </w:r>
            <w:r w:rsidR="00544EBA">
              <w:t xml:space="preserve">(nehezen leküzdhető) </w:t>
            </w:r>
            <w:r>
              <w:t>követelmények</w:t>
            </w:r>
            <w:r w:rsidR="00544EBA">
              <w:t>.</w:t>
            </w:r>
          </w:p>
          <w:p w14:paraId="7FE1BCF1" w14:textId="77777777" w:rsidR="00896468" w:rsidRDefault="00896468">
            <w:pPr>
              <w:pStyle w:val="TableParagraph"/>
              <w:spacing w:before="108"/>
              <w:jc w:val="both"/>
              <w:rPr>
                <w:rFonts w:ascii="Times New Roman" w:hAnsi="Times New Roman" w:cs="Times New Roman"/>
                <w:color w:val="000000" w:themeColor="text1"/>
                <w:sz w:val="20"/>
                <w:szCs w:val="20"/>
              </w:rPr>
            </w:pPr>
          </w:p>
        </w:tc>
      </w:tr>
      <w:tr w:rsidR="00896468"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896468" w:rsidRDefault="00B31E50">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896468" w:rsidRDefault="00B31E50">
            <w:pPr>
              <w:pStyle w:val="P68B1DB1-TableParagraph14"/>
              <w:spacing w:before="108"/>
              <w:jc w:val="both"/>
              <w:rPr>
                <w:bCs/>
              </w:rPr>
            </w:pPr>
            <w:r>
              <w:t>A kritikusság értékelése</w:t>
            </w:r>
          </w:p>
        </w:tc>
      </w:tr>
      <w:tr w:rsidR="00896468"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896468" w:rsidRDefault="00B31E50">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896468" w:rsidRDefault="00B31E50">
            <w:pPr>
              <w:pStyle w:val="P68B1DB1-TableParagraph14"/>
              <w:spacing w:before="108"/>
              <w:jc w:val="both"/>
              <w:rPr>
                <w:bCs/>
              </w:rPr>
            </w:pPr>
            <w:r>
              <w:t xml:space="preserve">A piacra gyakorolt hatás </w:t>
            </w:r>
          </w:p>
          <w:p w14:paraId="7FE1BCF8" w14:textId="77777777" w:rsidR="00896468" w:rsidRDefault="00B31E50">
            <w:pPr>
              <w:pStyle w:val="P68B1DB1-TableParagraph13"/>
              <w:spacing w:before="108"/>
              <w:jc w:val="both"/>
            </w:pPr>
            <w:r>
              <w:t>A funkció hirtelen megszűnésének a harmadik felekre, a pénzügyi piacokra és a reálgazdaságra gyakorolt becsült hatása, figyelembe véve az intézmény méretét, piaci részesedését az adott országban, a külső és belső összekapcsoltságot, összetettséget és az intézmény határokon átnyúló tevékenységeit.</w:t>
            </w:r>
          </w:p>
          <w:p w14:paraId="7FE1BCF9" w14:textId="22534111" w:rsidR="00896468" w:rsidRDefault="00B31E50">
            <w:pPr>
              <w:pStyle w:val="P68B1DB1-TableParagraph13"/>
              <w:spacing w:before="108"/>
              <w:jc w:val="both"/>
            </w:pPr>
            <w:r>
              <w:t>A minőségi értékelés eredményét „Magas”, „Közepes-Magas”, „Közepes-Alacsony” vagy „Alacsony” megjelöléssel kell kifejezni.</w:t>
            </w:r>
          </w:p>
          <w:p w14:paraId="7FE1BCFA" w14:textId="61C94436" w:rsidR="00896468" w:rsidRDefault="00544EBA">
            <w:pPr>
              <w:pStyle w:val="P68B1DB1-TableParagraph13"/>
              <w:spacing w:before="108"/>
              <w:jc w:val="both"/>
            </w:pPr>
            <w:r>
              <w:t>Magas</w:t>
            </w:r>
            <w:r w:rsidR="00B31E50">
              <w:t>:</w:t>
            </w:r>
            <w:r>
              <w:t xml:space="preserve"> </w:t>
            </w:r>
            <w:r w:rsidR="00B31E50">
              <w:t xml:space="preserve">a funkció megszüntetése kimagasló hatást gyakorol a nemzeti piacra; </w:t>
            </w:r>
            <w:r>
              <w:t>Közepes-Magas</w:t>
            </w:r>
            <w:r w:rsidR="00B31E50">
              <w:t>:</w:t>
            </w:r>
            <w:r>
              <w:t xml:space="preserve"> </w:t>
            </w:r>
            <w:r w:rsidR="00B31E50">
              <w:t xml:space="preserve">jelentős hatás; </w:t>
            </w:r>
            <w:r>
              <w:t>közepes-Alacsony</w:t>
            </w:r>
            <w:r w:rsidR="00B31E50">
              <w:t>:</w:t>
            </w:r>
            <w:r>
              <w:t xml:space="preserve"> </w:t>
            </w:r>
            <w:r w:rsidR="00B31E50">
              <w:t xml:space="preserve">a hatás lényeges, de korlátozott; </w:t>
            </w:r>
            <w:r>
              <w:t>Alacsony</w:t>
            </w:r>
            <w:r w:rsidR="00B31E50">
              <w:t>:</w:t>
            </w:r>
            <w:r>
              <w:t xml:space="preserve"> </w:t>
            </w:r>
            <w:r w:rsidR="00B31E50">
              <w:t>alacsony mértékű hatás.</w:t>
            </w:r>
          </w:p>
        </w:tc>
      </w:tr>
      <w:tr w:rsidR="00896468"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896468" w:rsidRDefault="00B31E50">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896468" w:rsidRDefault="00B31E50">
            <w:pPr>
              <w:pStyle w:val="P68B1DB1-TableParagraph14"/>
              <w:spacing w:before="108"/>
              <w:jc w:val="both"/>
              <w:rPr>
                <w:bCs/>
              </w:rPr>
            </w:pPr>
            <w:r>
              <w:t>Helyettesíthetőség</w:t>
            </w:r>
          </w:p>
          <w:p w14:paraId="7FE1BCFE" w14:textId="77777777" w:rsidR="00896468" w:rsidRDefault="00B31E50">
            <w:pPr>
              <w:pStyle w:val="P68B1DB1-TableParagraph13"/>
              <w:spacing w:before="108"/>
              <w:jc w:val="both"/>
            </w:pPr>
            <w:r>
              <w:t>Az (EU) 2016/778 felhatalmazáson alapuló rendelet 6. cikkének (3) bekezdése</w:t>
            </w:r>
          </w:p>
          <w:p w14:paraId="7FE1BCFF" w14:textId="2CCD90B9" w:rsidR="00896468" w:rsidRDefault="00B31E50">
            <w:pPr>
              <w:pStyle w:val="P68B1DB1-TableParagraph13"/>
              <w:spacing w:before="108"/>
              <w:jc w:val="both"/>
            </w:pPr>
            <w:r>
              <w:t xml:space="preserve">A funkció helyettesíthető, ha elfogadható módon és észszerű időn belül helyettesíthető, </w:t>
            </w:r>
            <w:r w:rsidR="00FE6692">
              <w:t xml:space="preserve">és ezáltal elkerülhetők </w:t>
            </w:r>
            <w:r>
              <w:t>a reálgazdaságot és a pénzügyi piacokat érintő rendszerszintű problémák. Figyelembe kell venni az alábbiakat:</w:t>
            </w:r>
          </w:p>
          <w:p w14:paraId="7FE1BD00" w14:textId="77777777" w:rsidR="00896468" w:rsidRDefault="00B31E50">
            <w:pPr>
              <w:pStyle w:val="P68B1DB1-TableParagraph13"/>
              <w:spacing w:before="108"/>
              <w:jc w:val="both"/>
            </w:pPr>
            <w:r>
              <w:t xml:space="preserve">(a) az adott funkció piacának szerkezete, valamint helyettesítő szolgáltatók rendelkezésre állása; </w:t>
            </w:r>
          </w:p>
          <w:p w14:paraId="6A0F2D39" w14:textId="77777777" w:rsidR="00FE6692" w:rsidRDefault="00FE6692" w:rsidP="00FE6692">
            <w:pPr>
              <w:pStyle w:val="P68B1DB1-TableParagraph13"/>
              <w:spacing w:before="108"/>
              <w:jc w:val="both"/>
            </w:pPr>
            <w:r>
              <w:t xml:space="preserve">(b) </w:t>
            </w:r>
            <w:r w:rsidRPr="0064267F">
              <w:t>más szolgáltatók alkalmassága a kapacitásuk, a funkciók követelményeinek való megfelelőségük, valamint a piacra lépés vagy terjeszkedés esetleges akadályai tekintetében</w:t>
            </w:r>
            <w:r>
              <w:t xml:space="preserve">; </w:t>
            </w:r>
          </w:p>
          <w:p w14:paraId="0B3194A5" w14:textId="5C128609" w:rsidR="00FE6692" w:rsidRDefault="00FE6692">
            <w:pPr>
              <w:pStyle w:val="P68B1DB1-TableParagraph13"/>
              <w:spacing w:before="108"/>
              <w:jc w:val="both"/>
            </w:pPr>
            <w:r>
              <w:t>(c) a</w:t>
            </w:r>
            <w:r w:rsidRPr="00F34880">
              <w:t>z érintett tevékenységek más szolgáltatók általi átvételének ösztönzői</w:t>
            </w:r>
            <w:r>
              <w:t xml:space="preserve">; </w:t>
            </w:r>
          </w:p>
          <w:p w14:paraId="7FE1BD03" w14:textId="0C15B69C" w:rsidR="00896468" w:rsidRDefault="00B31E50">
            <w:pPr>
              <w:pStyle w:val="P68B1DB1-TableParagraph13"/>
              <w:spacing w:before="108"/>
              <w:jc w:val="both"/>
            </w:pPr>
            <w:r>
              <w:t xml:space="preserve">(d) a szolgáltatás igénybevevőinek a szolgáltatóváltáshoz szükséges idő és a szolgáltatóváltással járó költségek, a funkciók átvételéhez más versenytársaknak szükséges idő, illetve </w:t>
            </w:r>
            <w:r w:rsidR="00CE32CA">
              <w:t xml:space="preserve">annak a vizsgálata, </w:t>
            </w:r>
            <w:r>
              <w:t>hogy ez az idő – a szolgáltatás típusától függően – elegendő-e a jelentős zavarok elkerüléséhez.</w:t>
            </w:r>
          </w:p>
          <w:p w14:paraId="7FE1BD04" w14:textId="379B1AA4" w:rsidR="00896468" w:rsidRDefault="00B31E50">
            <w:pPr>
              <w:pStyle w:val="P68B1DB1-TableParagraph13"/>
              <w:spacing w:before="108"/>
              <w:jc w:val="both"/>
            </w:pPr>
            <w:r>
              <w:t xml:space="preserve">Adjon átfogó értékelést az egyes funkciók helyettesíthetőségének várható mértékéről, figyelembe véve a korábban értékelt különböző dimenziókat (piaci részesedés, piaci koncentráció, helyettesítéshez szükséges idő, jogi akadályok és a piacra lépésre vagy terjeszkedésre vonatkozó működési követelmények). A minőségi értékelés eredményét „Magas”, „Közepes-Magas”, „Közepes-Alacsony” vagy „Alacsony” megjelöléssel kell kifejezni. </w:t>
            </w:r>
          </w:p>
          <w:p w14:paraId="7FE1BD05" w14:textId="7F443E4F" w:rsidR="00896468" w:rsidRDefault="00544EBA">
            <w:pPr>
              <w:pStyle w:val="P68B1DB1-TableParagraph13"/>
              <w:spacing w:before="108"/>
              <w:jc w:val="both"/>
            </w:pPr>
            <w:r>
              <w:t>Magas</w:t>
            </w:r>
            <w:r w:rsidR="00B31E50">
              <w:t>: az adott funkciót észszerű időn belül könnyen elláthatja egy másik bank hasonló feltételekkel;</w:t>
            </w:r>
          </w:p>
          <w:p w14:paraId="7FE1BD06" w14:textId="781768AA" w:rsidR="00896468" w:rsidRDefault="00544EBA">
            <w:pPr>
              <w:pStyle w:val="P68B1DB1-TableParagraph13"/>
              <w:spacing w:before="108"/>
              <w:jc w:val="both"/>
            </w:pPr>
            <w:r>
              <w:t>Alacsony</w:t>
            </w:r>
            <w:r w:rsidR="00B31E50">
              <w:t xml:space="preserve">: a funkciót nem lehet könnyen vagy gyorsan helyettesíteni; </w:t>
            </w:r>
          </w:p>
          <w:p w14:paraId="7FE1BD07" w14:textId="544AFA27" w:rsidR="00896468" w:rsidRDefault="00544EBA">
            <w:pPr>
              <w:pStyle w:val="P68B1DB1-TableParagraph13"/>
              <w:spacing w:before="108"/>
              <w:jc w:val="both"/>
            </w:pPr>
            <w:r>
              <w:t>Közepes-Magas</w:t>
            </w:r>
            <w:r w:rsidR="00B31E50">
              <w:t xml:space="preserve"> és </w:t>
            </w:r>
            <w:r>
              <w:t>Közepes-Alacsony</w:t>
            </w:r>
            <w:r w:rsidR="00B31E50">
              <w:t>:</w:t>
            </w:r>
            <w:r>
              <w:t xml:space="preserve"> </w:t>
            </w:r>
            <w:r w:rsidR="00B31E50">
              <w:t>közepes magas és közepes alacsony esetek, figyelembe véve különböző szempontokat (pl. piaci részesedés, piaci koncentráció, helyettesítés időigénye, a piacra lépés vagy terjeszkedés jogi akadályai és operatív követelményei).</w:t>
            </w:r>
          </w:p>
        </w:tc>
      </w:tr>
      <w:tr w:rsidR="00896468"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896468" w:rsidRDefault="00B31E50">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896468" w:rsidRDefault="00B31E50">
            <w:pPr>
              <w:pStyle w:val="P68B1DB1-TableParagraph14"/>
              <w:spacing w:before="108"/>
              <w:jc w:val="both"/>
              <w:rPr>
                <w:bCs/>
              </w:rPr>
            </w:pPr>
            <w:r>
              <w:t>Kritikus funkció</w:t>
            </w:r>
          </w:p>
          <w:p w14:paraId="7FE1BD0B" w14:textId="77777777" w:rsidR="00896468" w:rsidRDefault="00B31E50">
            <w:pPr>
              <w:pStyle w:val="P68B1DB1-TableParagraph13"/>
              <w:spacing w:before="108"/>
              <w:jc w:val="both"/>
            </w:pPr>
            <w:r>
              <w:t>Ebben az oszlopban fel kell tüntetni, hogy az intézmény által végzett hatás- és helyettesíthetőségi elemzés alapján a gazdasági funkció kritikusnak tekinthető-e az adott ország piacán.</w:t>
            </w:r>
          </w:p>
          <w:p w14:paraId="7FE1BD0C" w14:textId="77777777" w:rsidR="00896468" w:rsidRDefault="00B31E50">
            <w:pPr>
              <w:pStyle w:val="P68B1DB1-TableParagraph13"/>
              <w:spacing w:before="108"/>
              <w:jc w:val="both"/>
            </w:pPr>
            <w:r>
              <w:t>„Igen” vagy „Nem” megjelölés választható.</w:t>
            </w:r>
          </w:p>
        </w:tc>
      </w:tr>
      <w:tr w:rsidR="00896468"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896468" w:rsidRDefault="00B31E50">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896468" w:rsidRDefault="00B31E50">
            <w:pPr>
              <w:pStyle w:val="P68B1DB1-TableParagraph14"/>
              <w:spacing w:before="108"/>
              <w:jc w:val="both"/>
              <w:rPr>
                <w:bCs/>
              </w:rPr>
            </w:pPr>
            <w:r>
              <w:t>A csoport észrevételei</w:t>
            </w:r>
          </w:p>
          <w:p w14:paraId="7FE1BD10" w14:textId="5B6B93D1" w:rsidR="00896468" w:rsidRDefault="00B31E50">
            <w:pPr>
              <w:pStyle w:val="P68B1DB1-TableParagraph13"/>
              <w:spacing w:before="108"/>
              <w:jc w:val="both"/>
            </w:pPr>
            <w:r>
              <w:t xml:space="preserve">Ez a mező lehetővé teszi </w:t>
            </w:r>
            <w:r w:rsidR="00CE32CA">
              <w:t>az adatszolgáltató szervezet</w:t>
            </w:r>
            <w:r>
              <w:t xml:space="preserve"> számára, hogy kifejtse a jelentett funkció(k) kritikusságának értékeléséhez használt feltételezéseket.</w:t>
            </w:r>
          </w:p>
        </w:tc>
      </w:tr>
    </w:tbl>
    <w:p w14:paraId="7FE1BD12" w14:textId="77777777" w:rsidR="00896468" w:rsidRDefault="00896468">
      <w:pPr>
        <w:rPr>
          <w:rFonts w:ascii="Times New Roman" w:hAnsi="Times New Roman" w:cs="Times New Roman"/>
          <w:color w:val="000000" w:themeColor="text1"/>
          <w:sz w:val="20"/>
          <w:szCs w:val="20"/>
        </w:rPr>
      </w:pPr>
    </w:p>
    <w:p w14:paraId="7FE1BD13" w14:textId="77777777" w:rsidR="00896468" w:rsidRDefault="00896468">
      <w:pPr>
        <w:rPr>
          <w:rFonts w:ascii="Times New Roman" w:hAnsi="Times New Roman" w:cs="Times New Roman"/>
          <w:color w:val="000000" w:themeColor="text1"/>
          <w:sz w:val="20"/>
          <w:szCs w:val="20"/>
        </w:rPr>
      </w:pPr>
    </w:p>
    <w:p w14:paraId="7FE1BD14" w14:textId="168C612B" w:rsidR="00896468" w:rsidRDefault="00B31E50">
      <w:pPr>
        <w:pStyle w:val="P68B1DB1-Instructionsberschrift25"/>
      </w:pPr>
      <w:bookmarkStart w:id="123" w:name="_Toc210982881"/>
      <w:r>
        <w:t>II.13.</w:t>
      </w:r>
      <w:r>
        <w:tab/>
        <w:t>Z 07.01.5 FUNC 1 WF</w:t>
      </w:r>
      <w:bookmarkEnd w:id="123"/>
    </w:p>
    <w:p w14:paraId="7FE1BD1C" w14:textId="77777777" w:rsidR="00896468" w:rsidRDefault="0089646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96468"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896468" w:rsidRDefault="00B31E50">
            <w:pPr>
              <w:pStyle w:val="P68B1DB1-TableParagraph17"/>
              <w:spacing w:before="108"/>
              <w:ind w:left="85"/>
              <w:jc w:val="both"/>
            </w:pPr>
            <w:r>
              <w:t>Oszlopok</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896468" w:rsidRDefault="00B31E50">
            <w:pPr>
              <w:pStyle w:val="P68B1DB1-TableParagraph17"/>
              <w:spacing w:before="108"/>
              <w:ind w:left="85" w:right="1"/>
              <w:jc w:val="both"/>
            </w:pPr>
            <w:r>
              <w:t>Útmutató</w:t>
            </w:r>
          </w:p>
        </w:tc>
      </w:tr>
      <w:tr w:rsidR="00896468"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896468" w:rsidRDefault="00B31E50">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896468" w:rsidRDefault="00B31E50">
            <w:pPr>
              <w:pStyle w:val="P68B1DB1-TableParagraph14"/>
              <w:spacing w:before="108"/>
              <w:ind w:left="85"/>
              <w:jc w:val="both"/>
              <w:rPr>
                <w:bCs/>
              </w:rPr>
            </w:pPr>
            <w:r>
              <w:t>A gazdasági funkció leírása</w:t>
            </w:r>
          </w:p>
          <w:p w14:paraId="7FE1BD22" w14:textId="3E7FC747" w:rsidR="00896468" w:rsidRDefault="00B31E50">
            <w:pPr>
              <w:pStyle w:val="P68B1DB1-TableParagraph17"/>
              <w:spacing w:before="108"/>
              <w:ind w:left="85"/>
            </w:pPr>
            <w:r>
              <w:t xml:space="preserve">Ha a gazdasági funkció „Egyéb” típusú (Z 07.01.5 FUNC 1 WF r0360–r0380), akkor ezt a funkciót ismertetni kell. </w:t>
            </w:r>
          </w:p>
        </w:tc>
      </w:tr>
      <w:tr w:rsidR="00896468"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896468" w:rsidRDefault="00B31E50">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896468" w:rsidRDefault="00B31E50">
            <w:pPr>
              <w:pStyle w:val="P68B1DB1-TableParagraph14"/>
              <w:spacing w:before="108"/>
              <w:ind w:left="85"/>
              <w:jc w:val="both"/>
              <w:rPr>
                <w:bCs/>
              </w:rPr>
            </w:pPr>
            <w:r>
              <w:t xml:space="preserve">Piaci részesedés </w:t>
            </w:r>
          </w:p>
          <w:p w14:paraId="7FE1BD26" w14:textId="470CCD5A" w:rsidR="00896468" w:rsidRDefault="00B31E50">
            <w:pPr>
              <w:pStyle w:val="P68B1DB1-TableParagraph17"/>
              <w:spacing w:before="108"/>
              <w:ind w:left="85"/>
            </w:pPr>
            <w:r>
              <w:t>Az intézmény vagy csoport piaci részesedésére vonatkozó becslés az adott országban vagy földrajzi területen az adott gazdasági funkció vonatkozásában. A teljes piacnak a bruttó könyv szerinti értékhez viszonyított százalékos aránya.</w:t>
            </w:r>
          </w:p>
        </w:tc>
      </w:tr>
      <w:tr w:rsidR="00896468"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896468" w:rsidRDefault="00B31E50">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896468" w:rsidRDefault="00B31E50">
            <w:pPr>
              <w:pStyle w:val="P68B1DB1-Normal42"/>
              <w:rPr>
                <w:bCs/>
              </w:rPr>
            </w:pPr>
            <w:r>
              <w:t>Bruttó könyv szerinti érték</w:t>
            </w:r>
          </w:p>
          <w:p w14:paraId="7FE1BD2A" w14:textId="77777777" w:rsidR="00896468" w:rsidRDefault="00B31E50">
            <w:pPr>
              <w:pStyle w:val="P68B1DB1-TableParagraph17"/>
              <w:spacing w:before="108"/>
            </w:pPr>
            <w:r>
              <w:t xml:space="preserve">A FINREP szerint meghatározott bruttó könyv szerinti értéket kell használni. </w:t>
            </w:r>
          </w:p>
          <w:p w14:paraId="7FE1BD2B" w14:textId="4912971C" w:rsidR="00896468" w:rsidRDefault="00B31E50">
            <w:pPr>
              <w:pStyle w:val="P68B1DB1-TableParagraph17"/>
              <w:spacing w:before="108"/>
            </w:pPr>
            <w:r>
              <w:t xml:space="preserve">Hivatkozások: FINREP: V. melléklet 1. rész 34. pont, FINREP: </w:t>
            </w:r>
            <w:r w:rsidR="00FE0AEA">
              <w:t xml:space="preserve">III., </w:t>
            </w:r>
            <w:r>
              <w:t xml:space="preserve">IV. melléklet, a következő táblák: </w:t>
            </w:r>
          </w:p>
          <w:p w14:paraId="7FE1BD2C" w14:textId="77777777" w:rsidR="00896468" w:rsidRDefault="00B31E50">
            <w:pPr>
              <w:pStyle w:val="P68B1DB1-TableParagraph17"/>
              <w:spacing w:before="108"/>
            </w:pPr>
            <w:r>
              <w:t>– Hitelfelvétel (5.1): F 20.06 tábla 010. oszlop 100+ 110. sor, az összes ország</w:t>
            </w:r>
          </w:p>
          <w:p w14:paraId="7FE1BD2D" w14:textId="77777777" w:rsidR="00896468" w:rsidRDefault="00B31E50">
            <w:pPr>
              <w:pStyle w:val="P68B1DB1-TableParagraph17"/>
              <w:spacing w:before="108"/>
            </w:pPr>
            <w:r>
              <w:t>– Származtatott ügyletek (eszközök) (5.2.): F 20.04 tábla 010. oszlop 010. sor, az összes ország</w:t>
            </w:r>
          </w:p>
          <w:p w14:paraId="7FE1BD2E" w14:textId="77777777" w:rsidR="00896468" w:rsidRDefault="00B31E50">
            <w:pPr>
              <w:pStyle w:val="P68B1DB1-TableParagraph17"/>
              <w:spacing w:before="108"/>
            </w:pPr>
            <w:r>
              <w:t xml:space="preserve">– Hitelezés (5.3.): F 20.04 tábla 010. oszlop 170+ 180. sor, az összes ország </w:t>
            </w:r>
          </w:p>
          <w:p w14:paraId="7FE1BD30" w14:textId="58CF223C" w:rsidR="00896468" w:rsidRDefault="00B31E50">
            <w:pPr>
              <w:pStyle w:val="P68B1DB1-TableParagraph17"/>
              <w:spacing w:before="108"/>
            </w:pPr>
            <w:r>
              <w:t>– Származtatott ügyletek (kötelezettségek) (5.4.): F 20.06. tábla, 010. oszlop 010. sor, az összes ország.</w:t>
            </w:r>
          </w:p>
        </w:tc>
      </w:tr>
      <w:tr w:rsidR="00896468"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896468" w:rsidRDefault="00B31E50">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896468" w:rsidRDefault="00B31E50">
            <w:pPr>
              <w:pStyle w:val="P68B1DB1-Normal42"/>
              <w:rPr>
                <w:bCs/>
              </w:rPr>
            </w:pPr>
            <w:r>
              <w:t>Partnerek száma</w:t>
            </w:r>
          </w:p>
          <w:p w14:paraId="7FE1BD34" w14:textId="693BF35F" w:rsidR="00896468" w:rsidRDefault="00B31E50">
            <w:pPr>
              <w:pStyle w:val="P68B1DB1-TableParagraph17"/>
              <w:spacing w:before="108"/>
            </w:pPr>
            <w:r>
              <w:t xml:space="preserve">Partnerek száma összesen. Ha egy </w:t>
            </w:r>
            <w:r w:rsidR="00FE0AEA">
              <w:t>partner</w:t>
            </w:r>
            <w:r>
              <w:t xml:space="preserve"> egynél több számlával és/vagy egynél több ügylettel rendelkezik, akkor a partner csak egyszer számítandó.</w:t>
            </w:r>
          </w:p>
        </w:tc>
      </w:tr>
      <w:tr w:rsidR="00896468"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896468" w:rsidRDefault="00B31E50">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896468" w:rsidRDefault="00B31E50">
            <w:pPr>
              <w:pStyle w:val="P68B1DB1-TableParagraph14"/>
              <w:spacing w:before="108"/>
              <w:jc w:val="both"/>
              <w:rPr>
                <w:bCs/>
              </w:rPr>
            </w:pPr>
            <w:r>
              <w:t>(Fordított) visszavásárlási megállapodások</w:t>
            </w:r>
          </w:p>
          <w:p w14:paraId="7FE1BD3D" w14:textId="15BCE923" w:rsidR="00896468" w:rsidRDefault="00B31E50" w:rsidP="0021420B">
            <w:pPr>
              <w:pStyle w:val="P68B1DB1-TableParagraph13"/>
              <w:spacing w:before="108"/>
              <w:jc w:val="both"/>
            </w:pPr>
            <w:r>
              <w:t xml:space="preserve">Jelentse a nagykereskedelmi hitelfelvétel keretében kötött visszavásárlási megállapodásokat. </w:t>
            </w:r>
          </w:p>
          <w:p w14:paraId="38F918E7" w14:textId="7BF6B7CC" w:rsidR="0021420B" w:rsidRPr="0021420B" w:rsidRDefault="0021420B" w:rsidP="0021420B">
            <w:pPr>
              <w:pStyle w:val="P68B1DB1-TableParagraph13"/>
              <w:spacing w:before="108"/>
              <w:jc w:val="both"/>
              <w:rPr>
                <w:lang w:val="hu-HU"/>
              </w:rPr>
            </w:pPr>
            <w:r w:rsidRPr="0021420B">
              <w:rPr>
                <w:lang w:val="hu-HU"/>
              </w:rPr>
              <w:t>A visszavásárlási megállapodások</w:t>
            </w:r>
            <w:r>
              <w:rPr>
                <w:lang w:val="hu-HU"/>
              </w:rPr>
              <w:t xml:space="preserve"> </w:t>
            </w:r>
            <w:r w:rsidRPr="0021420B">
              <w:rPr>
                <w:lang w:val="hu-HU"/>
              </w:rPr>
              <w:t>az adott áron eladott értékpapírokért cserébe kapott készpénzt jelentik,</w:t>
            </w:r>
            <w:r>
              <w:rPr>
                <w:lang w:val="hu-HU"/>
              </w:rPr>
              <w:t xml:space="preserve"> </w:t>
            </w:r>
            <w:r w:rsidRPr="0021420B">
              <w:rPr>
                <w:lang w:val="hu-HU"/>
              </w:rPr>
              <w:t>a</w:t>
            </w:r>
            <w:r w:rsidR="00D14B85">
              <w:rPr>
                <w:lang w:val="hu-HU"/>
              </w:rPr>
              <w:t xml:space="preserve">zon </w:t>
            </w:r>
            <w:r w:rsidRPr="0021420B">
              <w:rPr>
                <w:lang w:val="hu-HU"/>
              </w:rPr>
              <w:t>szilárd kötelezettségvállalás mellett, hogy</w:t>
            </w:r>
            <w:r>
              <w:rPr>
                <w:lang w:val="hu-HU"/>
              </w:rPr>
              <w:t xml:space="preserve"> </w:t>
            </w:r>
            <w:r w:rsidRPr="0021420B">
              <w:rPr>
                <w:lang w:val="hu-HU"/>
              </w:rPr>
              <w:t>egy meghatározott jövőbeni időpontban fix áron visszavásárolja ugyanazon (vagy hasonló) értékpapírokat.</w:t>
            </w:r>
          </w:p>
          <w:p w14:paraId="473D166E" w14:textId="42F5F8A2" w:rsidR="0021420B" w:rsidRPr="0021420B" w:rsidRDefault="0021420B" w:rsidP="0021420B">
            <w:pPr>
              <w:pStyle w:val="P68B1DB1-TableParagraph13"/>
              <w:spacing w:before="108"/>
              <w:jc w:val="both"/>
              <w:rPr>
                <w:lang w:val="hu-HU"/>
              </w:rPr>
            </w:pPr>
            <w:r w:rsidRPr="0021420B">
              <w:rPr>
                <w:lang w:val="hu-HU"/>
              </w:rPr>
              <w:t xml:space="preserve">A fordított visszavásárlási hiteleket </w:t>
            </w:r>
            <w:r w:rsidR="00D14B85">
              <w:rPr>
                <w:lang w:val="hu-HU"/>
              </w:rPr>
              <w:t>bankközi</w:t>
            </w:r>
            <w:r w:rsidRPr="0021420B">
              <w:rPr>
                <w:lang w:val="hu-HU"/>
              </w:rPr>
              <w:t xml:space="preserve"> hitelezésként kell jelenteni. A fordított visszavásárlási hitelek a visszavásárlási megállapodások keretében vásárolt vagy értékpapír-kölcsönzési megállapodások keretében kölcsönvett értékpapírokért cserébe nyújtott finanszírozást jelentik.</w:t>
            </w:r>
          </w:p>
          <w:p w14:paraId="7CE582A7" w14:textId="77777777" w:rsidR="0021420B" w:rsidRDefault="0021420B" w:rsidP="0021420B">
            <w:pPr>
              <w:pStyle w:val="P68B1DB1-TableParagraph13"/>
              <w:spacing w:before="108"/>
              <w:jc w:val="both"/>
            </w:pPr>
          </w:p>
          <w:p w14:paraId="7FE1BD3E" w14:textId="77777777" w:rsidR="00896468" w:rsidRDefault="00B31E50">
            <w:pPr>
              <w:pStyle w:val="P68B1DB1-TableParagraph13"/>
              <w:spacing w:before="108"/>
              <w:jc w:val="both"/>
            </w:pPr>
            <w:r>
              <w:t>Háttérhivatkozások: Az (EU) 2015/2365 rendelet az értékpapír-finanszírozás átláthatóságáról</w:t>
            </w:r>
          </w:p>
          <w:p w14:paraId="7FE1BD3F" w14:textId="77777777" w:rsidR="00896468" w:rsidRDefault="00B31E50">
            <w:pPr>
              <w:pStyle w:val="P68B1DB1-TableParagraph13"/>
              <w:spacing w:before="108"/>
              <w:jc w:val="both"/>
            </w:pPr>
            <w:r>
              <w:t>ügyletek és újrafelhasználás, 3. cikk (9) bekezdés; FINREP: V. melléklet 2. részének 5. fejezet, 85. e) pont</w:t>
            </w:r>
          </w:p>
          <w:p w14:paraId="7FE1BD40" w14:textId="71056D7D" w:rsidR="00896468" w:rsidRDefault="00B31E50">
            <w:pPr>
              <w:pStyle w:val="P68B1DB1-TableParagraph13"/>
              <w:spacing w:before="108"/>
              <w:jc w:val="both"/>
            </w:pPr>
            <w:r>
              <w:t xml:space="preserve">és a 14. fejezet 183. pontja; </w:t>
            </w:r>
            <w:r w:rsidR="008173E0">
              <w:t xml:space="preserve">FINREP </w:t>
            </w:r>
            <w:r>
              <w:t>III. melléklet:</w:t>
            </w:r>
          </w:p>
          <w:p w14:paraId="7FE1BD41" w14:textId="77777777" w:rsidR="00896468" w:rsidRDefault="00B31E50">
            <w:pPr>
              <w:pStyle w:val="P68B1DB1-TableParagraph13"/>
              <w:numPr>
                <w:ilvl w:val="0"/>
                <w:numId w:val="153"/>
              </w:numPr>
              <w:spacing w:before="108"/>
              <w:jc w:val="both"/>
            </w:pPr>
            <w:r>
              <w:t>Visszavásárlási megállapodások: A 08.01 táblázat 010+ 020+ 030 oszlopa, 200+ 250. sor.</w:t>
            </w:r>
          </w:p>
          <w:p w14:paraId="7FE1BD42" w14:textId="37325C50" w:rsidR="00896468" w:rsidRDefault="00B31E50">
            <w:pPr>
              <w:pStyle w:val="P68B1DB1-TableParagraph13"/>
              <w:numPr>
                <w:ilvl w:val="0"/>
                <w:numId w:val="153"/>
              </w:numPr>
              <w:spacing w:before="108"/>
              <w:jc w:val="both"/>
            </w:pPr>
            <w:r>
              <w:t xml:space="preserve">Fordított visszavásárlási megállapodások (fordított repóügyletek): </w:t>
            </w:r>
            <w:r w:rsidR="009841E3">
              <w:t xml:space="preserve">05.00 </w:t>
            </w:r>
            <w:r>
              <w:t>Táblázat 030+ 040 oszlop 050. sor</w:t>
            </w:r>
          </w:p>
        </w:tc>
      </w:tr>
      <w:tr w:rsidR="00896468"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896468" w:rsidRDefault="00B31E50">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896468" w:rsidRDefault="00B31E50">
            <w:pPr>
              <w:pStyle w:val="P68B1DB1-TableParagraph14"/>
              <w:spacing w:before="108"/>
              <w:jc w:val="both"/>
              <w:rPr>
                <w:bCs/>
              </w:rPr>
            </w:pPr>
            <w:r>
              <w:t>Határon átnyúló érték</w:t>
            </w:r>
          </w:p>
          <w:p w14:paraId="7FE1BD46" w14:textId="77777777" w:rsidR="00896468" w:rsidRDefault="00B31E50">
            <w:pPr>
              <w:pStyle w:val="P68B1DB1-TableParagraph13"/>
              <w:spacing w:before="108"/>
              <w:jc w:val="both"/>
            </w:pPr>
            <w:r>
              <w:t>Adja meg az összes ország bruttó könyv szerinti értékét, kivéve a székhely szerinti vagy az érintett országot.</w:t>
            </w:r>
          </w:p>
        </w:tc>
      </w:tr>
      <w:tr w:rsidR="00896468"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896468" w:rsidRDefault="00B31E50">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896468" w:rsidRDefault="00B31E50">
            <w:pPr>
              <w:pStyle w:val="P68B1DB1-Normal42"/>
              <w:rPr>
                <w:bCs/>
              </w:rPr>
            </w:pPr>
            <w:r>
              <w:t>A hitelintézeteknél mért érték</w:t>
            </w:r>
          </w:p>
          <w:p w14:paraId="7FE1BD4A" w14:textId="77777777" w:rsidR="00896468" w:rsidRDefault="00B31E50">
            <w:pPr>
              <w:pStyle w:val="P68B1DB1-TableParagraph13"/>
              <w:spacing w:before="108"/>
              <w:jc w:val="both"/>
            </w:pPr>
            <w:r>
              <w:t>Hitelintézeteknél fennálló bruttó könyv szerinti érték. Az ágazat meghatározása a következők szerint:</w:t>
            </w:r>
          </w:p>
          <w:p w14:paraId="7FE1BD4B" w14:textId="77777777" w:rsidR="00896468" w:rsidRDefault="00B31E50">
            <w:pPr>
              <w:pStyle w:val="P68B1DB1-TableParagraph13"/>
              <w:spacing w:before="108"/>
              <w:jc w:val="both"/>
            </w:pPr>
            <w:r>
              <w:t xml:space="preserve">FINREP (V. melléklet) </w:t>
            </w:r>
          </w:p>
          <w:p w14:paraId="7FE1BD4C" w14:textId="77777777" w:rsidR="00896468" w:rsidRDefault="00B31E50">
            <w:pPr>
              <w:pStyle w:val="P68B1DB1-TableParagraph13"/>
              <w:spacing w:before="108"/>
              <w:jc w:val="both"/>
            </w:pPr>
            <w:r>
              <w:t>Háttérhivatkozások: FINREP: III. melléklet:</w:t>
            </w:r>
          </w:p>
          <w:p w14:paraId="7FE1BD4D" w14:textId="77777777" w:rsidR="00896468" w:rsidRDefault="00B31E50">
            <w:pPr>
              <w:pStyle w:val="P68B1DB1-TableParagraph13"/>
              <w:numPr>
                <w:ilvl w:val="0"/>
                <w:numId w:val="153"/>
              </w:numPr>
              <w:spacing w:before="108"/>
              <w:jc w:val="both"/>
            </w:pPr>
            <w:r>
              <w:t>Hitelfelvétel: 20.06. tábla, 010. oszlop, 100. sor, az összes ország.</w:t>
            </w:r>
          </w:p>
          <w:p w14:paraId="7FE1BD4E" w14:textId="77777777" w:rsidR="00896468" w:rsidRDefault="00B31E50">
            <w:pPr>
              <w:pStyle w:val="P68B1DB1-TableParagraph13"/>
              <w:numPr>
                <w:ilvl w:val="0"/>
                <w:numId w:val="153"/>
              </w:numPr>
              <w:spacing w:before="108"/>
              <w:jc w:val="both"/>
            </w:pPr>
            <w:r>
              <w:t>Származtatott ügyletek (eszközök): 20.04. tábla, 010. oszlop, 020. sor, az összes ország.</w:t>
            </w:r>
          </w:p>
          <w:p w14:paraId="7FE1BD4F" w14:textId="77777777" w:rsidR="00896468" w:rsidRDefault="00B31E50">
            <w:pPr>
              <w:pStyle w:val="P68B1DB1-TableParagraph13"/>
              <w:numPr>
                <w:ilvl w:val="0"/>
                <w:numId w:val="153"/>
              </w:numPr>
              <w:spacing w:before="108"/>
              <w:jc w:val="both"/>
            </w:pPr>
            <w:r>
              <w:t>Hitelezés: 20.04. tábla, 010. oszlop, 170. sor, az összes ország.</w:t>
            </w:r>
          </w:p>
          <w:p w14:paraId="7FE1BD50" w14:textId="77777777" w:rsidR="00896468" w:rsidRDefault="00B31E50">
            <w:pPr>
              <w:pStyle w:val="P68B1DB1-TableParagraph13"/>
              <w:numPr>
                <w:ilvl w:val="0"/>
                <w:numId w:val="153"/>
              </w:numPr>
              <w:spacing w:before="108"/>
              <w:jc w:val="both"/>
            </w:pPr>
            <w:r>
              <w:t>Származtatott kötelezettségek: 20.06. tábla, 010. oszlop, 020. sor, az összes ország.</w:t>
            </w:r>
          </w:p>
        </w:tc>
      </w:tr>
      <w:tr w:rsidR="00896468"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896468" w:rsidRDefault="00B31E50">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896468" w:rsidRDefault="00B31E50">
            <w:pPr>
              <w:pStyle w:val="P68B1DB1-Normal42"/>
              <w:rPr>
                <w:bCs/>
              </w:rPr>
            </w:pPr>
            <w:r>
              <w:t>Hatás- és helyettesíthetőségi elemzések</w:t>
            </w:r>
          </w:p>
          <w:p w14:paraId="7FE1BD54" w14:textId="77777777" w:rsidR="00896468" w:rsidRDefault="00B31E50">
            <w:pPr>
              <w:pStyle w:val="P68B1DB1-Normal43"/>
            </w:pPr>
            <w:r>
              <w:lastRenderedPageBreak/>
              <w:t>A harmadik felekre gyakorolt hatás értékelési kritériumai a kritikus funkciókról szóló (EU) 2016/778 felhatalmazáson alapuló bizottsági rendelettel összhangban a következő elemeket foglalják magukban:</w:t>
            </w:r>
          </w:p>
          <w:p w14:paraId="7FE1BD55" w14:textId="77777777" w:rsidR="00896468" w:rsidRDefault="00B31E50">
            <w:pPr>
              <w:pStyle w:val="P68B1DB1-ListParagraph38"/>
              <w:numPr>
                <w:ilvl w:val="0"/>
                <w:numId w:val="131"/>
              </w:numPr>
              <w:spacing w:line="276" w:lineRule="auto"/>
            </w:pPr>
            <w:r>
              <w:t>a tevékenység jellege és kiterjedtsége, az ügyletek globális, nemzeti vagy regionális kiterjedtsége, volumene és száma; az ügyfelek és partnerek száma; azon ügyfelek száma, amelyek számára az intézmény az egyetlen vagy fő banki partner;</w:t>
            </w:r>
          </w:p>
          <w:p w14:paraId="7FE1BD56" w14:textId="77777777" w:rsidR="00896468" w:rsidRDefault="00B31E50">
            <w:pPr>
              <w:pStyle w:val="P68B1DB1-ListParagraph38"/>
              <w:numPr>
                <w:ilvl w:val="0"/>
                <w:numId w:val="131"/>
              </w:numPr>
              <w:spacing w:line="276" w:lineRule="auto"/>
            </w:pPr>
            <w:r>
              <w:t>az intézmény helyi, regionális, nemzeti vagy európai szintű jelentősége – az érintett piactól függően. Az intézmény jelentősége a piaci részesedés, a beágyazottság, az összetettség és a határokon átnyúló tevékenységek alapján értékelhető;</w:t>
            </w:r>
          </w:p>
          <w:p w14:paraId="7FE1BD57" w14:textId="71502B80" w:rsidR="00896468" w:rsidRDefault="00B31E50">
            <w:pPr>
              <w:pStyle w:val="P68B1DB1-ListParagraph38"/>
              <w:numPr>
                <w:ilvl w:val="0"/>
                <w:numId w:val="131"/>
              </w:numPr>
              <w:spacing w:line="276" w:lineRule="auto"/>
            </w:pPr>
            <w:r>
              <w:t xml:space="preserve">a funkció által érintett ügyfelek és érdekelt felek jellege, azaz többek között lakossági ügyfelek, vállalati ügyfelek, bankközi ügyfelek, központi elszámolóházak és </w:t>
            </w:r>
            <w:r w:rsidR="008F5432">
              <w:t xml:space="preserve">állami </w:t>
            </w:r>
            <w:r>
              <w:t xml:space="preserve">szervezetek; </w:t>
            </w:r>
          </w:p>
          <w:p w14:paraId="7FE1BD58" w14:textId="77777777" w:rsidR="00896468" w:rsidRDefault="00B31E50">
            <w:pPr>
              <w:pStyle w:val="P68B1DB1-ListParagraph38"/>
              <w:numPr>
                <w:ilvl w:val="0"/>
                <w:numId w:val="131"/>
              </w:numPr>
              <w:spacing w:line="276" w:lineRule="auto"/>
            </w:pPr>
            <w:r>
              <w:t>a funkció zavarának a piacokra, infrastruktúrákra, ügyfelekre és közszolgáltatásokra gyakorolt potenciális hatása. Az értékelés kiterjedhet mindenekelőtt az érintett piacok likviditására, az ügyfelek tevékenységére kifejtett hatásokra és az ügyfelek tevékenysége megzavarásának mértékére, valamint a rövid távú likviditási szükségletekre; a partnerek, ügyfelek és a nyilvánosság általi észlelhetőség; az ügyfelek reagáló képessége és reakciójuk sebessége; a más piacok működése szempontjából vizsgált jelentőség; a más piacok likviditására, működési folyamataira, szerkezetére gyakorolt hatás; a fő ügyfelekhez kapcsolódó más partnerekre gyakorolt hatás, valamint a funkciónak más szolgáltatásokkal való összefüggései.</w:t>
            </w:r>
          </w:p>
          <w:p w14:paraId="7FE1BD59" w14:textId="77777777" w:rsidR="00896468" w:rsidRDefault="00896468">
            <w:pPr>
              <w:rPr>
                <w:rFonts w:ascii="Times New Roman" w:eastAsiaTheme="minorHAnsi" w:hAnsi="Times New Roman" w:cs="Times New Roman"/>
                <w:color w:val="000000" w:themeColor="text1"/>
                <w:sz w:val="20"/>
                <w:szCs w:val="20"/>
              </w:rPr>
            </w:pPr>
          </w:p>
        </w:tc>
      </w:tr>
      <w:tr w:rsidR="00896468"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896468" w:rsidRDefault="00B31E50">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2BA1C6BC" w:rsidR="00896468" w:rsidRDefault="004B21DE">
            <w:pPr>
              <w:pStyle w:val="P68B1DB1-Normal42"/>
              <w:rPr>
                <w:bCs/>
              </w:rPr>
            </w:pPr>
            <w:r>
              <w:t>Jelleg és kiterjedtség</w:t>
            </w:r>
          </w:p>
          <w:p w14:paraId="7FE1BD5D" w14:textId="7851F03D" w:rsidR="00896468" w:rsidRDefault="00B31E50">
            <w:pPr>
              <w:pStyle w:val="P68B1DB1-Normal43"/>
            </w:pPr>
            <w:r>
              <w:t xml:space="preserve">A globális, nemzeti vagy regionális kiterjedtség, </w:t>
            </w:r>
            <w:r w:rsidR="004B21DE">
              <w:t>tranzakciók volumene és száma;</w:t>
            </w:r>
            <w:r>
              <w:t>; az ügyfelek és partnerek száma; azon ügyfelek száma, amelyek számára az intézmény az egyetlen vagy fő banki partner;</w:t>
            </w:r>
          </w:p>
        </w:tc>
      </w:tr>
      <w:tr w:rsidR="00896468"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896468" w:rsidRDefault="00B31E50">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4F9238" w:rsidR="00896468" w:rsidRDefault="00B31E50">
            <w:pPr>
              <w:pStyle w:val="P68B1DB1-Normal42"/>
              <w:rPr>
                <w:bCs/>
              </w:rPr>
            </w:pPr>
            <w:r>
              <w:t>Méretmutató</w:t>
            </w:r>
            <w:r w:rsidR="008F5432">
              <w:t xml:space="preserve"> 1</w:t>
            </w:r>
          </w:p>
          <w:p w14:paraId="611DAB08" w14:textId="4CB64692" w:rsidR="00896468" w:rsidRDefault="008F5432">
            <w:pPr>
              <w:pStyle w:val="P68B1DB1-Normal31"/>
              <w:spacing w:line="276" w:lineRule="auto"/>
              <w:jc w:val="both"/>
            </w:pPr>
            <w:r>
              <w:t xml:space="preserve">Értékelje a bank fontosságát ezekben a tevékenységekben. </w:t>
            </w:r>
            <w:r w:rsidR="00B31E50">
              <w:t xml:space="preserve">Ezt az értékelést minőségileg </w:t>
            </w:r>
            <w:r w:rsidR="00472E7E">
              <w:t xml:space="preserve">a </w:t>
            </w:r>
            <w:r w:rsidR="00B31E50">
              <w:t>„nagy”, „közepes-magas”, „közepes-alacsony” vagy „alacsony”</w:t>
            </w:r>
            <w:r w:rsidR="00472E7E">
              <w:t xml:space="preserve"> kategóriák</w:t>
            </w:r>
            <w:r w:rsidR="00B31E50">
              <w:t xml:space="preserve"> fejezik ki.</w:t>
            </w:r>
            <w:r w:rsidRPr="00F63DCF">
              <w:t xml:space="preserve"> „Magas” értéket adjon meg, ha a </w:t>
            </w:r>
            <w:r>
              <w:t>funkció</w:t>
            </w:r>
            <w:r w:rsidRPr="00F63DCF">
              <w:t xml:space="preserve"> mérete nagy, „Közepes-Magas” értéket, ha közepes, „Közepes-Alacsony” értéket, ha kicsi, és „Alacsony” értéket, ha elhanyagolható.</w:t>
            </w:r>
            <w:r>
              <w:t xml:space="preserve"> </w:t>
            </w:r>
            <w:r w:rsidR="00B31E50">
              <w:t xml:space="preserve"> A minőségi értékeléshez olyan makrogazdasági változókat kell használni, mint a GDP, a népesség (</w:t>
            </w:r>
            <w:r w:rsidR="00472E7E">
              <w:t>b</w:t>
            </w:r>
            <w:r w:rsidR="00B31E50">
              <w:t xml:space="preserve">etétek, hitelezés, fizetések, készpénz, </w:t>
            </w:r>
            <w:r w:rsidR="00472E7E">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D61" w14:textId="0497CCAC" w:rsidR="00896468" w:rsidRDefault="00B31E50">
            <w:pPr>
              <w:pStyle w:val="P68B1DB1-Normal43"/>
            </w:pPr>
            <w:r>
              <w:t xml:space="preserve"> </w:t>
            </w:r>
          </w:p>
          <w:p w14:paraId="7FE1BD62" w14:textId="1C84E840" w:rsidR="00896468" w:rsidRDefault="00B31E50">
            <w:pPr>
              <w:pStyle w:val="P68B1DB1-ListParagraph32"/>
              <w:numPr>
                <w:ilvl w:val="0"/>
                <w:numId w:val="125"/>
              </w:numPr>
              <w:spacing w:line="276" w:lineRule="auto"/>
            </w:pPr>
            <w:r>
              <w:t xml:space="preserve">Szakértői vélemény az adatszolgáltató intézmény bruttó könyv szerinti </w:t>
            </w:r>
            <w:r>
              <w:rPr>
                <w:b/>
              </w:rPr>
              <w:t>értékének</w:t>
            </w:r>
            <w:r>
              <w:t xml:space="preserve"> nagyságáról (c0030) </w:t>
            </w:r>
            <w:r>
              <w:rPr>
                <w:b/>
              </w:rPr>
              <w:t>globális</w:t>
            </w:r>
            <w:r>
              <w:t xml:space="preserve"> szempontból [</w:t>
            </w:r>
            <w:r>
              <w:rPr>
                <w:i/>
              </w:rPr>
              <w:t>egy szint</w:t>
            </w:r>
            <w:r w:rsidR="00472E7E">
              <w:rPr>
                <w:i/>
              </w:rPr>
              <w:t>tel</w:t>
            </w:r>
            <w:r>
              <w:rPr>
                <w:i/>
              </w:rPr>
              <w:t xml:space="preserve"> magasabb, mint az érintett piac. Ha az érintett piac globális, akkor az 1. méret feleslegessé válik, és nem kell jelenteni]</w:t>
            </w:r>
            <w:r>
              <w:t>:</w:t>
            </w:r>
          </w:p>
          <w:p w14:paraId="7FE1BD63" w14:textId="07BE3E76" w:rsidR="00896468" w:rsidRDefault="00B31E50">
            <w:pPr>
              <w:pStyle w:val="P68B1DB1-ListParagraph32"/>
              <w:numPr>
                <w:ilvl w:val="1"/>
                <w:numId w:val="125"/>
              </w:numPr>
              <w:spacing w:line="276" w:lineRule="auto"/>
            </w:pPr>
            <w:r>
              <w:t>Globális szempontból Ön szerint mekkora a</w:t>
            </w:r>
            <w:r w:rsidR="00472E7E">
              <w:t xml:space="preserve">z adatszolgáltató szervezet </w:t>
            </w:r>
            <w:r>
              <w:t>egység bruttó könyv szerinti értéke?</w:t>
            </w:r>
          </w:p>
          <w:p w14:paraId="7FE1BD64" w14:textId="77777777" w:rsidR="00896468" w:rsidRDefault="00896468">
            <w:pPr>
              <w:rPr>
                <w:rFonts w:ascii="Times New Roman" w:eastAsiaTheme="minorHAnsi" w:hAnsi="Times New Roman" w:cs="Times New Roman"/>
                <w:color w:val="000000" w:themeColor="text1"/>
                <w:sz w:val="20"/>
                <w:szCs w:val="20"/>
              </w:rPr>
            </w:pPr>
          </w:p>
        </w:tc>
      </w:tr>
      <w:tr w:rsidR="00896468"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896468" w:rsidRDefault="00B31E50">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0C4525B2" w:rsidR="00896468" w:rsidRDefault="00B31E50">
            <w:pPr>
              <w:pStyle w:val="P68B1DB1-Normal42"/>
              <w:rPr>
                <w:bCs/>
              </w:rPr>
            </w:pPr>
            <w:r>
              <w:t>Méretmutató</w:t>
            </w:r>
            <w:r w:rsidR="008F5432">
              <w:t xml:space="preserve"> 2</w:t>
            </w:r>
          </w:p>
          <w:p w14:paraId="75C87AE7" w14:textId="6ED91111" w:rsidR="00896468" w:rsidRDefault="008F5432">
            <w:pPr>
              <w:pStyle w:val="P68B1DB1-Normal31"/>
              <w:spacing w:line="276" w:lineRule="auto"/>
              <w:jc w:val="both"/>
            </w:pPr>
            <w:r>
              <w:t xml:space="preserve">Értékelje a bank fontosságát ezekben a tevékenységekben. </w:t>
            </w:r>
            <w:r w:rsidR="00B31E50">
              <w:t>Ezt az értékelést minőségileg</w:t>
            </w:r>
            <w:r w:rsidR="00472E7E">
              <w:t xml:space="preserve"> a</w:t>
            </w:r>
            <w:r w:rsidR="00B31E50">
              <w:t xml:space="preserve"> „nagy”, „közepes-magas”, „közepes-alacsony” vagy „alacsony”</w:t>
            </w:r>
            <w:r w:rsidR="00472E7E">
              <w:t xml:space="preserve"> kategóriák</w:t>
            </w:r>
            <w:r w:rsidR="00B31E50">
              <w:t xml:space="preserve"> fejezik ki.</w:t>
            </w:r>
            <w:r w:rsidRPr="00F63DCF">
              <w:t xml:space="preserve"> „Magas” értéket adjon meg, ha a </w:t>
            </w:r>
            <w:r>
              <w:t>funkció</w:t>
            </w:r>
            <w:r w:rsidRPr="00F63DCF">
              <w:t xml:space="preserve"> mérete nagy, „Közepes-Magas” értéket, ha közepes, „Közepes-Alacsony” értéket, ha kicsi, és „Alacsony” értéket, ha elhanyagolható.</w:t>
            </w:r>
            <w:r>
              <w:t xml:space="preserve"> </w:t>
            </w:r>
            <w:r w:rsidR="00B31E50">
              <w:t xml:space="preserve"> A minőségi értékeléshez olyan makrogazdasági változókat kell használni, mint a GDP, a népesség (</w:t>
            </w:r>
            <w:r w:rsidR="00472E7E">
              <w:t>b</w:t>
            </w:r>
            <w:r w:rsidR="00B31E50">
              <w:t xml:space="preserve">etétek, hitelezés, fizetések, készpénz, </w:t>
            </w:r>
            <w:r w:rsidR="00472E7E">
              <w:t>kiegyenlítés</w:t>
            </w:r>
            <w:r w:rsidR="00B31E50">
              <w:t xml:space="preserve">, elszámolás és letéti szolgáltatások esetében) vagy a piac mérete (tőkepiacok és </w:t>
            </w:r>
            <w:r w:rsidR="008441DA">
              <w:t xml:space="preserve">bankközi </w:t>
            </w:r>
            <w:r w:rsidR="00B31E50">
              <w:t xml:space="preserve">finanszírozás esetében). </w:t>
            </w:r>
          </w:p>
          <w:p w14:paraId="7FE1BD68" w14:textId="10683EF9" w:rsidR="00896468" w:rsidRDefault="00B31E50">
            <w:pPr>
              <w:pStyle w:val="P68B1DB1-Normal43"/>
            </w:pPr>
            <w:r>
              <w:lastRenderedPageBreak/>
              <w:t xml:space="preserve"> </w:t>
            </w:r>
          </w:p>
          <w:p w14:paraId="7FE1BD69" w14:textId="77777777" w:rsidR="00896468" w:rsidRDefault="00B31E50">
            <w:pPr>
              <w:pStyle w:val="P68B1DB1-ListParagraph32"/>
              <w:numPr>
                <w:ilvl w:val="0"/>
                <w:numId w:val="119"/>
              </w:numPr>
              <w:spacing w:line="276" w:lineRule="auto"/>
            </w:pPr>
            <w:r>
              <w:t xml:space="preserve">Szakértői vélemény a partnerek vagy ügyletek </w:t>
            </w:r>
            <w:r>
              <w:rPr>
                <w:b/>
              </w:rPr>
              <w:t>számáról</w:t>
            </w:r>
            <w:r>
              <w:t xml:space="preserve"> (c0040) </w:t>
            </w:r>
            <w:r>
              <w:rPr>
                <w:b/>
              </w:rPr>
              <w:t>nemzeti</w:t>
            </w:r>
            <w:r>
              <w:t xml:space="preserve"> szemszögből [</w:t>
            </w:r>
            <w:r>
              <w:rPr>
                <w:i/>
              </w:rPr>
              <w:t>az érintett piac szintjén</w:t>
            </w:r>
            <w:r>
              <w:t>]:</w:t>
            </w:r>
          </w:p>
          <w:p w14:paraId="7FE1BD6A" w14:textId="1870AFEC" w:rsidR="00896468" w:rsidRDefault="00B31E50">
            <w:pPr>
              <w:pStyle w:val="P68B1DB1-ListParagraph32"/>
              <w:numPr>
                <w:ilvl w:val="1"/>
                <w:numId w:val="119"/>
              </w:numPr>
              <w:spacing w:line="276" w:lineRule="auto"/>
            </w:pPr>
            <w:r>
              <w:t>Nemzeti szempontból mennyire magas az Ön intézménye partnere</w:t>
            </w:r>
            <w:r w:rsidR="00472E7E">
              <w:t>ine</w:t>
            </w:r>
            <w:r>
              <w:t>k becsült száma?</w:t>
            </w:r>
          </w:p>
          <w:p w14:paraId="7FE1BD6B" w14:textId="77777777" w:rsidR="00896468" w:rsidRDefault="00896468">
            <w:pPr>
              <w:rPr>
                <w:rFonts w:ascii="Times New Roman" w:eastAsiaTheme="minorHAnsi" w:hAnsi="Times New Roman" w:cs="Times New Roman"/>
                <w:color w:val="000000" w:themeColor="text1"/>
                <w:sz w:val="20"/>
                <w:szCs w:val="20"/>
              </w:rPr>
            </w:pPr>
          </w:p>
        </w:tc>
      </w:tr>
      <w:tr w:rsidR="00896468"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896468" w:rsidRDefault="00B31E50">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896468" w:rsidRDefault="00B31E50">
            <w:pPr>
              <w:pStyle w:val="P68B1DB1-Normal42"/>
              <w:rPr>
                <w:bCs/>
              </w:rPr>
            </w:pPr>
            <w:r>
              <w:t>Határokon átnyúló mutató</w:t>
            </w:r>
          </w:p>
          <w:p w14:paraId="7FE1BD6F" w14:textId="77777777" w:rsidR="00896468" w:rsidRDefault="00B31E50">
            <w:pPr>
              <w:pStyle w:val="P68B1DB1-Normal43"/>
            </w:pPr>
            <w:r>
              <w:t>Értékelje a határokon átnyúló tevékenységek relatív jelentőségét a különböző gazdasági funkciók szempontjából.</w:t>
            </w:r>
          </w:p>
          <w:p w14:paraId="7FE1BD70" w14:textId="77777777" w:rsidR="00896468" w:rsidRDefault="00B31E50">
            <w:pPr>
              <w:pStyle w:val="P68B1DB1-Normal43"/>
            </w:pPr>
            <w:r>
              <w:t xml:space="preserve">Ezt nem kell értékelni olyan jelentések esetében, amelyekben az érintett piac regionálisnak minősül. </w:t>
            </w:r>
          </w:p>
          <w:p w14:paraId="482F1D03" w14:textId="3619A842" w:rsidR="00896468" w:rsidRDefault="00472E7E">
            <w:pPr>
              <w:pStyle w:val="P68B1DB1-ListParagraph32"/>
              <w:numPr>
                <w:ilvl w:val="0"/>
                <w:numId w:val="118"/>
              </w:numPr>
              <w:rPr>
                <w:i/>
                <w:iCs/>
              </w:rPr>
            </w:pPr>
            <w:r>
              <w:t>Az adatszolgáltató szervezet</w:t>
            </w:r>
            <w:r w:rsidR="00B31E50">
              <w:t xml:space="preserve"> joghatóságon átívelő tevékenységének részaránya a teljes érték százalékában, bruttó könyv szerinti értékben kifejezve. Jelentés:</w:t>
            </w:r>
          </w:p>
          <w:p w14:paraId="7E6697A4" w14:textId="1158B64F" w:rsidR="00896468" w:rsidRDefault="00B31E50">
            <w:pPr>
              <w:pStyle w:val="P68B1DB1-ListParagraph32"/>
              <w:numPr>
                <w:ilvl w:val="1"/>
                <w:numId w:val="118"/>
              </w:numPr>
              <w:rPr>
                <w:i/>
                <w:iCs/>
              </w:rPr>
            </w:pPr>
            <w:r>
              <w:t xml:space="preserve"> </w:t>
            </w:r>
            <w:r w:rsidR="009667FB">
              <w:t>&lt;</w:t>
            </w:r>
            <w:r>
              <w:t xml:space="preserve">5%; </w:t>
            </w:r>
          </w:p>
          <w:p w14:paraId="30B91FAF" w14:textId="5CD6C33D" w:rsidR="00896468" w:rsidRDefault="00B31E50">
            <w:pPr>
              <w:pStyle w:val="P68B1DB1-ListParagraph32"/>
              <w:numPr>
                <w:ilvl w:val="1"/>
                <w:numId w:val="118"/>
              </w:numPr>
              <w:rPr>
                <w:i/>
                <w:iCs/>
              </w:rPr>
            </w:pPr>
            <w:r>
              <w:t xml:space="preserve">5–15%; </w:t>
            </w:r>
          </w:p>
          <w:p w14:paraId="50353685" w14:textId="2995AD20" w:rsidR="00896468" w:rsidRDefault="00B31E50">
            <w:pPr>
              <w:pStyle w:val="P68B1DB1-ListParagraph32"/>
              <w:numPr>
                <w:ilvl w:val="1"/>
                <w:numId w:val="118"/>
              </w:numPr>
              <w:rPr>
                <w:i/>
                <w:iCs/>
              </w:rPr>
            </w:pPr>
            <w:r>
              <w:t xml:space="preserve">15–25%, </w:t>
            </w:r>
          </w:p>
          <w:p w14:paraId="7FE1BD71" w14:textId="6E1F5AA5" w:rsidR="00896468" w:rsidRDefault="00B31E50">
            <w:pPr>
              <w:pStyle w:val="P68B1DB1-ListParagraph32"/>
              <w:numPr>
                <w:ilvl w:val="1"/>
                <w:numId w:val="118"/>
              </w:numPr>
              <w:rPr>
                <w:i/>
                <w:iCs/>
              </w:rPr>
            </w:pPr>
            <w:r>
              <w:t>&gt; 25%.</w:t>
            </w:r>
          </w:p>
          <w:p w14:paraId="7FE1BD72" w14:textId="77777777" w:rsidR="00896468" w:rsidRDefault="00896468">
            <w:pPr>
              <w:rPr>
                <w:rFonts w:ascii="Times New Roman" w:eastAsiaTheme="minorHAnsi" w:hAnsi="Times New Roman" w:cs="Times New Roman"/>
                <w:color w:val="000000" w:themeColor="text1"/>
                <w:sz w:val="20"/>
                <w:szCs w:val="20"/>
              </w:rPr>
            </w:pPr>
          </w:p>
        </w:tc>
      </w:tr>
      <w:tr w:rsidR="00896468"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896468" w:rsidRDefault="00B31E50">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896468" w:rsidRDefault="00B31E50">
            <w:pPr>
              <w:pStyle w:val="P68B1DB1-Normal42"/>
              <w:rPr>
                <w:bCs/>
              </w:rPr>
            </w:pPr>
            <w:r>
              <w:t xml:space="preserve">Relevancia – </w:t>
            </w:r>
          </w:p>
          <w:p w14:paraId="7FE1BD76" w14:textId="1356AF5F" w:rsidR="00896468" w:rsidRDefault="00B31E50">
            <w:pPr>
              <w:pStyle w:val="P68B1DB1-Normal43"/>
            </w:pPr>
            <w:r>
              <w:t>A helyi, regionális, nemzeti vagy európai szintű jelentősége – az érintett piactól függően. Az intézmény jelentősége a piaci részesedés, a</w:t>
            </w:r>
            <w:r w:rsidR="00472E7E">
              <w:t>z összekapcsoltság</w:t>
            </w:r>
            <w:r>
              <w:t>, az összetettség és a határokon átnyúló tevékenységek alapján értékelhető;</w:t>
            </w:r>
          </w:p>
          <w:p w14:paraId="7FE1BD77" w14:textId="77777777" w:rsidR="00896468" w:rsidRDefault="00B31E50">
            <w:pPr>
              <w:pStyle w:val="P68B1DB1-Normal42"/>
              <w:rPr>
                <w:bCs/>
              </w:rPr>
            </w:pPr>
            <w:r>
              <w:t>Piaci részesedés</w:t>
            </w:r>
          </w:p>
          <w:p w14:paraId="7FE1BD78" w14:textId="5FF6C005" w:rsidR="00896468" w:rsidRDefault="00B31E50">
            <w:pPr>
              <w:pStyle w:val="P68B1DB1-Normal43"/>
            </w:pPr>
            <w:r>
              <w:t>Értékel</w:t>
            </w:r>
            <w:r w:rsidR="00472E7E">
              <w:t>je</w:t>
            </w:r>
            <w:r>
              <w:t>, hogy a</w:t>
            </w:r>
            <w:r w:rsidR="006075E6">
              <w:t>z adatszolgáltató szervezet</w:t>
            </w:r>
            <w:r>
              <w:t xml:space="preserve"> piaci részesedése mennyire </w:t>
            </w:r>
            <w:r w:rsidR="006075E6">
              <w:t xml:space="preserve">jelentős </w:t>
            </w:r>
            <w:r>
              <w:t xml:space="preserve">a nemzeti vagy más érintett piachoz képest, amint az a táblában szerepel. Ezt az értékelést minőségileg a következőképpen fejezik ki: </w:t>
            </w:r>
          </w:p>
          <w:p w14:paraId="7FE1BD79" w14:textId="43E56AB8" w:rsidR="00896468" w:rsidRDefault="00B31E50">
            <w:pPr>
              <w:pStyle w:val="P68B1DB1-ListParagraph38"/>
              <w:numPr>
                <w:ilvl w:val="0"/>
                <w:numId w:val="276"/>
              </w:numPr>
              <w:spacing w:line="276" w:lineRule="auto"/>
              <w:jc w:val="both"/>
            </w:pPr>
            <w:r>
              <w:t>Magas, ha a piaci részesedés nagy</w:t>
            </w:r>
          </w:p>
          <w:p w14:paraId="7FE1BD7A" w14:textId="533BFB92" w:rsidR="00896468" w:rsidRDefault="00B31E50">
            <w:pPr>
              <w:pStyle w:val="P68B1DB1-ListParagraph38"/>
              <w:numPr>
                <w:ilvl w:val="0"/>
                <w:numId w:val="276"/>
              </w:numPr>
              <w:spacing w:line="276" w:lineRule="auto"/>
              <w:jc w:val="both"/>
            </w:pPr>
            <w:r>
              <w:t>Közepesen magas, ha a piaci részesedés közepes</w:t>
            </w:r>
          </w:p>
          <w:p w14:paraId="7FE1BD7B" w14:textId="183159BC" w:rsidR="00896468" w:rsidRDefault="00B31E50">
            <w:pPr>
              <w:pStyle w:val="P68B1DB1-ListParagraph38"/>
              <w:numPr>
                <w:ilvl w:val="0"/>
                <w:numId w:val="276"/>
              </w:numPr>
              <w:spacing w:line="276" w:lineRule="auto"/>
              <w:jc w:val="both"/>
            </w:pPr>
            <w:r>
              <w:t xml:space="preserve">Közepesen alacsony, ha a piaci részesedés </w:t>
            </w:r>
            <w:r w:rsidR="009667FB">
              <w:t>kicsi</w:t>
            </w:r>
            <w:r>
              <w:t xml:space="preserve">, vagy </w:t>
            </w:r>
          </w:p>
          <w:p w14:paraId="7FE1BD7C" w14:textId="05FA4C79" w:rsidR="00896468" w:rsidRDefault="00B31E50">
            <w:pPr>
              <w:pStyle w:val="P68B1DB1-ListParagraph38"/>
              <w:numPr>
                <w:ilvl w:val="0"/>
                <w:numId w:val="276"/>
              </w:numPr>
              <w:spacing w:line="276" w:lineRule="auto"/>
              <w:jc w:val="both"/>
            </w:pPr>
            <w:r>
              <w:t xml:space="preserve">Alacsony, ha a piaci részesedés elhanyagolható. </w:t>
            </w:r>
          </w:p>
          <w:p w14:paraId="7FE1BD7D" w14:textId="384C3393" w:rsidR="00896468" w:rsidRDefault="00B31E50">
            <w:pPr>
              <w:pStyle w:val="P68B1DB1-Normal43"/>
            </w:pPr>
            <w:r>
              <w:t>Ez az értékelés figyelembe veszi a</w:t>
            </w:r>
            <w:r w:rsidR="006075E6">
              <w:t>z adatszolgáltató szervezet</w:t>
            </w:r>
            <w:r>
              <w:t xml:space="preserve"> országának (vagy más érintett piacának) piaci szerkezetét és a részben jelentett piaci részesedéseket. </w:t>
            </w:r>
          </w:p>
          <w:p w14:paraId="7FE1BD7E" w14:textId="5E6363AB" w:rsidR="00896468" w:rsidRDefault="00B31E50">
            <w:pPr>
              <w:pStyle w:val="P68B1DB1-Normal43"/>
            </w:pPr>
            <w:r>
              <w:t>2.</w:t>
            </w:r>
            <w:r w:rsidR="009667FB">
              <w:t xml:space="preserve">Mennyiségi </w:t>
            </w:r>
            <w:r>
              <w:t>adatok:</w:t>
            </w:r>
          </w:p>
          <w:p w14:paraId="7FE1BD7F" w14:textId="25F38C16" w:rsidR="00896468" w:rsidRDefault="00B31E50">
            <w:pPr>
              <w:pStyle w:val="P68B1DB1-ListParagraph32"/>
              <w:numPr>
                <w:ilvl w:val="0"/>
                <w:numId w:val="116"/>
              </w:numPr>
              <w:jc w:val="both"/>
              <w:rPr>
                <w:i/>
                <w:iCs/>
              </w:rPr>
            </w:pPr>
            <w:r>
              <w:t xml:space="preserve">Szakértői vélemény a </w:t>
            </w:r>
            <w:r>
              <w:rPr>
                <w:b/>
              </w:rPr>
              <w:t xml:space="preserve">nemzeti </w:t>
            </w:r>
            <w:r>
              <w:t xml:space="preserve">piaci részesedés nagyságáról (a c0020 mezőben jelentve, kivéve azokat az eseteket, amikor a jelentés más releváns piaci szintre vonatkozik, amely esetben az érintett piaci részesedés értékelése </w:t>
            </w:r>
            <w:r w:rsidR="006075E6">
              <w:t>szükséges</w:t>
            </w:r>
            <w:r>
              <w:t>).</w:t>
            </w:r>
          </w:p>
          <w:p w14:paraId="7FE1BD80" w14:textId="77777777" w:rsidR="00896468" w:rsidRDefault="00896468">
            <w:pPr>
              <w:rPr>
                <w:rFonts w:ascii="Times New Roman" w:eastAsiaTheme="minorHAnsi" w:hAnsi="Times New Roman" w:cs="Times New Roman"/>
                <w:color w:val="000000" w:themeColor="text1"/>
                <w:sz w:val="20"/>
                <w:szCs w:val="20"/>
              </w:rPr>
            </w:pPr>
          </w:p>
          <w:p w14:paraId="7FE1BD81" w14:textId="77777777" w:rsidR="00896468" w:rsidRDefault="00896468">
            <w:pPr>
              <w:rPr>
                <w:rFonts w:ascii="Times New Roman" w:eastAsiaTheme="minorHAnsi" w:hAnsi="Times New Roman" w:cs="Times New Roman"/>
                <w:color w:val="000000" w:themeColor="text1"/>
                <w:sz w:val="20"/>
                <w:szCs w:val="20"/>
              </w:rPr>
            </w:pPr>
          </w:p>
        </w:tc>
      </w:tr>
      <w:tr w:rsidR="00896468"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896468" w:rsidRDefault="00B31E50">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896468" w:rsidRDefault="00B31E50">
            <w:pPr>
              <w:pStyle w:val="P68B1DB1-Normal42"/>
              <w:rPr>
                <w:bCs/>
              </w:rPr>
            </w:pPr>
            <w:r>
              <w:t>Piacszerkezet – piaci koncentráció</w:t>
            </w:r>
          </w:p>
          <w:p w14:paraId="7FE1BD86" w14:textId="10DA09CF" w:rsidR="00896468" w:rsidRDefault="00B31E50">
            <w:pPr>
              <w:pStyle w:val="P68B1DB1-Normal43"/>
            </w:pPr>
            <w:r>
              <w:t>A jelenleg</w:t>
            </w:r>
            <w:r w:rsidR="00DB6144">
              <w:t>i</w:t>
            </w:r>
            <w:r>
              <w:t xml:space="preserve"> versenytársak számával mért piaci koncentráció</w:t>
            </w:r>
            <w:r w:rsidR="00DB6144">
              <w:t>, amelyek</w:t>
            </w:r>
            <w:r>
              <w:t xml:space="preserve"> hasonló gazdasági funkciók</w:t>
            </w:r>
            <w:r w:rsidR="00DB6144">
              <w:t>at látnak el</w:t>
            </w:r>
            <w:r>
              <w:t xml:space="preserve"> és/vagy azonos feltételek mellett hasonló szolgáltatások</w:t>
            </w:r>
            <w:r w:rsidR="00DB6144">
              <w:t>at</w:t>
            </w:r>
            <w:r>
              <w:t xml:space="preserve"> </w:t>
            </w:r>
            <w:r w:rsidR="00DB6144">
              <w:t xml:space="preserve">nyújtanak </w:t>
            </w:r>
            <w:r>
              <w:t xml:space="preserve">(azaz </w:t>
            </w:r>
          </w:p>
          <w:p w14:paraId="7FE1BD88" w14:textId="4EF570A2" w:rsidR="00896468" w:rsidRDefault="00B31E50" w:rsidP="00DB6144">
            <w:pPr>
              <w:pStyle w:val="P68B1DB1-Normal43"/>
            </w:pPr>
            <w:r>
              <w:t xml:space="preserve">összehasonlítható </w:t>
            </w:r>
            <w:r w:rsidR="00DB6144">
              <w:t xml:space="preserve">a </w:t>
            </w:r>
            <w:r>
              <w:t xml:space="preserve">terjedelem és </w:t>
            </w:r>
            <w:r w:rsidR="00DB6144">
              <w:t xml:space="preserve">a </w:t>
            </w:r>
            <w:r>
              <w:t xml:space="preserve">minőség, valamint összehasonlítható </w:t>
            </w:r>
            <w:r w:rsidR="00DB6144">
              <w:t xml:space="preserve">a </w:t>
            </w:r>
            <w:r>
              <w:t xml:space="preserve">költség), </w:t>
            </w:r>
            <w:r w:rsidR="00DB6144">
              <w:t xml:space="preserve">és </w:t>
            </w:r>
            <w:r>
              <w:t>amely</w:t>
            </w:r>
            <w:r w:rsidR="00DB6144">
              <w:t>ek</w:t>
            </w:r>
            <w:r>
              <w:t xml:space="preserve"> potenciálisan átvehet</w:t>
            </w:r>
            <w:r w:rsidR="00DB6144">
              <w:t>ik</w:t>
            </w:r>
            <w:r>
              <w:t xml:space="preserve"> </w:t>
            </w:r>
            <w:r w:rsidR="00DB6144">
              <w:t>az adatszolgáltató</w:t>
            </w:r>
            <w:r>
              <w:t xml:space="preserve"> ügyfelei</w:t>
            </w:r>
            <w:r w:rsidR="00DB6144">
              <w:t>t</w:t>
            </w:r>
            <w:r>
              <w:t xml:space="preserve"> és/vagy üzleti tevékenység</w:t>
            </w:r>
            <w:r w:rsidR="00DB6144">
              <w:t xml:space="preserve">ét </w:t>
            </w:r>
            <w:r>
              <w:t>(</w:t>
            </w:r>
            <w:r w:rsidR="00DB6144">
              <w:t xml:space="preserve">vagy annak </w:t>
            </w:r>
            <w:r>
              <w:t>egy rész</w:t>
            </w:r>
            <w:r w:rsidR="00DB6144">
              <w:t>ét</w:t>
            </w:r>
            <w:r>
              <w:t xml:space="preserve">) észszerű időn belül. </w:t>
            </w:r>
          </w:p>
          <w:p w14:paraId="7FE1BD89" w14:textId="77777777" w:rsidR="00896468" w:rsidRDefault="00B31E50">
            <w:pPr>
              <w:pStyle w:val="P68B1DB1-Normal43"/>
            </w:pPr>
            <w:r>
              <w:t xml:space="preserve">Ezt kategóriákban kell jelenteni, amelyek minden egyes alfunkció esetében azonosak. </w:t>
            </w:r>
          </w:p>
          <w:p w14:paraId="5A8DDF15" w14:textId="77777777" w:rsidR="00896468" w:rsidRDefault="00B31E50">
            <w:pPr>
              <w:pStyle w:val="P68B1DB1-ListParagraph32"/>
              <w:numPr>
                <w:ilvl w:val="0"/>
                <w:numId w:val="277"/>
              </w:numPr>
              <w:jc w:val="both"/>
            </w:pPr>
            <w:r>
              <w:t xml:space="preserve">&gt; 20 versenytárs; </w:t>
            </w:r>
          </w:p>
          <w:p w14:paraId="0FB3FECD" w14:textId="77777777" w:rsidR="00896468" w:rsidRDefault="00B31E50">
            <w:pPr>
              <w:pStyle w:val="P68B1DB1-ListParagraph32"/>
              <w:numPr>
                <w:ilvl w:val="0"/>
                <w:numId w:val="277"/>
              </w:numPr>
              <w:jc w:val="both"/>
            </w:pPr>
            <w:r>
              <w:t xml:space="preserve">11–20 versenytárs; </w:t>
            </w:r>
          </w:p>
          <w:p w14:paraId="0742AD9B" w14:textId="77777777" w:rsidR="00896468" w:rsidRDefault="00B31E50">
            <w:pPr>
              <w:pStyle w:val="P68B1DB1-ListParagraph32"/>
              <w:numPr>
                <w:ilvl w:val="0"/>
                <w:numId w:val="277"/>
              </w:numPr>
              <w:jc w:val="both"/>
            </w:pPr>
            <w:r>
              <w:t xml:space="preserve">5–10 versenytárs, </w:t>
            </w:r>
          </w:p>
          <w:p w14:paraId="240AD074" w14:textId="38EED1BE" w:rsidR="00896468" w:rsidRDefault="009667FB">
            <w:pPr>
              <w:pStyle w:val="P68B1DB1-ListParagraph32"/>
              <w:numPr>
                <w:ilvl w:val="0"/>
                <w:numId w:val="277"/>
              </w:numPr>
              <w:jc w:val="both"/>
              <w:rPr>
                <w:b/>
                <w:bCs/>
                <w:color w:val="000000" w:themeColor="text1"/>
              </w:rPr>
            </w:pPr>
            <w:r>
              <w:t>&lt;</w:t>
            </w:r>
            <w:r w:rsidR="00B31E50">
              <w:t>5 versenytárs</w:t>
            </w:r>
          </w:p>
          <w:p w14:paraId="7FE1BD8D" w14:textId="2F17E01A" w:rsidR="00896468" w:rsidRDefault="00896468">
            <w:pPr>
              <w:jc w:val="both"/>
              <w:rPr>
                <w:rFonts w:ascii="Times New Roman" w:hAnsi="Times New Roman"/>
                <w:color w:val="000000" w:themeColor="text1"/>
                <w:sz w:val="20"/>
                <w:szCs w:val="20"/>
              </w:rPr>
            </w:pPr>
          </w:p>
        </w:tc>
      </w:tr>
      <w:tr w:rsidR="00896468"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896468" w:rsidRDefault="00B31E50">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3CF1262A" w:rsidR="00896468" w:rsidRDefault="00B31E50">
            <w:pPr>
              <w:pStyle w:val="P68B1DB1-Normal42"/>
              <w:rPr>
                <w:bCs/>
              </w:rPr>
            </w:pPr>
            <w:r>
              <w:t>Idő</w:t>
            </w:r>
            <w:r w:rsidR="000D6D48">
              <w:t>tartam</w:t>
            </w:r>
            <w:r>
              <w:t>– A helyettesítés várható ideje</w:t>
            </w:r>
          </w:p>
          <w:p w14:paraId="7FE1BD92" w14:textId="14AFAD5F" w:rsidR="00896468" w:rsidRDefault="009667FB">
            <w:pPr>
              <w:pStyle w:val="P68B1DB1-Normal43"/>
            </w:pPr>
            <w:r>
              <w:t xml:space="preserve">Becsülje meg azt az időt, amely ahhoz szükséges, hogy </w:t>
            </w:r>
            <w:r w:rsidR="00DB6144">
              <w:t xml:space="preserve">az adatszolgáltató szervezet </w:t>
            </w:r>
            <w:r>
              <w:t xml:space="preserve">által ellátott gazdasági funkciót a piac válsághelyzetben felszívja. </w:t>
            </w:r>
            <w:r w:rsidR="00B31E50">
              <w:t xml:space="preserve">Lebontva: </w:t>
            </w:r>
          </w:p>
          <w:p w14:paraId="7FE1BD93" w14:textId="77777777" w:rsidR="00896468" w:rsidRDefault="00B31E50">
            <w:pPr>
              <w:pStyle w:val="P68B1DB1-ListParagraph38"/>
              <w:numPr>
                <w:ilvl w:val="0"/>
                <w:numId w:val="274"/>
              </w:numPr>
              <w:jc w:val="both"/>
            </w:pPr>
            <w:r>
              <w:lastRenderedPageBreak/>
              <w:t xml:space="preserve">az egy vagy több versenytárs számára a funkció átvételéhez szükséges jogi és technikai lépések elvégzéséhez várhatóan szükséges idő; valamint  </w:t>
            </w:r>
          </w:p>
          <w:p w14:paraId="7FE1BD94" w14:textId="329ACD90" w:rsidR="00896468" w:rsidRDefault="00B31E50">
            <w:pPr>
              <w:pStyle w:val="P68B1DB1-ListParagraph38"/>
              <w:numPr>
                <w:ilvl w:val="0"/>
                <w:numId w:val="274"/>
              </w:numPr>
              <w:jc w:val="both"/>
            </w:pPr>
            <w:r>
              <w:t xml:space="preserve">a szolgáltatás igénybe vevői által egy másik szolgáltatóhoz való </w:t>
            </w:r>
            <w:r w:rsidR="00DB6144">
              <w:t xml:space="preserve">átálláshoz </w:t>
            </w:r>
            <w:r>
              <w:t xml:space="preserve">szükséges idő. </w:t>
            </w:r>
          </w:p>
          <w:p w14:paraId="7FE1BD95" w14:textId="77777777" w:rsidR="00896468" w:rsidRDefault="00896468">
            <w:pPr>
              <w:rPr>
                <w:rFonts w:ascii="Times New Roman" w:eastAsiaTheme="minorHAnsi" w:hAnsi="Times New Roman" w:cs="Times New Roman"/>
                <w:color w:val="000000" w:themeColor="text1"/>
                <w:sz w:val="20"/>
                <w:szCs w:val="20"/>
              </w:rPr>
            </w:pPr>
          </w:p>
          <w:p w14:paraId="7FE1BD96" w14:textId="4C5FE96B" w:rsidR="00896468" w:rsidRDefault="00B31E50">
            <w:pPr>
              <w:pStyle w:val="P68B1DB1-Normal43"/>
            </w:pPr>
            <w:r>
              <w:t xml:space="preserve">Az előbbi helyettesítőjeként adja meg annak becslését, hogy </w:t>
            </w:r>
            <w:r w:rsidR="00DB6144">
              <w:t>az adatszolgáltató szervezetnek</w:t>
            </w:r>
            <w:r>
              <w:t xml:space="preserve"> mennyi időre lenne szüksége ahhoz, hogy saját üzleti tevékenység</w:t>
            </w:r>
            <w:r w:rsidR="00DB6144">
              <w:t>ébe olvasszon</w:t>
            </w:r>
            <w:r>
              <w:t xml:space="preserve"> egy másik intézmény által nyújtott szolgáltatást</w:t>
            </w:r>
            <w:r w:rsidR="00DB6144">
              <w:t xml:space="preserve"> (vagy annak egy részét)</w:t>
            </w:r>
            <w:r>
              <w:t>, észszerű költség mellett, válsághelyzetben. A táblában megadott kategóriákban adja meg a helyettesítés becsült idejét:</w:t>
            </w:r>
          </w:p>
          <w:p w14:paraId="7FE1BD97" w14:textId="77777777" w:rsidR="00896468" w:rsidRDefault="00B31E50">
            <w:pPr>
              <w:pStyle w:val="P68B1DB1-Normal31"/>
            </w:pPr>
            <w:r>
              <w:t xml:space="preserve">Kategóriák: </w:t>
            </w:r>
          </w:p>
          <w:p w14:paraId="7FE1BD98" w14:textId="077A9BD3" w:rsidR="00896468" w:rsidRDefault="00B31E50">
            <w:pPr>
              <w:pStyle w:val="P68B1DB1-ListParagraph32"/>
              <w:numPr>
                <w:ilvl w:val="0"/>
                <w:numId w:val="287"/>
              </w:numPr>
            </w:pPr>
            <w:r>
              <w:t xml:space="preserve">≤ 1 nap; </w:t>
            </w:r>
          </w:p>
          <w:p w14:paraId="7FE1BD99" w14:textId="07CCFE77" w:rsidR="00896468" w:rsidRDefault="00B31E50">
            <w:pPr>
              <w:pStyle w:val="P68B1DB1-ListParagraph32"/>
              <w:numPr>
                <w:ilvl w:val="0"/>
                <w:numId w:val="287"/>
              </w:numPr>
            </w:pPr>
            <w:r>
              <w:t xml:space="preserve">1 nap – 1 hét </w:t>
            </w:r>
          </w:p>
          <w:p w14:paraId="7FE1BD9A" w14:textId="47AC6C88" w:rsidR="00896468" w:rsidRDefault="00B31E50">
            <w:pPr>
              <w:pStyle w:val="P68B1DB1-ListParagraph32"/>
              <w:numPr>
                <w:ilvl w:val="0"/>
                <w:numId w:val="287"/>
              </w:numPr>
            </w:pPr>
            <w:r>
              <w:t xml:space="preserve">&gt; 1 hét – 1 hónap; </w:t>
            </w:r>
          </w:p>
          <w:p w14:paraId="7FE1BD9B" w14:textId="3CEE3934" w:rsidR="00896468" w:rsidRDefault="00B31E50">
            <w:pPr>
              <w:pStyle w:val="P68B1DB1-ListParagraph32"/>
              <w:numPr>
                <w:ilvl w:val="0"/>
                <w:numId w:val="287"/>
              </w:numPr>
              <w:rPr>
                <w:color w:val="000000" w:themeColor="text1"/>
              </w:rPr>
            </w:pPr>
            <w:r>
              <w:t>&gt; 1 hónap</w:t>
            </w:r>
          </w:p>
        </w:tc>
      </w:tr>
      <w:tr w:rsidR="00896468"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896468" w:rsidRDefault="00B31E50">
            <w:pPr>
              <w:pStyle w:val="P68B1DB1-TableParagraph17"/>
              <w:spacing w:before="108"/>
              <w:ind w:left="85"/>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896468" w:rsidRDefault="00B31E50">
            <w:pPr>
              <w:pStyle w:val="P68B1DB1-Normal42"/>
              <w:rPr>
                <w:bCs/>
              </w:rPr>
            </w:pPr>
            <w:r>
              <w:t>Helyettesítési képesség</w:t>
            </w:r>
          </w:p>
        </w:tc>
      </w:tr>
      <w:tr w:rsidR="00896468"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896468" w:rsidRDefault="00B31E50">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168A8FE1" w:rsidR="00896468" w:rsidRDefault="00B31E50">
            <w:pPr>
              <w:pStyle w:val="P68B1DB1-Normal42"/>
              <w:rPr>
                <w:bCs/>
              </w:rPr>
            </w:pPr>
            <w:r>
              <w:t xml:space="preserve">A </w:t>
            </w:r>
            <w:r w:rsidR="00711C2C">
              <w:t xml:space="preserve">piacra </w:t>
            </w:r>
            <w:r>
              <w:t>lépés vagy terjeszkedés jogi akadályai</w:t>
            </w:r>
          </w:p>
          <w:p w14:paraId="7FE1BDA2" w14:textId="77777777" w:rsidR="00896468" w:rsidRDefault="00896468">
            <w:pPr>
              <w:rPr>
                <w:rFonts w:ascii="Times New Roman" w:eastAsiaTheme="minorHAnsi" w:hAnsi="Times New Roman" w:cs="Times New Roman"/>
                <w:color w:val="000000" w:themeColor="text1"/>
                <w:sz w:val="20"/>
                <w:szCs w:val="20"/>
              </w:rPr>
            </w:pPr>
          </w:p>
          <w:p w14:paraId="7FE1BDA3" w14:textId="77777777" w:rsidR="00896468" w:rsidRDefault="00B31E50">
            <w:pPr>
              <w:pStyle w:val="P68B1DB1-Normal43"/>
            </w:pPr>
            <w:r>
              <w:t xml:space="preserve">A versenytársak számára a szolgáltatás nyújtása előtt álló jogi akadályok. A hitelintézetek tevékenységének végzésére vonatkozó jogi követelmények (pl. banki engedélyek vagy tőkekövetelmények) alternatív szolgáltatók jelenlétében nem tekinthetők leküzdhetetlen akadálynak. Ezt a mutatót kategóriákban kell jelenteni, amelyek minden egyes alfunkció esetében azonosak: </w:t>
            </w:r>
          </w:p>
          <w:p w14:paraId="7FE1BDA4" w14:textId="5F64D555" w:rsidR="00896468" w:rsidRDefault="00B31E50">
            <w:pPr>
              <w:pStyle w:val="P68B1DB1-ListParagraph39"/>
              <w:numPr>
                <w:ilvl w:val="0"/>
                <w:numId w:val="275"/>
              </w:numPr>
              <w:jc w:val="both"/>
            </w:pPr>
            <w:r>
              <w:t xml:space="preserve">nincsenek jelentős akadályok, </w:t>
            </w:r>
          </w:p>
          <w:p w14:paraId="7FE1BDA5" w14:textId="09B8D427" w:rsidR="00896468" w:rsidRDefault="00B31E50">
            <w:pPr>
              <w:pStyle w:val="P68B1DB1-ListParagraph39"/>
              <w:numPr>
                <w:ilvl w:val="0"/>
                <w:numId w:val="275"/>
              </w:numPr>
              <w:jc w:val="both"/>
            </w:pPr>
            <w:r>
              <w:t xml:space="preserve">néhány akadály, </w:t>
            </w:r>
          </w:p>
          <w:p w14:paraId="7FE1BDA6" w14:textId="14CFE055" w:rsidR="00896468" w:rsidRDefault="00B31E50">
            <w:pPr>
              <w:pStyle w:val="P68B1DB1-ListParagraph39"/>
              <w:numPr>
                <w:ilvl w:val="0"/>
                <w:numId w:val="275"/>
              </w:numPr>
              <w:jc w:val="both"/>
            </w:pPr>
            <w:r>
              <w:t xml:space="preserve">jelentős (de leküzdhető) akadályok, </w:t>
            </w:r>
          </w:p>
          <w:p w14:paraId="7FE1BDA8" w14:textId="2895BA0A" w:rsidR="00896468" w:rsidRDefault="00B31E50">
            <w:pPr>
              <w:pStyle w:val="P68B1DB1-ListParagraph8"/>
              <w:numPr>
                <w:ilvl w:val="0"/>
                <w:numId w:val="275"/>
              </w:numPr>
              <w:jc w:val="both"/>
              <w:rPr>
                <w:rFonts w:eastAsiaTheme="minorHAnsi"/>
              </w:rPr>
            </w:pPr>
            <w:r>
              <w:t>kritikus (nehezen leküzdhető) akadályok.</w:t>
            </w:r>
          </w:p>
        </w:tc>
      </w:tr>
      <w:tr w:rsidR="00896468"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896468" w:rsidRDefault="00B31E50">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118F8EDC" w:rsidR="00896468" w:rsidRDefault="00B31E50">
            <w:pPr>
              <w:pStyle w:val="P68B1DB1-Normal42"/>
              <w:rPr>
                <w:bCs/>
              </w:rPr>
            </w:pPr>
            <w:r>
              <w:t xml:space="preserve">A </w:t>
            </w:r>
            <w:r w:rsidR="002F7BF6">
              <w:t xml:space="preserve">piacra </w:t>
            </w:r>
            <w:r>
              <w:t xml:space="preserve">lépésre vagy </w:t>
            </w:r>
            <w:r w:rsidR="002F7BF6">
              <w:t xml:space="preserve">terjeszkedésre </w:t>
            </w:r>
            <w:r>
              <w:t>vonatkozó működési követelmények</w:t>
            </w:r>
          </w:p>
          <w:p w14:paraId="7FE1BDAC" w14:textId="77777777" w:rsidR="00896468" w:rsidRDefault="00896468">
            <w:pPr>
              <w:rPr>
                <w:rFonts w:ascii="Times New Roman" w:eastAsiaTheme="minorHAnsi" w:hAnsi="Times New Roman" w:cs="Times New Roman"/>
                <w:color w:val="000000" w:themeColor="text1"/>
                <w:sz w:val="20"/>
                <w:szCs w:val="20"/>
              </w:rPr>
            </w:pPr>
          </w:p>
          <w:p w14:paraId="7FE1BDAD" w14:textId="4B683842" w:rsidR="00896468" w:rsidRDefault="00B31E50">
            <w:pPr>
              <w:pStyle w:val="P68B1DB1-Normal43"/>
            </w:pPr>
            <w:r>
              <w:t>Szervezeti, műszaki és infrastrukturális követelmények a versenytársak számára a szolgáltatás nyújtásához. Az (al)funkcióhoz kapcsolódó szolgáltatások nyújtása megköveteli a szolgáltatóktól, hogy (új vagy kiegészítő) infrastruktúrába fektessenek be, vagy módosítsák szervezeteiket. Értékel</w:t>
            </w:r>
            <w:r w:rsidR="002F7BF6">
              <w:t>je</w:t>
            </w:r>
            <w:r>
              <w:t xml:space="preserve">, hogy a piac képes-e felvenni az adott üzletágat, például a tőkekövetelmények tekintetében. </w:t>
            </w:r>
          </w:p>
          <w:p w14:paraId="7FE1BDAE" w14:textId="77777777" w:rsidR="00896468" w:rsidRDefault="00B31E50">
            <w:pPr>
              <w:pStyle w:val="P68B1DB1-Normal43"/>
            </w:pPr>
            <w:r>
              <w:t xml:space="preserve">Ezt a mutatót kategóriákban kell jelenteni, amelyek minden egyes alfunkció esetében azonosak: </w:t>
            </w:r>
          </w:p>
          <w:p w14:paraId="7FE1BDAF" w14:textId="39113051" w:rsidR="00896468" w:rsidRDefault="00B31E50">
            <w:pPr>
              <w:pStyle w:val="P68B1DB1-ListParagraph38"/>
              <w:numPr>
                <w:ilvl w:val="0"/>
                <w:numId w:val="278"/>
              </w:numPr>
              <w:jc w:val="both"/>
            </w:pPr>
            <w:r>
              <w:t xml:space="preserve">nincsenek főbb követelmények, </w:t>
            </w:r>
          </w:p>
          <w:p w14:paraId="7FE1BDB0" w14:textId="63777608" w:rsidR="00896468" w:rsidRDefault="00B31E50">
            <w:pPr>
              <w:pStyle w:val="P68B1DB1-ListParagraph38"/>
              <w:numPr>
                <w:ilvl w:val="0"/>
                <w:numId w:val="278"/>
              </w:numPr>
              <w:jc w:val="both"/>
            </w:pPr>
            <w:r>
              <w:t xml:space="preserve">néhány követelmény, </w:t>
            </w:r>
          </w:p>
          <w:p w14:paraId="7FE1BDB1" w14:textId="78F7EC3E" w:rsidR="00896468" w:rsidRDefault="00B31E50">
            <w:pPr>
              <w:pStyle w:val="P68B1DB1-ListParagraph38"/>
              <w:numPr>
                <w:ilvl w:val="0"/>
                <w:numId w:val="278"/>
              </w:numPr>
              <w:jc w:val="both"/>
            </w:pPr>
            <w:r>
              <w:t xml:space="preserve">lényeges (de leküzdhető) követelmények, </w:t>
            </w:r>
          </w:p>
          <w:p w14:paraId="7FE1BDB2" w14:textId="78430780" w:rsidR="00896468" w:rsidRDefault="00B31E50">
            <w:pPr>
              <w:pStyle w:val="P68B1DB1-ListParagraph38"/>
              <w:numPr>
                <w:ilvl w:val="0"/>
                <w:numId w:val="278"/>
              </w:numPr>
              <w:jc w:val="both"/>
            </w:pPr>
            <w:r>
              <w:t xml:space="preserve">kritikus </w:t>
            </w:r>
            <w:r w:rsidR="005D177F">
              <w:t xml:space="preserve">(nehezen leküzdhető) </w:t>
            </w:r>
            <w:r>
              <w:t>követelmények .</w:t>
            </w:r>
          </w:p>
          <w:p w14:paraId="7FE1BDB3" w14:textId="77777777" w:rsidR="00896468" w:rsidRDefault="00896468">
            <w:pPr>
              <w:rPr>
                <w:rFonts w:ascii="Times New Roman" w:eastAsiaTheme="minorHAnsi" w:hAnsi="Times New Roman" w:cs="Times New Roman"/>
                <w:color w:val="000000" w:themeColor="text1"/>
                <w:sz w:val="20"/>
                <w:szCs w:val="20"/>
              </w:rPr>
            </w:pPr>
          </w:p>
        </w:tc>
      </w:tr>
      <w:tr w:rsidR="00896468"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896468" w:rsidRDefault="00B31E50">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896468" w:rsidRDefault="00B31E50">
            <w:pPr>
              <w:pStyle w:val="P68B1DB1-Normal42"/>
              <w:rPr>
                <w:bCs/>
              </w:rPr>
            </w:pPr>
            <w:r>
              <w:t>A kritikusság értékelése</w:t>
            </w:r>
          </w:p>
        </w:tc>
      </w:tr>
      <w:tr w:rsidR="00896468"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896468" w:rsidRDefault="00B31E50">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896468" w:rsidRDefault="00B31E50">
            <w:pPr>
              <w:pStyle w:val="P68B1DB1-Normal42"/>
              <w:rPr>
                <w:bCs/>
              </w:rPr>
            </w:pPr>
            <w:r>
              <w:t xml:space="preserve">A piacra gyakorolt hatás </w:t>
            </w:r>
          </w:p>
          <w:p w14:paraId="7FE1BDBA" w14:textId="77777777" w:rsidR="00896468" w:rsidRDefault="00B31E50">
            <w:pPr>
              <w:pStyle w:val="P68B1DB1-Normal43"/>
            </w:pPr>
            <w:r>
              <w:t>A funkció hirtelen megszűnésének a harmadik felekre, a pénzügyi piacokra és a reálgazdaságra gyakorolt becsült hatása, figyelembe véve az intézmény méretét, piaci részesedését az adott országban, a külső és belső összekapcsoltságot, összetettséget és az intézmény határokon átnyúló tevékenységeit.</w:t>
            </w:r>
          </w:p>
          <w:p w14:paraId="7FE1BDBB" w14:textId="26AC665D" w:rsidR="00896468" w:rsidRDefault="00B31E50">
            <w:pPr>
              <w:pStyle w:val="P68B1DB1-Normal43"/>
            </w:pPr>
            <w:r>
              <w:t>A minőségi értékelés eredményét „Magas”, „Közepes-Magas”, „Közepes-Alacsony” vagy „Alacsony” megjelöléssel kell kifejezni.</w:t>
            </w:r>
          </w:p>
          <w:p w14:paraId="7FE1BDBC" w14:textId="03C5EFBE" w:rsidR="00896468" w:rsidRDefault="005D177F">
            <w:pPr>
              <w:pStyle w:val="P68B1DB1-Normal43"/>
            </w:pPr>
            <w:r>
              <w:t>Magas</w:t>
            </w:r>
            <w:r w:rsidR="00B31E50">
              <w:t>:</w:t>
            </w:r>
            <w:r>
              <w:t xml:space="preserve"> </w:t>
            </w:r>
            <w:r w:rsidR="00B31E50">
              <w:t xml:space="preserve">a funkció megszüntetése kimagasló hatást gyakorol a nemzeti piacra; </w:t>
            </w:r>
            <w:r>
              <w:t>Közepes-Magas</w:t>
            </w:r>
            <w:r w:rsidR="00B31E50">
              <w:t>:</w:t>
            </w:r>
            <w:r>
              <w:t xml:space="preserve"> </w:t>
            </w:r>
            <w:r w:rsidR="00B31E50">
              <w:t xml:space="preserve">jelentős hatás; </w:t>
            </w:r>
            <w:r>
              <w:t>Közepes-Alacsony</w:t>
            </w:r>
            <w:r w:rsidR="00B31E50">
              <w:t>:</w:t>
            </w:r>
            <w:r>
              <w:t xml:space="preserve"> </w:t>
            </w:r>
            <w:r w:rsidR="00B31E50">
              <w:t xml:space="preserve">a hatás lényeges, de korlátozott; </w:t>
            </w:r>
            <w:r>
              <w:t>Alacsony</w:t>
            </w:r>
            <w:r w:rsidR="00B31E50">
              <w:t>:</w:t>
            </w:r>
            <w:r>
              <w:t xml:space="preserve"> </w:t>
            </w:r>
            <w:r w:rsidR="00B31E50">
              <w:t>alacsony mértékű hatás.</w:t>
            </w:r>
          </w:p>
        </w:tc>
      </w:tr>
      <w:tr w:rsidR="00896468"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896468" w:rsidRDefault="00B31E50">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896468" w:rsidRDefault="00B31E50">
            <w:pPr>
              <w:pStyle w:val="P68B1DB1-Normal42"/>
              <w:rPr>
                <w:bCs/>
              </w:rPr>
            </w:pPr>
            <w:r>
              <w:t>Helyettesíthetőség</w:t>
            </w:r>
          </w:p>
          <w:p w14:paraId="7FE1BDC0" w14:textId="77777777" w:rsidR="00896468" w:rsidRDefault="00B31E50">
            <w:pPr>
              <w:pStyle w:val="P68B1DB1-Normal43"/>
            </w:pPr>
            <w:r>
              <w:t>Az (EU) 2016/778 felhatalmazáson alapuló rendelet 6. cikkének (3) bekezdése</w:t>
            </w:r>
          </w:p>
          <w:p w14:paraId="7FE1BDC1" w14:textId="7FD47385" w:rsidR="00896468" w:rsidRDefault="00B31E50">
            <w:pPr>
              <w:pStyle w:val="P68B1DB1-Normal43"/>
            </w:pPr>
            <w:r>
              <w:lastRenderedPageBreak/>
              <w:t xml:space="preserve">A funkció helyettesíthető, ha elfogadható módon és észszerű időn belül helyettesíthető, </w:t>
            </w:r>
            <w:r w:rsidR="00E97447">
              <w:t xml:space="preserve">és ezáltal elkerülhetők </w:t>
            </w:r>
            <w:r>
              <w:t>a reálgazdaságot és a pénzügyi piacokat érintő rendszerszintű problémák. Figyelembe kell venni az alábbiakat:</w:t>
            </w:r>
          </w:p>
          <w:p w14:paraId="7FE1BDC2" w14:textId="77777777" w:rsidR="00896468" w:rsidRDefault="00B31E50">
            <w:pPr>
              <w:pStyle w:val="P68B1DB1-Normal43"/>
            </w:pPr>
            <w:r>
              <w:t xml:space="preserve">(a) az adott funkció piacának szerkezete, valamint helyettesítő szolgáltatók rendelkezésre állása; </w:t>
            </w:r>
          </w:p>
          <w:p w14:paraId="6D8737EC" w14:textId="1460B526" w:rsidR="00E97447" w:rsidRDefault="00E97447" w:rsidP="00C46908">
            <w:pPr>
              <w:pStyle w:val="P68B1DB1-TableParagraph13"/>
              <w:jc w:val="both"/>
            </w:pPr>
            <w:r>
              <w:t xml:space="preserve">(b) </w:t>
            </w:r>
            <w:r w:rsidRPr="0064267F">
              <w:t>más szolgáltatók alkalmassága a kapacitásuk, a funkciók követelményeinek való megfelelőségük, valamint a piacra lépés vagy terjeszkedés esetleges akadályai tekintetében</w:t>
            </w:r>
            <w:r>
              <w:t xml:space="preserve">; </w:t>
            </w:r>
          </w:p>
          <w:p w14:paraId="77795723" w14:textId="77777777" w:rsidR="00E97447" w:rsidRDefault="00E97447" w:rsidP="00C46908">
            <w:pPr>
              <w:pStyle w:val="P68B1DB1-TableParagraph13"/>
              <w:jc w:val="both"/>
            </w:pPr>
            <w:r>
              <w:t>(c) a</w:t>
            </w:r>
            <w:r w:rsidRPr="00F34880">
              <w:t>z érintett tevékenységek más szolgáltatók általi átvételének ösztönzői</w:t>
            </w:r>
            <w:r>
              <w:t xml:space="preserve">; </w:t>
            </w:r>
          </w:p>
          <w:p w14:paraId="7FE1BDC5" w14:textId="41413EA4" w:rsidR="00896468" w:rsidRDefault="00B31E50">
            <w:pPr>
              <w:pStyle w:val="P68B1DB1-Normal43"/>
            </w:pPr>
            <w:r>
              <w:t xml:space="preserve">(d) a szolgáltatás igénybevevőinek a szolgáltatóváltáshoz szükséges idő és a szolgáltatóváltással járó költségek, a funkciók átvételéhez más versenytársaknak szükséges idő, illetve </w:t>
            </w:r>
            <w:r w:rsidR="00E97447">
              <w:t xml:space="preserve">annak a vizsgálata, </w:t>
            </w:r>
            <w:r>
              <w:t>hogy ez az idő – a szolgáltatás típusától függően – elegendő-e a jelentős zavarok elkerüléséhez.</w:t>
            </w:r>
          </w:p>
          <w:p w14:paraId="7FE1BDC6" w14:textId="024DAF4C" w:rsidR="00896468" w:rsidRDefault="00B31E50">
            <w:pPr>
              <w:pStyle w:val="P68B1DB1-Normal3"/>
            </w:pPr>
            <w:r>
              <w:t xml:space="preserve">Adjon átfogó értékelést az egyes funkciók helyettesíthetőségének várható mértékéről, figyelembe véve a korábban értékelt különböző dimenziókat (piaci részesedés, piaci koncentráció, helyettesítéshez szükséges idő, jogi akadályok és a piacra lépésre vagy terjeszkedésre vonatkozó működési követelmények). A minőségi értékelés eredményét „Magas”, „Közepes-Magas”, „Közepes-Alacsony” vagy „Alacsony” megjelöléssel kell kifejezni. </w:t>
            </w:r>
          </w:p>
          <w:p w14:paraId="07F40115" w14:textId="77777777" w:rsidR="00896468" w:rsidRDefault="00896468">
            <w:pPr>
              <w:rPr>
                <w:rFonts w:ascii="Times New Roman" w:eastAsiaTheme="minorHAnsi" w:hAnsi="Times New Roman" w:cs="Times New Roman"/>
                <w:color w:val="000000" w:themeColor="text1"/>
                <w:sz w:val="20"/>
                <w:szCs w:val="20"/>
              </w:rPr>
            </w:pPr>
          </w:p>
          <w:p w14:paraId="7FE1BDC7" w14:textId="6E8EF1F6" w:rsidR="00896468" w:rsidRDefault="00C6353C">
            <w:pPr>
              <w:pStyle w:val="P68B1DB1-Normal43"/>
            </w:pPr>
            <w:r>
              <w:t>Magas</w:t>
            </w:r>
            <w:r w:rsidR="00B31E50">
              <w:t>: az adott funkciót észszerű időn belül könnyen elláthatja egy másik bank hasonló feltételekkel;</w:t>
            </w:r>
          </w:p>
          <w:p w14:paraId="7FE1BDC8" w14:textId="7CE56ED6" w:rsidR="00896468" w:rsidRDefault="00C6353C">
            <w:pPr>
              <w:pStyle w:val="P68B1DB1-Normal43"/>
            </w:pPr>
            <w:r>
              <w:t>Alacsony</w:t>
            </w:r>
            <w:r w:rsidR="00B31E50">
              <w:t xml:space="preserve">: a funkciót nem lehet könnyen vagy gyorsan helyettesíteni; </w:t>
            </w:r>
          </w:p>
          <w:p w14:paraId="7FE1BDC9" w14:textId="303E975A" w:rsidR="00896468" w:rsidRDefault="00C6353C">
            <w:pPr>
              <w:pStyle w:val="P68B1DB1-Normal43"/>
            </w:pPr>
            <w:r>
              <w:t>Közepes-Magas</w:t>
            </w:r>
            <w:r w:rsidR="00B31E50">
              <w:t xml:space="preserve"> és </w:t>
            </w:r>
            <w:r>
              <w:t>közepes-Alacsony</w:t>
            </w:r>
            <w:r w:rsidR="00B31E50">
              <w:t>:</w:t>
            </w:r>
            <w:r>
              <w:t xml:space="preserve"> </w:t>
            </w:r>
            <w:r w:rsidR="00B31E50">
              <w:t>közepes magas és közepes alacsony esetek, figyelembe véve különböző szempontokat (pl. piaci részesedés, piaci koncentráció, helyettesítés időigénye, a piacra lépés vagy terjeszkedés jogi akadályai és operatív követelményei).</w:t>
            </w:r>
          </w:p>
        </w:tc>
      </w:tr>
      <w:tr w:rsidR="00896468"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896468" w:rsidRDefault="00B31E50">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896468" w:rsidRDefault="00B31E50">
            <w:pPr>
              <w:pStyle w:val="P68B1DB1-Normal42"/>
              <w:rPr>
                <w:bCs/>
              </w:rPr>
            </w:pPr>
            <w:r>
              <w:t>Kritikus funkció</w:t>
            </w:r>
          </w:p>
          <w:p w14:paraId="7FE1BDCD" w14:textId="77777777" w:rsidR="00896468" w:rsidRDefault="00B31E50">
            <w:pPr>
              <w:pStyle w:val="P68B1DB1-Normal43"/>
            </w:pPr>
            <w:r>
              <w:t>Ebben az oszlopban fel kell tüntetni, hogy az intézmény által végzett hatás- és helyettesíthetőségi elemzés alapján a gazdasági funkció kritikusnak tekinthető-e az adott ország piacán.</w:t>
            </w:r>
          </w:p>
          <w:p w14:paraId="7FE1BDCE" w14:textId="77777777" w:rsidR="00896468" w:rsidRDefault="00B31E50">
            <w:pPr>
              <w:pStyle w:val="P68B1DB1-Normal43"/>
            </w:pPr>
            <w:r>
              <w:t>„Igen” vagy „Nem” megjelölés választható.</w:t>
            </w:r>
          </w:p>
        </w:tc>
      </w:tr>
      <w:tr w:rsidR="00896468"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896468" w:rsidRDefault="00B31E50">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896468" w:rsidRDefault="00B31E50">
            <w:pPr>
              <w:pStyle w:val="P68B1DB1-Normal42"/>
              <w:rPr>
                <w:bCs/>
              </w:rPr>
            </w:pPr>
            <w:r>
              <w:t>A csoport észrevételei</w:t>
            </w:r>
          </w:p>
          <w:p w14:paraId="7FE1BDD2" w14:textId="6C411BE1" w:rsidR="00896468" w:rsidRDefault="00B31E50">
            <w:pPr>
              <w:pStyle w:val="P68B1DB1-Normal43"/>
            </w:pPr>
            <w:r>
              <w:t xml:space="preserve">Ez a mező lehetővé teszi </w:t>
            </w:r>
            <w:r w:rsidR="00E97447">
              <w:t>az adatszolgáltató szervezet</w:t>
            </w:r>
            <w:r>
              <w:t xml:space="preserve"> számára, hogy kifejtse a jelentett funkció(k) kritikusságának értékeléséhez használt feltételezéseket.</w:t>
            </w:r>
          </w:p>
        </w:tc>
      </w:tr>
    </w:tbl>
    <w:p w14:paraId="7FE1BDD4" w14:textId="77777777" w:rsidR="00896468" w:rsidRDefault="00896468">
      <w:pPr>
        <w:rPr>
          <w:rFonts w:ascii="Times New Roman" w:hAnsi="Times New Roman" w:cs="Times New Roman"/>
          <w:color w:val="000000" w:themeColor="text1"/>
          <w:sz w:val="20"/>
          <w:szCs w:val="20"/>
        </w:rPr>
      </w:pPr>
    </w:p>
    <w:p w14:paraId="7FE1BFB4" w14:textId="77777777" w:rsidR="00896468" w:rsidRDefault="00896468">
      <w:pPr>
        <w:rPr>
          <w:rFonts w:ascii="Times New Roman" w:hAnsi="Times New Roman" w:cs="Times New Roman"/>
        </w:rPr>
      </w:pPr>
    </w:p>
    <w:p w14:paraId="7FE1BFB5" w14:textId="432A2FAA" w:rsidR="00896468" w:rsidRDefault="00B31E50">
      <w:pPr>
        <w:pStyle w:val="P68B1DB1-Instructionsberschrift25"/>
        <w:numPr>
          <w:ilvl w:val="1"/>
          <w:numId w:val="49"/>
        </w:numPr>
        <w:ind w:left="357" w:hanging="357"/>
      </w:pPr>
      <w:bookmarkStart w:id="124" w:name="_Toc210982882"/>
      <w:r>
        <w:t>Z 07.02 – A gazdasági funkciók szervezetekhez való hozzárendelése (FUNC 2)</w:t>
      </w:r>
      <w:bookmarkEnd w:id="124"/>
      <w:r>
        <w:t xml:space="preserve"> </w:t>
      </w:r>
    </w:p>
    <w:p w14:paraId="7FE1BFB6" w14:textId="77777777" w:rsidR="00896468" w:rsidRDefault="00B31E50">
      <w:pPr>
        <w:pStyle w:val="P68B1DB1-Instructionsberschrift312"/>
        <w:rPr>
          <w:color w:val="auto"/>
        </w:rPr>
      </w:pPr>
      <w:r>
        <w:t>A táblák egyes részeire vonatkozó útmutatások</w:t>
      </w:r>
      <w:r>
        <w:rPr>
          <w:color w:val="auto"/>
        </w:rPr>
        <w:t xml:space="preserve"> </w:t>
      </w:r>
    </w:p>
    <w:p w14:paraId="7FE1BFB7" w14:textId="7A5F9014" w:rsidR="00896468" w:rsidRDefault="00B31E50">
      <w:pPr>
        <w:pStyle w:val="P68B1DB1-InstructionsText26"/>
        <w:numPr>
          <w:ilvl w:val="0"/>
          <w:numId w:val="232"/>
        </w:numPr>
        <w:spacing w:before="0"/>
      </w:pPr>
      <w:r>
        <w:t>Ezt a táblát a csoport egészére vonatkozóan kell kitölteni, figyelembe véve a csoport által a gazdaság számára biztosított gazdasági funkciókat.</w:t>
      </w:r>
    </w:p>
    <w:p w14:paraId="7FE1BFB8" w14:textId="77777777" w:rsidR="00896468" w:rsidRDefault="00B31E50">
      <w:pPr>
        <w:pStyle w:val="P68B1DB1-InstructionsText26"/>
        <w:numPr>
          <w:ilvl w:val="0"/>
          <w:numId w:val="232"/>
        </w:numPr>
        <w:spacing w:before="0"/>
      </w:pPr>
      <w:r>
        <w:t>Az e tábla 0010., 0020. és 0040. oszlopában feltüntetett értékek kombinációja elsődleges kulcsot képez, amelynek a tábla minden sorát egyedileg kell azonosítania.</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96468"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896468" w:rsidRDefault="00B31E50">
            <w:pPr>
              <w:pStyle w:val="P68B1DB1-TableParagraph17"/>
              <w:spacing w:before="108"/>
              <w:ind w:left="85"/>
              <w:jc w:val="both"/>
            </w:pPr>
            <w:r>
              <w:t>Oszlopok</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896468" w:rsidRDefault="00B31E50">
            <w:pPr>
              <w:pStyle w:val="P68B1DB1-TableParagraph17"/>
              <w:spacing w:before="108"/>
              <w:ind w:left="85" w:right="1"/>
              <w:jc w:val="both"/>
            </w:pPr>
            <w:r>
              <w:t>Útmutató</w:t>
            </w:r>
          </w:p>
        </w:tc>
      </w:tr>
      <w:tr w:rsidR="00896468"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896468" w:rsidRDefault="00B31E50">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896468" w:rsidRDefault="00B31E50">
            <w:pPr>
              <w:pStyle w:val="P68B1DB1-TableParagraph14"/>
              <w:spacing w:before="108"/>
              <w:ind w:left="85"/>
              <w:jc w:val="both"/>
              <w:rPr>
                <w:bCs/>
              </w:rPr>
            </w:pPr>
            <w:r>
              <w:t>Gazdasági funkciók</w:t>
            </w:r>
          </w:p>
        </w:tc>
      </w:tr>
      <w:tr w:rsidR="00896468"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896468" w:rsidRDefault="00B31E50">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896468" w:rsidRDefault="00B31E50">
            <w:pPr>
              <w:pStyle w:val="P68B1DB1-TableParagraph14"/>
              <w:spacing w:before="108"/>
              <w:ind w:left="85"/>
              <w:jc w:val="both"/>
              <w:rPr>
                <w:bCs/>
              </w:rPr>
            </w:pPr>
            <w:r>
              <w:t>Ország</w:t>
            </w:r>
          </w:p>
          <w:p w14:paraId="7FE1BFC1" w14:textId="235DC4B1" w:rsidR="00896468" w:rsidRDefault="00B31E50">
            <w:pPr>
              <w:pStyle w:val="P68B1DB1-TableParagraph17"/>
              <w:spacing w:before="108"/>
              <w:ind w:left="85"/>
            </w:pPr>
            <w:r>
              <w:t>Az az ország, ahol a gazdasági funkciót ellátják</w:t>
            </w:r>
          </w:p>
        </w:tc>
      </w:tr>
      <w:tr w:rsidR="00896468"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896468" w:rsidRDefault="00B31E50">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896468" w:rsidRDefault="00B31E50">
            <w:pPr>
              <w:pStyle w:val="P68B1DB1-TableParagraph14"/>
              <w:spacing w:before="108"/>
              <w:ind w:left="85"/>
              <w:jc w:val="both"/>
              <w:rPr>
                <w:bCs/>
              </w:rPr>
            </w:pPr>
            <w:r>
              <w:t>﻿AZONOSÍTÓ﻿</w:t>
            </w:r>
          </w:p>
          <w:p w14:paraId="7FE1BFC5" w14:textId="05F6B42D" w:rsidR="00896468" w:rsidRDefault="00B31E50">
            <w:pPr>
              <w:pStyle w:val="P68B1DB1-TableParagraph17"/>
              <w:spacing w:before="108"/>
              <w:ind w:left="85"/>
            </w:pPr>
            <w:r>
              <w:t>A gazdasági funkciók azonosítója (a Z 07.01 (FUNC 1) táblában említettek szerint kritikus funkciók esetében).</w:t>
            </w:r>
          </w:p>
        </w:tc>
      </w:tr>
      <w:tr w:rsidR="00896468"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896468" w:rsidRDefault="00B31E50">
            <w:pPr>
              <w:pStyle w:val="P68B1DB1-TableParagraph17"/>
              <w:spacing w:before="108"/>
              <w:ind w:left="85"/>
            </w:pPr>
            <w:r>
              <w:lastRenderedPageBreak/>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896468" w:rsidRDefault="00B31E50">
            <w:pPr>
              <w:pStyle w:val="P68B1DB1-TableParagraph14"/>
              <w:spacing w:before="108"/>
              <w:ind w:left="85"/>
              <w:jc w:val="both"/>
              <w:rPr>
                <w:bCs/>
              </w:rPr>
            </w:pPr>
            <w:r>
              <w:t>Jogi személy</w:t>
            </w:r>
          </w:p>
        </w:tc>
      </w:tr>
      <w:tr w:rsidR="00896468"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896468" w:rsidRDefault="00B31E50">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896468" w:rsidRDefault="00B31E50">
            <w:pPr>
              <w:pStyle w:val="P68B1DB1-TableParagraph14"/>
              <w:spacing w:before="108"/>
              <w:ind w:left="85"/>
              <w:jc w:val="both"/>
              <w:rPr>
                <w:bCs/>
              </w:rPr>
            </w:pPr>
            <w:r>
              <w:t>Szervezet neve</w:t>
            </w:r>
          </w:p>
          <w:p w14:paraId="7FE1BFCD" w14:textId="375A6177" w:rsidR="00896468" w:rsidRDefault="00B31E50">
            <w:pPr>
              <w:pStyle w:val="P68B1DB1-TableParagraph17"/>
              <w:spacing w:before="108"/>
              <w:ind w:left="85"/>
            </w:pPr>
            <w:r>
              <w:t>A gazdasági funkciót ellátó szervezet Z 01.01 (ORG 1) táblában megadott neve.</w:t>
            </w:r>
          </w:p>
          <w:p w14:paraId="7FE1BFCE" w14:textId="2159DCA3" w:rsidR="00896468" w:rsidRDefault="00B31E50">
            <w:pPr>
              <w:pStyle w:val="P68B1DB1-TableParagraph17"/>
              <w:spacing w:before="108"/>
              <w:ind w:left="85"/>
            </w:pPr>
            <w:r>
              <w:t>Ha több olyan szervezet van, amely ugyanabban az országban azonos gazdasági funkciókat lát el, minden egyes szervezetet külön sorban kell feltüntetni.</w:t>
            </w:r>
          </w:p>
        </w:tc>
      </w:tr>
      <w:tr w:rsidR="00896468"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896468" w:rsidRDefault="00B31E50">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896468" w:rsidRDefault="00B31E50">
            <w:pPr>
              <w:pStyle w:val="P68B1DB1-TableParagraph14"/>
              <w:spacing w:before="108"/>
              <w:ind w:left="85"/>
              <w:jc w:val="both"/>
              <w:rPr>
                <w:bCs/>
              </w:rPr>
            </w:pPr>
            <w:r>
              <w:t>Kód</w:t>
            </w:r>
          </w:p>
          <w:p w14:paraId="7FE1BFD2" w14:textId="77777777" w:rsidR="00896468" w:rsidRDefault="00B31E50">
            <w:pPr>
              <w:pStyle w:val="P68B1DB1-TableParagraph17"/>
              <w:spacing w:before="108"/>
              <w:ind w:left="85"/>
            </w:pPr>
            <w:r>
              <w:t>A 0020. oszlopban feltüntetett szervezet Z 01.01 (ORG 1) tábla szerinti egyedi azonosítója.</w:t>
            </w:r>
          </w:p>
          <w:p w14:paraId="7FE1BFD3" w14:textId="0AEAE2F2" w:rsidR="00896468" w:rsidRDefault="00B31E50">
            <w:pPr>
              <w:pStyle w:val="P68B1DB1-TableParagraph17"/>
              <w:spacing w:before="108"/>
              <w:ind w:left="85"/>
            </w:pPr>
            <w:r>
              <w:t>A gazdálkodó egységek azonosítását a táblákban következetesen kell elvégezni.</w:t>
            </w:r>
          </w:p>
        </w:tc>
      </w:tr>
      <w:tr w:rsidR="00896468"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896468" w:rsidRDefault="00B31E50">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896468" w:rsidRDefault="00B31E50">
            <w:pPr>
              <w:pStyle w:val="P68B1DB1-TableParagraph14"/>
              <w:spacing w:before="108"/>
              <w:ind w:left="85"/>
              <w:jc w:val="both"/>
              <w:rPr>
                <w:bCs/>
              </w:rPr>
            </w:pPr>
            <w:r>
              <w:t>Kód típusa</w:t>
            </w:r>
          </w:p>
          <w:p w14:paraId="29A7EF10" w14:textId="77777777" w:rsidR="00896468" w:rsidRDefault="00B31E50">
            <w:pPr>
              <w:pStyle w:val="P68B1DB1-TableParagraph13"/>
              <w:spacing w:before="108"/>
            </w:pPr>
            <w:r>
              <w:t>A következő listából választandó: „LEI-kód”, „MPI-kód” vagy „Az azonosító típusa, a LEI- vagy MPI-kód kivételével”.</w:t>
            </w:r>
          </w:p>
          <w:p w14:paraId="7FE1BFDA" w14:textId="77777777" w:rsidR="00896468" w:rsidRDefault="00B31E50">
            <w:pPr>
              <w:pStyle w:val="P68B1DB1-TableParagraph13"/>
              <w:spacing w:before="108"/>
              <w:ind w:left="85"/>
              <w:jc w:val="both"/>
              <w:rPr>
                <w:b/>
                <w:bCs/>
              </w:rPr>
            </w:pPr>
            <w:r>
              <w:t>A gazdálkodó egységek azonosítását a táblákban következetesen kell elvégezni.</w:t>
            </w:r>
          </w:p>
        </w:tc>
      </w:tr>
      <w:tr w:rsidR="00896468"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896468" w:rsidRDefault="00B31E50">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896468" w:rsidRDefault="00B31E50">
            <w:pPr>
              <w:pStyle w:val="P68B1DB1-TableParagraph14"/>
              <w:spacing w:before="108"/>
              <w:ind w:left="85"/>
              <w:jc w:val="both"/>
              <w:rPr>
                <w:bCs/>
              </w:rPr>
            </w:pPr>
            <w:r>
              <w:t>Pénzösszeg</w:t>
            </w:r>
          </w:p>
          <w:p w14:paraId="7FE1BFDE" w14:textId="1B500C1E" w:rsidR="00896468" w:rsidRDefault="00B31E50">
            <w:pPr>
              <w:pStyle w:val="P68B1DB1-TableParagraph17"/>
              <w:spacing w:before="108"/>
              <w:ind w:left="85"/>
            </w:pPr>
            <w:r>
              <w:t xml:space="preserve">A szervezet </w:t>
            </w:r>
            <w:r w:rsidR="00C6353C">
              <w:t>hozzájárulása</w:t>
            </w:r>
            <w:r>
              <w:t xml:space="preserve"> a Z 07.01 (FUNC 1) tábla 0030. oszlopában feltüntetett </w:t>
            </w:r>
            <w:r w:rsidR="00C6353C">
              <w:t>pénzösszeghez</w:t>
            </w:r>
            <w:r>
              <w:t>, összegszerűen megadva.</w:t>
            </w:r>
          </w:p>
          <w:p w14:paraId="7FE1BFDF" w14:textId="77777777" w:rsidR="00896468" w:rsidRDefault="00B31E50">
            <w:pPr>
              <w:pStyle w:val="P68B1DB1-TableParagraph17"/>
              <w:numPr>
                <w:ilvl w:val="0"/>
                <w:numId w:val="64"/>
              </w:numPr>
              <w:spacing w:before="108"/>
            </w:pPr>
            <w:r>
              <w:t>Betétek – Számlaérték</w:t>
            </w:r>
          </w:p>
          <w:p w14:paraId="7FE1BFE0" w14:textId="77777777" w:rsidR="00896468" w:rsidRDefault="00B31E50">
            <w:pPr>
              <w:pStyle w:val="P68B1DB1-TableParagraph17"/>
              <w:numPr>
                <w:ilvl w:val="0"/>
                <w:numId w:val="64"/>
              </w:numPr>
              <w:spacing w:before="108"/>
            </w:pPr>
            <w:r>
              <w:t>Hitelnyújtás – kintlévő érték</w:t>
            </w:r>
          </w:p>
          <w:p w14:paraId="7FE1BFE1" w14:textId="68ED908C" w:rsidR="00896468" w:rsidRDefault="00B31E50">
            <w:pPr>
              <w:pStyle w:val="P68B1DB1-TableParagraph17"/>
              <w:numPr>
                <w:ilvl w:val="0"/>
                <w:numId w:val="64"/>
              </w:numPr>
              <w:spacing w:before="108"/>
            </w:pPr>
            <w:r>
              <w:t>Kifizetések – Az ügyletek/nyitott pozíciók/letéti őrzés alatt álló eszközök értéke (</w:t>
            </w:r>
            <w:r w:rsidR="00C6353C">
              <w:t>adott esetben</w:t>
            </w:r>
            <w:r>
              <w:t>)</w:t>
            </w:r>
          </w:p>
          <w:p w14:paraId="7FE1BFE2" w14:textId="7CCF26CB" w:rsidR="00896468" w:rsidRDefault="00B31E50">
            <w:pPr>
              <w:pStyle w:val="P68B1DB1-TableParagraph17"/>
              <w:numPr>
                <w:ilvl w:val="0"/>
                <w:numId w:val="64"/>
              </w:numPr>
              <w:spacing w:before="108"/>
            </w:pPr>
            <w:r>
              <w:t>Tőkepiacok – Név</w:t>
            </w:r>
            <w:r w:rsidR="00E84F6D">
              <w:t>érték</w:t>
            </w:r>
            <w:r>
              <w:t>/könyv szerinti összeg/díjbevétel (adott esetben)</w:t>
            </w:r>
          </w:p>
          <w:p w14:paraId="7FE1BFE3" w14:textId="32103514" w:rsidR="00896468" w:rsidRDefault="00E84F6D">
            <w:pPr>
              <w:pStyle w:val="P68B1DB1-TableParagraph17"/>
              <w:numPr>
                <w:ilvl w:val="0"/>
                <w:numId w:val="64"/>
              </w:numPr>
              <w:spacing w:before="108"/>
            </w:pPr>
            <w:r>
              <w:t xml:space="preserve">Bankközi </w:t>
            </w:r>
            <w:r w:rsidR="00B31E50">
              <w:t>finanszírozás – Bruttó könyv szerinti érték</w:t>
            </w:r>
          </w:p>
        </w:tc>
      </w:tr>
    </w:tbl>
    <w:p w14:paraId="7FE1BFE5" w14:textId="77777777" w:rsidR="00896468" w:rsidRDefault="00896468">
      <w:pPr>
        <w:rPr>
          <w:rFonts w:ascii="Times New Roman" w:hAnsi="Times New Roman" w:cs="Times New Roman"/>
          <w:color w:val="000000" w:themeColor="text1"/>
          <w:sz w:val="20"/>
          <w:szCs w:val="20"/>
        </w:rPr>
      </w:pPr>
    </w:p>
    <w:p w14:paraId="7FE1BFE6" w14:textId="30C6C61A" w:rsidR="00896468" w:rsidRDefault="00B31E50">
      <w:pPr>
        <w:pStyle w:val="P68B1DB1-Instructionsberschrift25"/>
        <w:numPr>
          <w:ilvl w:val="1"/>
          <w:numId w:val="49"/>
        </w:numPr>
        <w:ind w:left="357" w:hanging="357"/>
      </w:pPr>
      <w:bookmarkStart w:id="125" w:name="_Toc210982883"/>
      <w:r>
        <w:t>Z 07.03 – A fő üzletágak szervezetekhez való hozzárendelése (FUNC 3)</w:t>
      </w:r>
      <w:bookmarkEnd w:id="125"/>
    </w:p>
    <w:p w14:paraId="7FE1BFE7" w14:textId="2A9EA2DA" w:rsidR="00896468" w:rsidRDefault="00B31E50">
      <w:pPr>
        <w:pStyle w:val="P68B1DB1-Instructionsberschrift312"/>
        <w:rPr>
          <w:bCs/>
        </w:rPr>
      </w:pPr>
      <w:r>
        <w:t>A táblák egyes részeire vonatkozó útmutatások</w:t>
      </w:r>
    </w:p>
    <w:p w14:paraId="7FE1BFE8" w14:textId="22DA3D65" w:rsidR="00896468" w:rsidRDefault="00B31E50">
      <w:pPr>
        <w:pStyle w:val="P68B1DB1-InstructionsText26"/>
        <w:numPr>
          <w:ilvl w:val="0"/>
          <w:numId w:val="232"/>
        </w:numPr>
        <w:spacing w:before="0"/>
      </w:pPr>
      <w:r>
        <w:t>Az e tábla 0020. és 0050. oszlopában feltüntetett értékek kombinációja elsődleges kulcsot képez, amelynek a tábla minden sorát egyedileg kell azonosítania.</w:t>
      </w:r>
    </w:p>
    <w:p w14:paraId="7FE1BFE9" w14:textId="29720803" w:rsidR="00896468" w:rsidRDefault="00B31E50">
      <w:pPr>
        <w:pStyle w:val="P68B1DB1-InstructionsText26"/>
        <w:numPr>
          <w:ilvl w:val="0"/>
          <w:numId w:val="232"/>
        </w:numPr>
        <w:spacing w:before="0"/>
      </w:pPr>
      <w:r>
        <w:t xml:space="preserve">Ebben a táblában csak a releváns szervezetek üzletágai szerepelhetnek.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96468"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896468" w:rsidRDefault="00B31E50">
            <w:pPr>
              <w:pStyle w:val="P68B1DB1-TableParagraph17"/>
              <w:spacing w:before="108"/>
              <w:ind w:left="85"/>
              <w:jc w:val="both"/>
            </w:pPr>
            <w:r>
              <w:t>Oszlopok</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896468" w:rsidRDefault="00B31E50">
            <w:pPr>
              <w:pStyle w:val="P68B1DB1-TableParagraph17"/>
              <w:spacing w:before="108"/>
              <w:ind w:left="85" w:right="1"/>
              <w:jc w:val="both"/>
            </w:pPr>
            <w:r>
              <w:t>Útmutató</w:t>
            </w:r>
          </w:p>
        </w:tc>
      </w:tr>
      <w:tr w:rsidR="00896468"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896468" w:rsidRDefault="00B31E50">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896468" w:rsidRDefault="00B31E50">
            <w:pPr>
              <w:pStyle w:val="P68B1DB1-TableParagraph14"/>
              <w:spacing w:before="108"/>
              <w:ind w:left="85"/>
              <w:jc w:val="both"/>
              <w:rPr>
                <w:bCs/>
              </w:rPr>
            </w:pPr>
            <w:r>
              <w:t>Fő üzletág</w:t>
            </w:r>
          </w:p>
        </w:tc>
      </w:tr>
      <w:tr w:rsidR="00896468"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896468" w:rsidRDefault="00B31E50">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896468" w:rsidRDefault="00B31E50">
            <w:pPr>
              <w:pStyle w:val="P68B1DB1-TableParagraph14"/>
              <w:spacing w:before="108"/>
              <w:ind w:left="85"/>
              <w:jc w:val="both"/>
              <w:rPr>
                <w:bCs/>
              </w:rPr>
            </w:pPr>
            <w:r>
              <w:t>Fő üzletág</w:t>
            </w:r>
          </w:p>
          <w:p w14:paraId="7FE1BFF2" w14:textId="65133358" w:rsidR="00896468" w:rsidRDefault="00B31E50">
            <w:pPr>
              <w:pStyle w:val="P68B1DB1-TableParagraph17"/>
              <w:spacing w:before="108"/>
              <w:ind w:left="85"/>
            </w:pPr>
            <w:r>
              <w:t>A 2014/59/EU irányelv 2. cikke (1) bekezdésének 36. pontja és (2) bekezdése szerinti fő üzletágak.</w:t>
            </w:r>
          </w:p>
          <w:p w14:paraId="7FE1BFF3" w14:textId="77777777" w:rsidR="00896468" w:rsidRDefault="00B31E50">
            <w:pPr>
              <w:pStyle w:val="P68B1DB1-TableParagraph17"/>
              <w:spacing w:before="108"/>
              <w:ind w:left="85"/>
            </w:pPr>
            <w:r>
              <w:t>A fő üzletág az alábbiakban felsorolt üzletágak egyike.</w:t>
            </w:r>
          </w:p>
          <w:p w14:paraId="7FE1BFF4" w14:textId="77777777" w:rsidR="00896468" w:rsidRDefault="00B31E50">
            <w:pPr>
              <w:pStyle w:val="P68B1DB1-TableParagraph17"/>
              <w:numPr>
                <w:ilvl w:val="0"/>
                <w:numId w:val="139"/>
              </w:numPr>
              <w:spacing w:before="108"/>
              <w:rPr>
                <w:rFonts w:eastAsiaTheme="minorEastAsia"/>
              </w:rPr>
            </w:pPr>
            <w:r>
              <w:t xml:space="preserve">Lakossági banki szolgáltatások </w:t>
            </w:r>
          </w:p>
          <w:p w14:paraId="7FE1BFF5" w14:textId="77777777" w:rsidR="00896468" w:rsidRDefault="00B31E50">
            <w:pPr>
              <w:pStyle w:val="P68B1DB1-TableParagraph17"/>
              <w:numPr>
                <w:ilvl w:val="0"/>
                <w:numId w:val="139"/>
              </w:numPr>
              <w:spacing w:before="108"/>
            </w:pPr>
            <w:r>
              <w:t>Vállalati banki szolgáltatások</w:t>
            </w:r>
          </w:p>
          <w:p w14:paraId="7FE1BFF6" w14:textId="77777777" w:rsidR="00896468" w:rsidRDefault="00B31E50">
            <w:pPr>
              <w:pStyle w:val="P68B1DB1-TableParagraph17"/>
              <w:numPr>
                <w:ilvl w:val="0"/>
                <w:numId w:val="139"/>
              </w:numPr>
              <w:spacing w:before="108"/>
            </w:pPr>
            <w:r>
              <w:t xml:space="preserve">Befektetési banki tevékenység </w:t>
            </w:r>
          </w:p>
          <w:p w14:paraId="7FE1BFF7" w14:textId="77777777" w:rsidR="00896468" w:rsidRDefault="00B31E50">
            <w:pPr>
              <w:pStyle w:val="P68B1DB1-TableParagraph17"/>
              <w:numPr>
                <w:ilvl w:val="0"/>
                <w:numId w:val="139"/>
              </w:numPr>
              <w:spacing w:before="108"/>
            </w:pPr>
            <w:r>
              <w:t>Biztosítás</w:t>
            </w:r>
          </w:p>
          <w:p w14:paraId="7FE1BFF8" w14:textId="77777777" w:rsidR="00896468" w:rsidRDefault="00B31E50">
            <w:pPr>
              <w:pStyle w:val="P68B1DB1-TableParagraph17"/>
              <w:numPr>
                <w:ilvl w:val="0"/>
                <w:numId w:val="139"/>
              </w:numPr>
              <w:spacing w:before="108"/>
            </w:pPr>
            <w:r>
              <w:lastRenderedPageBreak/>
              <w:t>Viszontbiztosítás</w:t>
            </w:r>
          </w:p>
          <w:p w14:paraId="7FE1BFF9" w14:textId="77777777" w:rsidR="00896468" w:rsidRDefault="00B31E50">
            <w:pPr>
              <w:pStyle w:val="P68B1DB1-TableParagraph17"/>
              <w:numPr>
                <w:ilvl w:val="0"/>
                <w:numId w:val="139"/>
              </w:numPr>
              <w:spacing w:before="108"/>
            </w:pPr>
            <w:r>
              <w:t>Lakossági közvetítői tevékenység</w:t>
            </w:r>
          </w:p>
          <w:p w14:paraId="7FE1BFFA" w14:textId="77777777" w:rsidR="00896468" w:rsidRDefault="00B31E50">
            <w:pPr>
              <w:pStyle w:val="P68B1DB1-TableParagraph17"/>
              <w:numPr>
                <w:ilvl w:val="0"/>
                <w:numId w:val="139"/>
              </w:numPr>
              <w:spacing w:before="108"/>
            </w:pPr>
            <w:r>
              <w:t xml:space="preserve">Vagyonkezelés </w:t>
            </w:r>
          </w:p>
          <w:p w14:paraId="7FE1BFFB" w14:textId="77777777" w:rsidR="00896468" w:rsidRDefault="00B31E50">
            <w:pPr>
              <w:pStyle w:val="P68B1DB1-TableParagraph17"/>
              <w:numPr>
                <w:ilvl w:val="0"/>
                <w:numId w:val="139"/>
              </w:numPr>
              <w:spacing w:before="108"/>
            </w:pPr>
            <w:r>
              <w:t>Ingatlanügynökség</w:t>
            </w:r>
          </w:p>
          <w:p w14:paraId="7FE1BFFC" w14:textId="32D11982" w:rsidR="00896468" w:rsidRDefault="00C6353C">
            <w:pPr>
              <w:pStyle w:val="P68B1DB1-TableParagraph17"/>
              <w:numPr>
                <w:ilvl w:val="0"/>
                <w:numId w:val="139"/>
              </w:numPr>
              <w:spacing w:before="108"/>
            </w:pPr>
            <w:r>
              <w:t>Számvitel</w:t>
            </w:r>
          </w:p>
          <w:p w14:paraId="7FE1BFFD" w14:textId="77777777" w:rsidR="00896468" w:rsidRDefault="00B31E50">
            <w:pPr>
              <w:pStyle w:val="P68B1DB1-TableParagraph17"/>
              <w:numPr>
                <w:ilvl w:val="0"/>
                <w:numId w:val="139"/>
              </w:numPr>
              <w:spacing w:before="108"/>
            </w:pPr>
            <w:r>
              <w:t>Egyéb</w:t>
            </w:r>
          </w:p>
          <w:p w14:paraId="7FE1BFFE" w14:textId="77777777" w:rsidR="00896468" w:rsidRDefault="00896468">
            <w:pPr>
              <w:pStyle w:val="TableParagraph"/>
              <w:spacing w:before="108"/>
              <w:ind w:left="85"/>
              <w:rPr>
                <w:rFonts w:ascii="Times New Roman" w:eastAsia="Cambria" w:hAnsi="Times New Roman" w:cs="Times New Roman"/>
                <w:color w:val="000000" w:themeColor="text1"/>
                <w:sz w:val="20"/>
                <w:szCs w:val="20"/>
              </w:rPr>
            </w:pPr>
          </w:p>
        </w:tc>
      </w:tr>
      <w:tr w:rsidR="00896468"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896468" w:rsidRDefault="00B31E50">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896468" w:rsidRDefault="00B31E50">
            <w:pPr>
              <w:pStyle w:val="P68B1DB1-TableParagraph14"/>
              <w:spacing w:before="108"/>
              <w:ind w:left="85"/>
              <w:jc w:val="both"/>
              <w:rPr>
                <w:bCs/>
              </w:rPr>
            </w:pPr>
            <w:r>
              <w:t>Üzletág azonosítója</w:t>
            </w:r>
          </w:p>
          <w:p w14:paraId="7FE1C002" w14:textId="77777777" w:rsidR="00896468" w:rsidRDefault="00B31E50">
            <w:pPr>
              <w:pStyle w:val="P68B1DB1-TableParagraph17"/>
              <w:spacing w:before="108"/>
              <w:ind w:left="85"/>
            </w:pPr>
            <w:r>
              <w:t>Az üzletág intézmény által adott egyedi azonosítója.</w:t>
            </w:r>
          </w:p>
        </w:tc>
      </w:tr>
      <w:tr w:rsidR="00896468"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896468" w:rsidRDefault="00B31E50">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896468" w:rsidRDefault="00B31E50">
            <w:pPr>
              <w:pStyle w:val="P68B1DB1-TableParagraph14"/>
              <w:spacing w:before="108"/>
              <w:ind w:left="85"/>
              <w:jc w:val="both"/>
              <w:rPr>
                <w:bCs/>
              </w:rPr>
            </w:pPr>
            <w:r>
              <w:t>Leírás</w:t>
            </w:r>
          </w:p>
          <w:p w14:paraId="7FE1C015" w14:textId="477A2340" w:rsidR="00896468" w:rsidRDefault="00B31E50">
            <w:pPr>
              <w:pStyle w:val="P68B1DB1-TableParagraph17"/>
              <w:spacing w:before="108"/>
              <w:ind w:left="85"/>
            </w:pPr>
            <w:r>
              <w:t>A üzletág leírása.</w:t>
            </w:r>
          </w:p>
        </w:tc>
      </w:tr>
      <w:tr w:rsidR="00896468"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896468" w:rsidRDefault="00B31E50">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896468" w:rsidRDefault="00B31E50">
            <w:pPr>
              <w:pStyle w:val="P68B1DB1-TableParagraph14"/>
              <w:spacing w:before="108"/>
              <w:ind w:left="85"/>
              <w:jc w:val="both"/>
              <w:rPr>
                <w:bCs/>
              </w:rPr>
            </w:pPr>
            <w:r>
              <w:t>Szervezet neve</w:t>
            </w:r>
          </w:p>
          <w:p w14:paraId="7FE1C02D" w14:textId="45109CE8" w:rsidR="00896468" w:rsidRDefault="00B31E50">
            <w:pPr>
              <w:pStyle w:val="P68B1DB1-TableParagraph17"/>
              <w:spacing w:before="108"/>
              <w:ind w:left="85"/>
            </w:pPr>
            <w:r>
              <w:t>Azon szervezet Z 01.01 (ORG 1) táblában feltüntetett neve, amely a üzletágot nyújtja.</w:t>
            </w:r>
          </w:p>
        </w:tc>
      </w:tr>
      <w:tr w:rsidR="00896468"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896468" w:rsidRDefault="00B31E50">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896468" w:rsidRDefault="00B31E50">
            <w:pPr>
              <w:pStyle w:val="P68B1DB1-TableParagraph14"/>
              <w:spacing w:before="108"/>
              <w:ind w:left="85"/>
              <w:jc w:val="both"/>
              <w:rPr>
                <w:bCs/>
              </w:rPr>
            </w:pPr>
            <w:r>
              <w:t xml:space="preserve">Kód </w:t>
            </w:r>
          </w:p>
          <w:p w14:paraId="7FE1C031" w14:textId="77777777" w:rsidR="00896468" w:rsidRDefault="00B31E50">
            <w:pPr>
              <w:pStyle w:val="P68B1DB1-TableParagraph17"/>
              <w:spacing w:before="108"/>
              <w:ind w:left="85"/>
            </w:pPr>
            <w:r>
              <w:t>A 0020. oszlopban feltüntetett szervezet Z 01.01 (ORG 1) tábla szerinti egyedi azonosítója.</w:t>
            </w:r>
          </w:p>
          <w:p w14:paraId="7FE1C032" w14:textId="299C7D7B" w:rsidR="00896468" w:rsidRDefault="00B31E50">
            <w:pPr>
              <w:pStyle w:val="P68B1DB1-TableParagraph17"/>
              <w:spacing w:before="108"/>
              <w:ind w:left="85"/>
            </w:pPr>
            <w:r>
              <w:t>A gazdálkodó egységek azonosítását a táblákban következetesen kell elvégezni.</w:t>
            </w:r>
          </w:p>
        </w:tc>
      </w:tr>
      <w:tr w:rsidR="00896468"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896468" w:rsidRDefault="00B31E50">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896468" w:rsidRDefault="00B31E50">
            <w:pPr>
              <w:pStyle w:val="P68B1DB1-TableParagraph14"/>
              <w:spacing w:before="108"/>
              <w:ind w:left="85"/>
              <w:jc w:val="both"/>
              <w:rPr>
                <w:bCs/>
              </w:rPr>
            </w:pPr>
            <w:r>
              <w:t>Kód típusa</w:t>
            </w:r>
          </w:p>
          <w:p w14:paraId="4F36B5CB" w14:textId="0A20F8AD" w:rsidR="00896468" w:rsidRDefault="00B31E50">
            <w:pPr>
              <w:pStyle w:val="P68B1DB1-TableParagraph13"/>
              <w:spacing w:before="108"/>
              <w:ind w:left="85"/>
              <w:jc w:val="both"/>
              <w:rPr>
                <w:bCs/>
              </w:rPr>
            </w:pPr>
            <w:r>
              <w:t>A következő listából választandó: „LEI-kód”, „MPI-kód” vagy „Az azonosító típusa, a LEI- vagy MPI-kód kivételével”.</w:t>
            </w:r>
          </w:p>
          <w:p w14:paraId="7FE1C039" w14:textId="5BB46896" w:rsidR="00896468" w:rsidRDefault="00B31E50">
            <w:pPr>
              <w:pStyle w:val="P68B1DB1-TableParagraph13"/>
              <w:spacing w:before="108"/>
              <w:ind w:left="85"/>
              <w:jc w:val="both"/>
              <w:rPr>
                <w:b/>
                <w:bCs/>
              </w:rPr>
            </w:pPr>
            <w:r>
              <w:t xml:space="preserve">A gazdálkodó egységek azonosítását a táblákban következetesen kell elvégezni. </w:t>
            </w:r>
          </w:p>
        </w:tc>
      </w:tr>
    </w:tbl>
    <w:p w14:paraId="7FE1C03B" w14:textId="7E256DE6" w:rsidR="00896468" w:rsidRDefault="00B31E50">
      <w:pPr>
        <w:pStyle w:val="P68B1DB1-Instructionsberschrift25"/>
        <w:numPr>
          <w:ilvl w:val="1"/>
          <w:numId w:val="49"/>
        </w:numPr>
        <w:ind w:left="357" w:hanging="357"/>
      </w:pPr>
      <w:bookmarkStart w:id="126" w:name="_Toc210982884"/>
      <w:r>
        <w:t>Z 07.04 – A kritikus funkciók fő üzletágakhoz való hozzárendelése (FUNC 4)</w:t>
      </w:r>
      <w:bookmarkEnd w:id="126"/>
    </w:p>
    <w:p w14:paraId="7FE1C03C" w14:textId="77777777" w:rsidR="00896468" w:rsidRDefault="00B31E50">
      <w:pPr>
        <w:pStyle w:val="P68B1DB1-Instructionsberschrift312"/>
        <w:rPr>
          <w:bCs/>
        </w:rPr>
      </w:pPr>
      <w:r>
        <w:t>A táblák egyes részeire vonatkozó útmutatások</w:t>
      </w:r>
    </w:p>
    <w:p w14:paraId="7FE1C03E" w14:textId="1250AC76" w:rsidR="00896468" w:rsidRDefault="00B31E50">
      <w:pPr>
        <w:pStyle w:val="P68B1DB1-InstructionsText26"/>
        <w:numPr>
          <w:ilvl w:val="0"/>
          <w:numId w:val="0"/>
        </w:numPr>
        <w:spacing w:before="0"/>
        <w:ind w:left="1800"/>
      </w:pPr>
      <w:r>
        <w:t>Az e tábla 0010., 0020. és 0040. oszlopában feltüntetett értékek kombinációja elsődleges kulcsot képez, amelynek a tábla minden sorát egyedileg kell azonosítania.</w:t>
      </w:r>
    </w:p>
    <w:p w14:paraId="551E6859" w14:textId="77777777" w:rsidR="00DE2BBB" w:rsidRPr="00DE2BBB" w:rsidRDefault="00DE2BBB" w:rsidP="00DE2BBB">
      <w:pPr>
        <w:pStyle w:val="CommentText"/>
        <w:rPr>
          <w:rFonts w:ascii="Times New Roman" w:hAnsi="Times New Roman" w:cs="Times New Roman"/>
          <w:lang w:val="hu-HU"/>
        </w:rPr>
      </w:pPr>
      <w:r w:rsidRPr="00DE2BBB">
        <w:rPr>
          <w:rFonts w:ascii="Times New Roman" w:hAnsi="Times New Roman" w:cs="Times New Roman"/>
          <w:lang w:val="hu-HU"/>
        </w:rPr>
        <w:t>Ebben a sablonban csak a { Z 07.01.1 FUNC 1 DEP; c0170; Z 07.01.2 FUNC 1 LEN, c0180; Z 07.01.3 FUNC 1 PAY, c0250; Z 07.01.4 FUNC 1 CM, c0210; Z 07.01.5 FUNC 1 WF, c0180} } } pontban meghatározott kritikus funkciókat kell jelenteni.</w:t>
      </w:r>
    </w:p>
    <w:p w14:paraId="118E509C" w14:textId="77777777" w:rsidR="00DE2BBB" w:rsidRDefault="00DE2BBB">
      <w:pPr>
        <w:pStyle w:val="CommentText"/>
        <w:rPr>
          <w:rFonts w:ascii="Times New Roman" w:hAnsi="Times New Roman" w:cs="Times New Roman"/>
        </w:rPr>
      </w:pPr>
    </w:p>
    <w:p w14:paraId="7FE1C040" w14:textId="77777777" w:rsidR="00896468" w:rsidRDefault="00896468">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96468"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896468" w:rsidRDefault="00B31E50">
            <w:pPr>
              <w:pStyle w:val="P68B1DB1-TableParagraph17"/>
              <w:spacing w:before="108"/>
              <w:ind w:left="85"/>
              <w:jc w:val="both"/>
            </w:pPr>
            <w:r>
              <w:t>Oszlopok</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896468" w:rsidRDefault="00B31E50">
            <w:pPr>
              <w:pStyle w:val="P68B1DB1-TableParagraph17"/>
              <w:spacing w:before="108"/>
              <w:ind w:left="85" w:right="1"/>
              <w:jc w:val="both"/>
            </w:pPr>
            <w:r>
              <w:t>Útmutató</w:t>
            </w:r>
          </w:p>
        </w:tc>
      </w:tr>
      <w:tr w:rsidR="00896468"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896468" w:rsidRDefault="00B31E50">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896468" w:rsidRDefault="00B31E50">
            <w:pPr>
              <w:pStyle w:val="P68B1DB1-TableParagraph14"/>
              <w:spacing w:before="108"/>
              <w:ind w:left="85"/>
              <w:jc w:val="both"/>
              <w:rPr>
                <w:bCs/>
              </w:rPr>
            </w:pPr>
            <w:r>
              <w:t xml:space="preserve"> Kritikus funkció</w:t>
            </w:r>
          </w:p>
        </w:tc>
      </w:tr>
      <w:tr w:rsidR="00896468"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896468" w:rsidRDefault="00B31E50">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896468" w:rsidRDefault="00B31E50">
            <w:pPr>
              <w:pStyle w:val="P68B1DB1-TableParagraph14"/>
              <w:spacing w:before="108"/>
              <w:ind w:left="85"/>
              <w:jc w:val="both"/>
              <w:rPr>
                <w:bCs/>
              </w:rPr>
            </w:pPr>
            <w:r>
              <w:t>Ország</w:t>
            </w:r>
          </w:p>
          <w:p w14:paraId="7FE1C049" w14:textId="77777777" w:rsidR="00896468" w:rsidRDefault="00B31E50">
            <w:pPr>
              <w:pStyle w:val="P68B1DB1-TableParagraph17"/>
              <w:spacing w:before="108"/>
              <w:ind w:left="85"/>
            </w:pPr>
            <w:r>
              <w:t>Az ország, amelynek tekintetében a funkció kritikus, a Z 07.01 (FUNC 1) táblában megadottak szerint.</w:t>
            </w:r>
          </w:p>
        </w:tc>
      </w:tr>
      <w:tr w:rsidR="00896468"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896468" w:rsidRDefault="00B31E50">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896468" w:rsidRDefault="00B31E50">
            <w:pPr>
              <w:pStyle w:val="P68B1DB1-TableParagraph14"/>
              <w:spacing w:before="108"/>
              <w:ind w:left="85"/>
              <w:jc w:val="both"/>
              <w:rPr>
                <w:bCs/>
              </w:rPr>
            </w:pPr>
            <w:r>
              <w:t>﻿AZONOSÍTÓ﻿</w:t>
            </w:r>
          </w:p>
          <w:p w14:paraId="7FE1C04D" w14:textId="4D9D2A77" w:rsidR="00896468" w:rsidRDefault="00B31E50">
            <w:pPr>
              <w:pStyle w:val="P68B1DB1-TableParagraph17"/>
              <w:spacing w:before="108"/>
              <w:ind w:left="85"/>
            </w:pPr>
            <w:r>
              <w:t>A Z 07.01 (FUNC 1) táblában említett kritikus funkciók azonosítója.</w:t>
            </w:r>
          </w:p>
        </w:tc>
      </w:tr>
      <w:tr w:rsidR="00896468"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896468" w:rsidRDefault="00B31E50">
            <w:pPr>
              <w:pStyle w:val="P68B1DB1-TableParagraph13"/>
              <w:spacing w:before="108"/>
              <w:ind w:left="85"/>
            </w:pPr>
            <w:r>
              <w:lastRenderedPageBreak/>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896468" w:rsidRDefault="00B31E50">
            <w:pPr>
              <w:pStyle w:val="P68B1DB1-TableParagraph14"/>
              <w:spacing w:before="108"/>
              <w:ind w:left="85"/>
              <w:jc w:val="both"/>
              <w:rPr>
                <w:bCs/>
              </w:rPr>
            </w:pPr>
            <w:r>
              <w:t>Fő üzletág</w:t>
            </w:r>
          </w:p>
        </w:tc>
      </w:tr>
      <w:tr w:rsidR="00896468"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896468" w:rsidRDefault="00B31E50">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896468" w:rsidRDefault="00B31E50">
            <w:pPr>
              <w:pStyle w:val="P68B1DB1-TableParagraph14"/>
              <w:spacing w:before="108"/>
              <w:ind w:left="85"/>
              <w:jc w:val="both"/>
              <w:rPr>
                <w:bCs/>
              </w:rPr>
            </w:pPr>
            <w:r>
              <w:t>Fő üzletág</w:t>
            </w:r>
          </w:p>
          <w:p w14:paraId="7FE1C056" w14:textId="77777777" w:rsidR="00896468" w:rsidRDefault="00B31E50">
            <w:pPr>
              <w:pStyle w:val="P68B1DB1-TableParagraph17"/>
              <w:spacing w:before="108"/>
              <w:ind w:left="85"/>
            </w:pPr>
            <w:r>
              <w:t>A 2014/59/EU irányelv 2. cikke (1) bekezdésének 36. pontja és (2) bekezdése szerinti, a Z 07.03 (FUNC 3) táblában feltüntetett fő üzletág.</w:t>
            </w:r>
          </w:p>
        </w:tc>
      </w:tr>
      <w:tr w:rsidR="00896468"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896468" w:rsidRDefault="00B31E50">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896468" w:rsidRDefault="00B31E50">
            <w:pPr>
              <w:pStyle w:val="P68B1DB1-TableParagraph14"/>
              <w:spacing w:before="108"/>
              <w:ind w:left="85"/>
              <w:jc w:val="both"/>
              <w:rPr>
                <w:bCs/>
              </w:rPr>
            </w:pPr>
            <w:r>
              <w:t>Üzletág: Üzletág azonosítója</w:t>
            </w:r>
          </w:p>
          <w:p w14:paraId="7FE1C05A" w14:textId="77777777" w:rsidR="00896468" w:rsidRDefault="00B31E50">
            <w:pPr>
              <w:pStyle w:val="P68B1DB1-TableParagraph17"/>
              <w:spacing w:before="108"/>
              <w:ind w:left="85"/>
            </w:pPr>
            <w:r>
              <w:t>Az üzletág intézmény által adott egyedi azonosítója; a Z 07.03 (FUNC 3) táblában feltüntetettel megegyező azonosító.</w:t>
            </w:r>
          </w:p>
        </w:tc>
      </w:tr>
    </w:tbl>
    <w:p w14:paraId="7FE1C222" w14:textId="77777777" w:rsidR="00896468" w:rsidRDefault="00896468">
      <w:pPr>
        <w:rPr>
          <w:rFonts w:ascii="Times New Roman" w:hAnsi="Times New Roman" w:cs="Times New Roman"/>
          <w:b/>
          <w:color w:val="000000" w:themeColor="text1"/>
          <w:sz w:val="20"/>
          <w:szCs w:val="20"/>
          <w:u w:val="single"/>
        </w:rPr>
      </w:pPr>
    </w:p>
    <w:p w14:paraId="7FE1C223" w14:textId="6264C0C9" w:rsidR="00896468" w:rsidRDefault="007D541C">
      <w:pPr>
        <w:pStyle w:val="P68B1DB1-Instructionsberschrift244"/>
        <w:numPr>
          <w:ilvl w:val="1"/>
          <w:numId w:val="49"/>
        </w:numPr>
        <w:ind w:left="357" w:hanging="357"/>
      </w:pPr>
      <w:bookmarkStart w:id="127" w:name="_Toc210982885"/>
      <w:r>
        <w:t xml:space="preserve">Releváns </w:t>
      </w:r>
      <w:r w:rsidR="00B31E50">
        <w:t>szolgáltatások</w:t>
      </w:r>
      <w:bookmarkEnd w:id="127"/>
    </w:p>
    <w:p w14:paraId="7FE1C224" w14:textId="70045BAA" w:rsidR="00896468" w:rsidRDefault="00B31E50">
      <w:pPr>
        <w:pStyle w:val="P68B1DB1-Instructionsberschrift25"/>
        <w:numPr>
          <w:ilvl w:val="1"/>
          <w:numId w:val="49"/>
        </w:numPr>
        <w:ind w:left="357" w:hanging="357"/>
        <w:rPr>
          <w:rFonts w:eastAsia="Calibri"/>
        </w:rPr>
      </w:pPr>
      <w:bookmarkStart w:id="128" w:name="_Toc210982886"/>
      <w:r>
        <w:t>Z 08.01 – Releváns szolgáltatások (SERV 1)</w:t>
      </w:r>
      <w:bookmarkEnd w:id="128"/>
      <w:r>
        <w:t xml:space="preserve"> </w:t>
      </w:r>
    </w:p>
    <w:p w14:paraId="7FE1C225" w14:textId="77777777" w:rsidR="00896468" w:rsidRDefault="00B31E50">
      <w:pPr>
        <w:pStyle w:val="P68B1DB1-Normal45"/>
        <w:spacing w:line="276" w:lineRule="auto"/>
        <w:jc w:val="both"/>
      </w:pPr>
      <w:r>
        <w:t>II.8.1. Általános utasítások</w:t>
      </w:r>
    </w:p>
    <w:p w14:paraId="7FE1C226" w14:textId="77777777" w:rsidR="00896468" w:rsidRDefault="00896468">
      <w:pPr>
        <w:spacing w:line="276" w:lineRule="auto"/>
        <w:jc w:val="both"/>
        <w:rPr>
          <w:rFonts w:ascii="Times New Roman" w:eastAsia="Calibri" w:hAnsi="Times New Roman" w:cs="Times New Roman"/>
          <w:sz w:val="20"/>
        </w:rPr>
      </w:pPr>
    </w:p>
    <w:p w14:paraId="7FE1C228" w14:textId="71B6C874" w:rsidR="00896468" w:rsidRDefault="00B31E50">
      <w:pPr>
        <w:pStyle w:val="P68B1DB1-Instructionsberschrift346"/>
        <w:numPr>
          <w:ilvl w:val="4"/>
          <w:numId w:val="49"/>
        </w:numPr>
        <w:ind w:left="928"/>
        <w:contextualSpacing/>
        <w:jc w:val="both"/>
        <w:rPr>
          <w:color w:val="auto"/>
        </w:rPr>
      </w:pPr>
      <w:r>
        <w:t>Az e táblában feltüntetendő információkat a csoport egészére vonatkozóan egyszer kell jelenteni.</w:t>
      </w:r>
      <w:r w:rsidR="00C65E78">
        <w:t xml:space="preserve"> </w:t>
      </w:r>
      <w:r>
        <w:t xml:space="preserve">A tábla a csoporthoz tartozó bármely szervezet által igénybe vett </w:t>
      </w:r>
      <w:r w:rsidR="0071678A">
        <w:t xml:space="preserve">releváns </w:t>
      </w:r>
      <w:r>
        <w:rPr>
          <w:color w:val="auto"/>
        </w:rPr>
        <w:t xml:space="preserve">szolgáltatásokat </w:t>
      </w:r>
      <w:r>
        <w:t xml:space="preserve">sorolja fel </w:t>
      </w:r>
      <w:r>
        <w:rPr>
          <w:color w:val="auto"/>
        </w:rPr>
        <w:t xml:space="preserve">és kapcsolja a csoport által </w:t>
      </w:r>
      <w:r>
        <w:t>biztosított kritikus funkciókhoz</w:t>
      </w:r>
      <w:r w:rsidR="0071678A">
        <w:t xml:space="preserve"> és fő üzletágakhoz</w:t>
      </w:r>
      <w:r>
        <w:t>.</w:t>
      </w:r>
    </w:p>
    <w:p w14:paraId="7FE1C229" w14:textId="0C34F37E" w:rsidR="00896468" w:rsidRDefault="007D541C">
      <w:pPr>
        <w:pStyle w:val="Instructionsberschrift3"/>
        <w:ind w:left="928"/>
        <w:contextualSpacing/>
        <w:jc w:val="both"/>
        <w:rPr>
          <w:rFonts w:eastAsia="MS Mincho"/>
          <w:color w:val="auto"/>
          <w:u w:val="none"/>
        </w:rPr>
      </w:pPr>
      <w:r>
        <w:rPr>
          <w:rFonts w:eastAsia="Calibri"/>
          <w:b/>
          <w:color w:val="auto"/>
          <w:u w:val="none"/>
        </w:rPr>
        <w:t xml:space="preserve">Releváns </w:t>
      </w:r>
      <w:r w:rsidR="00B31E50">
        <w:rPr>
          <w:rFonts w:eastAsia="Calibri"/>
          <w:b/>
          <w:color w:val="auto"/>
          <w:u w:val="none"/>
        </w:rPr>
        <w:t>szolgáltatások</w:t>
      </w:r>
      <w:r w:rsidR="00B31E50">
        <w:rPr>
          <w:rStyle w:val="FootnoteReference"/>
          <w:rFonts w:ascii="Times New Roman" w:eastAsia="Calibri" w:hAnsi="Times New Roman"/>
          <w:color w:val="auto"/>
          <w:sz w:val="20"/>
          <w:szCs w:val="20"/>
          <w:u w:val="none"/>
        </w:rPr>
        <w:footnoteReference w:id="21"/>
      </w:r>
      <w:r w:rsidR="00B31E50">
        <w:rPr>
          <w:rFonts w:eastAsia="Calibri"/>
          <w:color w:val="auto"/>
          <w:u w:val="none"/>
        </w:rPr>
        <w:t>: kritikus és alapvető szolgáltatások</w:t>
      </w:r>
    </w:p>
    <w:p w14:paraId="7FE1C22A" w14:textId="3273CDA0" w:rsidR="00896468" w:rsidRDefault="00B31E50">
      <w:pPr>
        <w:pStyle w:val="P68B1DB1-Instructionsberschrift347"/>
        <w:ind w:left="928"/>
        <w:contextualSpacing/>
        <w:jc w:val="both"/>
        <w:rPr>
          <w:rFonts w:eastAsia="MS Mincho"/>
        </w:rPr>
      </w:pPr>
      <w:r>
        <w:rPr>
          <w:rFonts w:eastAsia="Calibri"/>
          <w:b/>
        </w:rPr>
        <w:t>Kritikus szolgáltatások</w:t>
      </w:r>
      <w:r w:rsidRPr="00C46908">
        <w:rPr>
          <w:vertAlign w:val="superscript"/>
        </w:rPr>
        <w:footnoteReference w:id="22"/>
      </w:r>
      <w:r>
        <w:t xml:space="preserve">: a csoport azon üzleti egységei vagy szervezetei számára nyújtott szolgáltatások, i. amelyek folytonosságának megszűnése súlyosan akadályozná vagy </w:t>
      </w:r>
      <w:r w:rsidR="0071678A">
        <w:t>meg</w:t>
      </w:r>
      <w:r>
        <w:t>akadályozná egy vagy több kritikus funkció ellátását; és ii. amelyeket egy másik szolgáltató észszerű időn belül nem tud a célját, minőségét és költségét tekintve hasonló mértékben biztosítani.</w:t>
      </w:r>
    </w:p>
    <w:p w14:paraId="7FE1C22B" w14:textId="48A78247" w:rsidR="00896468" w:rsidRDefault="00B31E50">
      <w:pPr>
        <w:pStyle w:val="Instructionsberschrift3"/>
        <w:ind w:left="928"/>
        <w:contextualSpacing/>
        <w:jc w:val="both"/>
        <w:rPr>
          <w:rFonts w:eastAsia="MS Mincho"/>
          <w:color w:val="auto"/>
          <w:u w:val="none"/>
        </w:rPr>
      </w:pPr>
      <w:r>
        <w:rPr>
          <w:b/>
          <w:u w:val="none"/>
        </w:rPr>
        <w:t>Alapvető szolgáltatások</w:t>
      </w:r>
      <w:r>
        <w:rPr>
          <w:u w:val="none"/>
        </w:rPr>
        <w:t>: A fő üzletágakhoz kapcsolódó szolgáltatások</w:t>
      </w:r>
      <w:r w:rsidRPr="00C46908">
        <w:rPr>
          <w:u w:val="none"/>
          <w:vertAlign w:val="superscript"/>
        </w:rPr>
        <w:footnoteReference w:id="23"/>
      </w:r>
      <w:r>
        <w:rPr>
          <w:u w:val="none"/>
        </w:rPr>
        <w:t>, amelyek folytonossága szükséges a szanálási stratégia hatékony végrehajtásához és az ebből következő szerkezetátalakításhoz,</w:t>
      </w:r>
      <w:r w:rsidR="0071678A">
        <w:rPr>
          <w:u w:val="none"/>
        </w:rPr>
        <w:t xml:space="preserve"> és</w:t>
      </w:r>
      <w:r>
        <w:rPr>
          <w:u w:val="none"/>
        </w:rPr>
        <w:t xml:space="preserve"> i. amelyek megszűnése súlyosan akadályozná vagy </w:t>
      </w:r>
      <w:r w:rsidR="0071678A">
        <w:rPr>
          <w:u w:val="none"/>
        </w:rPr>
        <w:t>meg</w:t>
      </w:r>
      <w:r>
        <w:rPr>
          <w:u w:val="none"/>
        </w:rPr>
        <w:t>akadályozná e fő üzletágak teljesítményét; és ii. amelyeket egy másik szolgáltató észszerű időn belül nem tud a célját, minőségét és költségét tekintve hasonló mértékben biztosítani.</w:t>
      </w:r>
      <w:r>
        <w:rPr>
          <w:rStyle w:val="FootnoteReference"/>
          <w:rFonts w:ascii="Times New Roman" w:eastAsia="Calibri" w:hAnsi="Times New Roman"/>
          <w:color w:val="auto"/>
          <w:sz w:val="20"/>
          <w:szCs w:val="20"/>
          <w:u w:val="none"/>
        </w:rPr>
        <w:footnoteReference w:id="24"/>
      </w:r>
    </w:p>
    <w:p w14:paraId="7FE1C22C" w14:textId="494B20BF" w:rsidR="00896468" w:rsidRDefault="00B31E50">
      <w:pPr>
        <w:pStyle w:val="P68B1DB1-Instructionsberschrift348"/>
        <w:numPr>
          <w:ilvl w:val="4"/>
          <w:numId w:val="49"/>
        </w:numPr>
        <w:ind w:left="928"/>
        <w:contextualSpacing/>
        <w:jc w:val="both"/>
        <w:rPr>
          <w:color w:val="auto"/>
        </w:rPr>
      </w:pPr>
      <w:r>
        <w:t xml:space="preserve">Az </w:t>
      </w:r>
      <w:r>
        <w:rPr>
          <w:color w:val="auto"/>
        </w:rPr>
        <w:t>(EU) 2016/778 felhatalmazáson alapuló bizottsági rendelet (8) preambulumbekezdése szerint, amely a kritikus szolgáltatásokra vonatkozik, és amelyet analógia útján a fent meghatározott alapvető szolgáltatásokra is alkalmazni kell, a</w:t>
      </w:r>
      <w:r w:rsidR="007D541C">
        <w:rPr>
          <w:color w:val="auto"/>
        </w:rPr>
        <w:t xml:space="preserve"> releváns</w:t>
      </w:r>
      <w:r>
        <w:rPr>
          <w:color w:val="auto"/>
        </w:rPr>
        <w:t xml:space="preserve"> </w:t>
      </w:r>
      <w:r>
        <w:t>szolgáltatások a csoporton belüli egy (</w:t>
      </w:r>
      <w:r w:rsidR="0071678A" w:rsidRPr="0071678A">
        <w:t>meghatározott félnek nyújtott szolgáltatások</w:t>
      </w:r>
      <w:r>
        <w:t xml:space="preserve">) vagy több üzleti egység vagy jogi személy (megosztott szolgáltatások) számára végzett azon </w:t>
      </w:r>
      <w:r w:rsidR="0071678A">
        <w:t>alap</w:t>
      </w:r>
      <w:r>
        <w:t xml:space="preserve">műveleteket, </w:t>
      </w:r>
      <w:r w:rsidR="0071678A">
        <w:t>-</w:t>
      </w:r>
      <w:r>
        <w:t xml:space="preserve">tevékenységeket és </w:t>
      </w:r>
      <w:r w:rsidR="0071678A">
        <w:t>-</w:t>
      </w:r>
      <w:r>
        <w:t>szolgáltatásokat jelentik, amelyek</w:t>
      </w:r>
      <w:r w:rsidR="0071678A">
        <w:t>re</w:t>
      </w:r>
      <w:r>
        <w:t xml:space="preserve"> egy vagy több kritikus funkció </w:t>
      </w:r>
      <w:r>
        <w:rPr>
          <w:color w:val="auto"/>
        </w:rPr>
        <w:t xml:space="preserve">vagy fő üzletág ellátásához </w:t>
      </w:r>
      <w:r w:rsidR="0071678A">
        <w:rPr>
          <w:color w:val="auto"/>
        </w:rPr>
        <w:t>szükség van</w:t>
      </w:r>
      <w:r>
        <w:rPr>
          <w:color w:val="auto"/>
        </w:rPr>
        <w:t>. A</w:t>
      </w:r>
      <w:r w:rsidR="007D541C">
        <w:rPr>
          <w:color w:val="auto"/>
        </w:rPr>
        <w:t xml:space="preserve"> releváns</w:t>
      </w:r>
      <w:r>
        <w:rPr>
          <w:color w:val="auto"/>
        </w:rPr>
        <w:t xml:space="preserve"> </w:t>
      </w:r>
      <w:r>
        <w:t xml:space="preserve">szolgáltatásokat az </w:t>
      </w:r>
      <w:r>
        <w:rPr>
          <w:color w:val="auto"/>
        </w:rPr>
        <w:t xml:space="preserve">egyik üzleti egység nyújthatja ugyanannak a jogi személynek egy másik üzleti egysége számára </w:t>
      </w:r>
      <w:r>
        <w:t>(</w:t>
      </w:r>
      <w:r>
        <w:rPr>
          <w:color w:val="auto"/>
        </w:rPr>
        <w:t>szervezeten belüli szolgáltatás),</w:t>
      </w:r>
      <w:r>
        <w:t xml:space="preserve"> a csoporton belüli szervezetek </w:t>
      </w:r>
      <w:r w:rsidR="0078571C">
        <w:t xml:space="preserve">egymásnak </w:t>
      </w:r>
      <w:r>
        <w:t>(</w:t>
      </w:r>
      <w:r>
        <w:rPr>
          <w:color w:val="auto"/>
        </w:rPr>
        <w:t xml:space="preserve">csoporton belüli </w:t>
      </w:r>
      <w:r>
        <w:t>szolgáltatás)</w:t>
      </w:r>
      <w:r>
        <w:rPr>
          <w:color w:val="auto"/>
        </w:rPr>
        <w:t>,</w:t>
      </w:r>
      <w:r>
        <w:t xml:space="preserve"> vagy kiszervezhetők egy külső szolgáltatóhoz (külső szolgáltatás).</w:t>
      </w:r>
    </w:p>
    <w:p w14:paraId="7FE1C22D" w14:textId="6234218B" w:rsidR="00896468" w:rsidRDefault="00B31E50">
      <w:pPr>
        <w:pStyle w:val="P68B1DB1-Instructionsberschrift310"/>
        <w:numPr>
          <w:ilvl w:val="4"/>
          <w:numId w:val="49"/>
        </w:numPr>
        <w:ind w:left="928"/>
        <w:contextualSpacing/>
        <w:jc w:val="both"/>
        <w:rPr>
          <w:rFonts w:eastAsia="MS Mincho"/>
          <w:color w:val="auto"/>
        </w:rPr>
      </w:pPr>
      <w:r>
        <w:rPr>
          <w:rFonts w:eastAsia="MS Mincho"/>
        </w:rPr>
        <w:t xml:space="preserve">Nem minden mező vonatkozik minden szolgáltatástípusra (az alábbi utasításokban kiemelve). Ebben az esetben a megfelelő cellában fel kell tüntetni a „NEM </w:t>
      </w:r>
      <w:r w:rsidR="00C65E78">
        <w:rPr>
          <w:rFonts w:eastAsia="MS Mincho"/>
        </w:rPr>
        <w:t>ALKALMAZHATÓ</w:t>
      </w:r>
      <w:r>
        <w:rPr>
          <w:rFonts w:eastAsia="MS Mincho"/>
        </w:rPr>
        <w:t>” szavakat.</w:t>
      </w:r>
      <w:r>
        <w:t xml:space="preserve"> </w:t>
      </w:r>
    </w:p>
    <w:p w14:paraId="7FE1C22E" w14:textId="0568A925" w:rsidR="00896468" w:rsidRDefault="00B31E50">
      <w:pPr>
        <w:pStyle w:val="P68B1DB1-Instructionsberschrift346"/>
        <w:numPr>
          <w:ilvl w:val="4"/>
          <w:numId w:val="49"/>
        </w:numPr>
        <w:ind w:left="928"/>
        <w:contextualSpacing/>
        <w:jc w:val="both"/>
        <w:rPr>
          <w:color w:val="auto"/>
        </w:rPr>
      </w:pPr>
      <w:r>
        <w:lastRenderedPageBreak/>
        <w:t xml:space="preserve">Az e tábla 0010., </w:t>
      </w:r>
      <w:r>
        <w:rPr>
          <w:color w:val="auto"/>
        </w:rPr>
        <w:t>0020</w:t>
      </w:r>
      <w:r>
        <w:t xml:space="preserve">., </w:t>
      </w:r>
      <w:r>
        <w:rPr>
          <w:color w:val="auto"/>
        </w:rPr>
        <w:t>0040.,</w:t>
      </w:r>
      <w:r>
        <w:t xml:space="preserve"> </w:t>
      </w:r>
      <w:r>
        <w:rPr>
          <w:color w:val="auto"/>
        </w:rPr>
        <w:t>0060. és 0130.</w:t>
      </w:r>
      <w:r>
        <w:t xml:space="preserve"> oszlopában feltüntetett értékek kombinációja elsődleges kulcsot képez, amely a tábla minden sora tekintetében egyedi.</w:t>
      </w:r>
    </w:p>
    <w:p w14:paraId="7FE1C22F" w14:textId="77777777" w:rsidR="00896468" w:rsidRDefault="00896468">
      <w:pPr>
        <w:pStyle w:val="Instructionsberschrift3"/>
        <w:numPr>
          <w:ilvl w:val="0"/>
          <w:numId w:val="0"/>
        </w:numPr>
        <w:ind w:left="720"/>
      </w:pPr>
    </w:p>
    <w:p w14:paraId="7FE1C230" w14:textId="77777777" w:rsidR="00896468" w:rsidRDefault="00B31E50">
      <w:pPr>
        <w:pStyle w:val="P68B1DB1-Instructionsberschrift312"/>
        <w:rPr>
          <w:bCs/>
        </w:rPr>
      </w:pPr>
      <w:r>
        <w:t>A táblák egyes részeire vonatkozó útmutatások</w:t>
      </w:r>
    </w:p>
    <w:p w14:paraId="7FE1C23F" w14:textId="77777777" w:rsidR="00896468" w:rsidRDefault="00896468">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896468" w14:paraId="7FE1C242" w14:textId="77777777">
        <w:trPr>
          <w:trHeight w:val="808"/>
          <w:tblHeader/>
        </w:trPr>
        <w:tc>
          <w:tcPr>
            <w:tcW w:w="1129" w:type="dxa"/>
            <w:shd w:val="clear" w:color="auto" w:fill="E7E6E6"/>
          </w:tcPr>
          <w:p w14:paraId="7FE1C240" w14:textId="77777777" w:rsidR="00896468" w:rsidRDefault="00B31E50">
            <w:pPr>
              <w:pStyle w:val="P68B1DB1-Normal49"/>
              <w:spacing w:before="120" w:after="120" w:line="276" w:lineRule="auto"/>
            </w:pPr>
            <w:r>
              <w:t>Oszlopok</w:t>
            </w:r>
          </w:p>
        </w:tc>
        <w:tc>
          <w:tcPr>
            <w:tcW w:w="7938" w:type="dxa"/>
            <w:shd w:val="clear" w:color="auto" w:fill="E7E6E6"/>
          </w:tcPr>
          <w:p w14:paraId="7FE1C241" w14:textId="77777777" w:rsidR="00896468" w:rsidRDefault="00B31E50">
            <w:pPr>
              <w:pStyle w:val="P68B1DB1-Normal49"/>
              <w:spacing w:before="120" w:after="120" w:line="276" w:lineRule="auto"/>
            </w:pPr>
            <w:r>
              <w:t>Útmutató</w:t>
            </w:r>
          </w:p>
        </w:tc>
      </w:tr>
      <w:tr w:rsidR="00896468" w14:paraId="7FE1C247" w14:textId="77777777">
        <w:trPr>
          <w:trHeight w:val="450"/>
        </w:trPr>
        <w:tc>
          <w:tcPr>
            <w:tcW w:w="1129" w:type="dxa"/>
            <w:shd w:val="clear" w:color="auto" w:fill="FFFFFF" w:themeFill="background1"/>
          </w:tcPr>
          <w:p w14:paraId="7FE1C243" w14:textId="77777777" w:rsidR="00896468" w:rsidRDefault="00B31E50">
            <w:pPr>
              <w:pStyle w:val="P68B1DB1-Normal50"/>
              <w:spacing w:before="120" w:after="120" w:line="276" w:lineRule="auto"/>
            </w:pPr>
            <w:r>
              <w:t>0005</w:t>
            </w:r>
          </w:p>
        </w:tc>
        <w:tc>
          <w:tcPr>
            <w:tcW w:w="7938" w:type="dxa"/>
            <w:shd w:val="clear" w:color="auto" w:fill="FFFFFF" w:themeFill="background1"/>
          </w:tcPr>
          <w:p w14:paraId="7FE1C244" w14:textId="04F7A964" w:rsidR="00896468" w:rsidRDefault="00B31E50">
            <w:pPr>
              <w:pStyle w:val="P68B1DB1-Normal49"/>
              <w:spacing w:before="120" w:after="120" w:line="276" w:lineRule="auto"/>
              <w:rPr>
                <w:bCs/>
              </w:rPr>
            </w:pPr>
            <w:r>
              <w:t>Szolgáltatóazonosító</w:t>
            </w:r>
          </w:p>
          <w:p w14:paraId="7FE1C245" w14:textId="77777777" w:rsidR="00896468" w:rsidRDefault="00B31E50">
            <w:pPr>
              <w:pStyle w:val="P68B1DB1-Normal50"/>
              <w:spacing w:before="120" w:after="120" w:line="276" w:lineRule="auto"/>
              <w:rPr>
                <w:iCs/>
              </w:rPr>
            </w:pPr>
            <w:r>
              <w:t>A szolgáltatásazonosító a c0020. rovatban jelentett szolgáltatásra vonatkozik.</w:t>
            </w:r>
          </w:p>
          <w:p w14:paraId="7FE1C246" w14:textId="77777777" w:rsidR="00896468" w:rsidRDefault="00B31E50">
            <w:pPr>
              <w:pStyle w:val="P68B1DB1-Normal51"/>
              <w:spacing w:before="120" w:after="120" w:line="276" w:lineRule="auto"/>
            </w:pPr>
            <w:r>
              <w:t>Ábra vagy szabad szöveg</w:t>
            </w:r>
          </w:p>
        </w:tc>
      </w:tr>
      <w:tr w:rsidR="00896468" w14:paraId="7FE1C28C" w14:textId="77777777">
        <w:trPr>
          <w:trHeight w:val="463"/>
        </w:trPr>
        <w:tc>
          <w:tcPr>
            <w:tcW w:w="1129" w:type="dxa"/>
            <w:shd w:val="clear" w:color="auto" w:fill="FFFFFF" w:themeFill="background1"/>
          </w:tcPr>
          <w:p w14:paraId="7FE1C248" w14:textId="77777777" w:rsidR="00896468" w:rsidRDefault="00B31E50">
            <w:pPr>
              <w:pStyle w:val="P68B1DB1-Normal50"/>
              <w:spacing w:before="120" w:after="120" w:line="276" w:lineRule="auto"/>
            </w:pPr>
            <w:r>
              <w:t>0010</w:t>
            </w:r>
          </w:p>
        </w:tc>
        <w:tc>
          <w:tcPr>
            <w:tcW w:w="7938" w:type="dxa"/>
            <w:shd w:val="clear" w:color="auto" w:fill="FFFFFF" w:themeFill="background1"/>
          </w:tcPr>
          <w:p w14:paraId="7FE1C249" w14:textId="77777777" w:rsidR="00896468" w:rsidRDefault="00B31E50">
            <w:pPr>
              <w:pStyle w:val="P68B1DB1-Normal49"/>
              <w:autoSpaceDE w:val="0"/>
              <w:autoSpaceDN w:val="0"/>
              <w:adjustRightInd w:val="0"/>
              <w:rPr>
                <w:rFonts w:eastAsia="MS Mincho"/>
                <w:bCs/>
              </w:rPr>
            </w:pPr>
            <w:r>
              <w:t>A szolgáltatás típusa</w:t>
            </w:r>
          </w:p>
          <w:p w14:paraId="7FE1C24A" w14:textId="77777777" w:rsidR="00896468" w:rsidRDefault="00B31E50">
            <w:pPr>
              <w:pStyle w:val="P68B1DB1-Normal52"/>
              <w:autoSpaceDE w:val="0"/>
              <w:autoSpaceDN w:val="0"/>
              <w:adjustRightInd w:val="0"/>
            </w:pPr>
            <w:r>
              <w:t xml:space="preserve">A szolgáltatás típusa az alábbiakban felsorolt szolgáltatástípusok egyike lehet. </w:t>
            </w:r>
          </w:p>
          <w:p w14:paraId="7FE1C24B" w14:textId="77777777" w:rsidR="00896468" w:rsidRDefault="00B31E50">
            <w:pPr>
              <w:pStyle w:val="P68B1DB1-Normal50"/>
              <w:spacing w:before="120" w:after="120" w:line="276" w:lineRule="auto"/>
            </w:pPr>
            <w:r>
              <w:t xml:space="preserve">Amennyiben lehetséges, az alkategóriát kell feltüntetni (két számjegyű azonosító). Amennyiben nincs alkategória, vagy az alkategória nem írja le megfelelően az intézmény által nyújtott szolgáltatást, a fő kategóriát (egy számjegyű azonosító) kell feltüntetni. </w:t>
            </w:r>
          </w:p>
          <w:p w14:paraId="5B37DFFD" w14:textId="2C2BBAE4" w:rsidR="00896468" w:rsidRDefault="00B31E50">
            <w:pPr>
              <w:pStyle w:val="P68B1DB1-Normal52"/>
            </w:pPr>
            <w:r>
              <w:t xml:space="preserve">Emberi erőforrásokkal kapcsolatos támogatás </w:t>
            </w:r>
          </w:p>
          <w:p w14:paraId="7DD533D5" w14:textId="73E47A6F" w:rsidR="00896468" w:rsidRDefault="00B31E50">
            <w:pPr>
              <w:pStyle w:val="P68B1DB1-ListParagraph53"/>
              <w:numPr>
                <w:ilvl w:val="0"/>
                <w:numId w:val="288"/>
              </w:numPr>
              <w:autoSpaceDE w:val="0"/>
              <w:autoSpaceDN w:val="0"/>
              <w:adjustRightInd w:val="0"/>
              <w:ind w:left="1165"/>
            </w:pPr>
            <w:r>
              <w:t xml:space="preserve">munkavállalókkal kapcsolatos igazgatási feladatok, beleértve a szerződések és a bérezés kezelését </w:t>
            </w:r>
          </w:p>
          <w:p w14:paraId="43AF548E" w14:textId="675245F6" w:rsidR="00896468" w:rsidRDefault="00B31E50">
            <w:pPr>
              <w:pStyle w:val="P68B1DB1-ListParagraph53"/>
              <w:numPr>
                <w:ilvl w:val="0"/>
                <w:numId w:val="288"/>
              </w:numPr>
              <w:autoSpaceDE w:val="0"/>
              <w:autoSpaceDN w:val="0"/>
              <w:adjustRightInd w:val="0"/>
              <w:ind w:left="1165"/>
            </w:pPr>
            <w:r>
              <w:t>belső kommunikáció</w:t>
            </w:r>
          </w:p>
          <w:p w14:paraId="7FE1C250" w14:textId="1F903A05" w:rsidR="00896468" w:rsidRDefault="00B31E50">
            <w:pPr>
              <w:pStyle w:val="P68B1DB1-ListParagraph53"/>
              <w:numPr>
                <w:ilvl w:val="0"/>
                <w:numId w:val="288"/>
              </w:numPr>
              <w:autoSpaceDE w:val="0"/>
              <w:autoSpaceDN w:val="0"/>
              <w:adjustRightInd w:val="0"/>
              <w:ind w:left="1165"/>
            </w:pPr>
            <w:r>
              <w:t>egyéb humánerőforrás-támogató szolgáltatás típusa</w:t>
            </w:r>
          </w:p>
          <w:p w14:paraId="7FE1C251" w14:textId="77777777" w:rsidR="00896468" w:rsidRDefault="00896468">
            <w:pPr>
              <w:autoSpaceDE w:val="0"/>
              <w:autoSpaceDN w:val="0"/>
              <w:adjustRightInd w:val="0"/>
              <w:ind w:left="708"/>
              <w:rPr>
                <w:rFonts w:ascii="Times New Roman" w:eastAsia="MS Mincho" w:hAnsi="Times New Roman" w:cs="Times New Roman"/>
                <w:sz w:val="20"/>
                <w:szCs w:val="20"/>
              </w:rPr>
            </w:pPr>
          </w:p>
          <w:p w14:paraId="7FE1C252" w14:textId="7A6979E5" w:rsidR="00896468" w:rsidRDefault="00B31E50">
            <w:pPr>
              <w:pStyle w:val="P68B1DB1-Normal52"/>
              <w:autoSpaceDE w:val="0"/>
              <w:autoSpaceDN w:val="0"/>
              <w:adjustRightInd w:val="0"/>
            </w:pPr>
            <w:r>
              <w:t xml:space="preserve"> Információtechnológia </w:t>
            </w:r>
          </w:p>
          <w:p w14:paraId="7FE1C253" w14:textId="3B762F9E" w:rsidR="00896468" w:rsidRDefault="00B31E50">
            <w:pPr>
              <w:pStyle w:val="P68B1DB1-ListParagraph53"/>
              <w:numPr>
                <w:ilvl w:val="1"/>
                <w:numId w:val="290"/>
              </w:numPr>
              <w:autoSpaceDE w:val="0"/>
              <w:autoSpaceDN w:val="0"/>
              <w:adjustRightInd w:val="0"/>
              <w:ind w:left="1449"/>
            </w:pPr>
            <w:r>
              <w:t xml:space="preserve">Informatikai és kommunikációs eszközök </w:t>
            </w:r>
          </w:p>
          <w:p w14:paraId="7FE1C254" w14:textId="400D89C1" w:rsidR="00896468" w:rsidRDefault="00B31E50">
            <w:pPr>
              <w:pStyle w:val="P68B1DB1-ListParagraph53"/>
              <w:numPr>
                <w:ilvl w:val="1"/>
                <w:numId w:val="290"/>
              </w:numPr>
              <w:autoSpaceDE w:val="0"/>
              <w:autoSpaceDN w:val="0"/>
              <w:adjustRightInd w:val="0"/>
              <w:ind w:left="1449"/>
            </w:pPr>
            <w:r>
              <w:t xml:space="preserve">adattárolás és -feldolgozás </w:t>
            </w:r>
          </w:p>
          <w:p w14:paraId="7FE1C255" w14:textId="626A8448" w:rsidR="00896468" w:rsidRDefault="00B31E50">
            <w:pPr>
              <w:pStyle w:val="P68B1DB1-ListParagraph53"/>
              <w:numPr>
                <w:ilvl w:val="1"/>
                <w:numId w:val="290"/>
              </w:numPr>
              <w:autoSpaceDE w:val="0"/>
              <w:autoSpaceDN w:val="0"/>
              <w:adjustRightInd w:val="0"/>
              <w:ind w:left="1449"/>
            </w:pPr>
            <w:r>
              <w:t xml:space="preserve">egyéb informatikai infrastruktúra, munkaállomások, távközlés, szerverek, adatközpontok és kapcsolódó szolgáltatások </w:t>
            </w:r>
          </w:p>
          <w:p w14:paraId="7FE1C256" w14:textId="2B61AFD3" w:rsidR="00896468" w:rsidRDefault="00B31E50">
            <w:pPr>
              <w:pStyle w:val="P68B1DB1-ListParagraph53"/>
              <w:numPr>
                <w:ilvl w:val="1"/>
                <w:numId w:val="290"/>
              </w:numPr>
              <w:autoSpaceDE w:val="0"/>
              <w:autoSpaceDN w:val="0"/>
              <w:adjustRightInd w:val="0"/>
              <w:ind w:left="1449"/>
            </w:pPr>
            <w:r>
              <w:t xml:space="preserve">szoftverlicencek és szoftveralkalmazások kezelése </w:t>
            </w:r>
          </w:p>
          <w:p w14:paraId="7FE1C257" w14:textId="5DA2FA2E" w:rsidR="00896468" w:rsidRDefault="00B31E50">
            <w:pPr>
              <w:pStyle w:val="P68B1DB1-ListParagraph53"/>
              <w:numPr>
                <w:ilvl w:val="1"/>
                <w:numId w:val="290"/>
              </w:numPr>
              <w:autoSpaceDE w:val="0"/>
              <w:autoSpaceDN w:val="0"/>
              <w:adjustRightInd w:val="0"/>
              <w:ind w:left="1449"/>
            </w:pPr>
            <w:r>
              <w:t xml:space="preserve">külső szolgáltatókhoz, különösen adat- és infrastruktúra-szolgáltatókhoz való hozzáférés </w:t>
            </w:r>
          </w:p>
          <w:p w14:paraId="7FE1C258" w14:textId="2C2A1747" w:rsidR="00896468" w:rsidRDefault="00B31E50">
            <w:pPr>
              <w:pStyle w:val="P68B1DB1-ListParagraph53"/>
              <w:numPr>
                <w:ilvl w:val="1"/>
                <w:numId w:val="290"/>
              </w:numPr>
              <w:autoSpaceDE w:val="0"/>
              <w:autoSpaceDN w:val="0"/>
              <w:adjustRightInd w:val="0"/>
              <w:ind w:left="1449"/>
            </w:pPr>
            <w:r>
              <w:t xml:space="preserve">alkalmazások karbantartása, ideértve a szoftveralkalmazások karbantartását és a kapcsolódó </w:t>
            </w:r>
            <w:r w:rsidR="00BD0D5D">
              <w:t xml:space="preserve">adatfolyamokat </w:t>
            </w:r>
          </w:p>
          <w:p w14:paraId="7FE1C259" w14:textId="41CD0C0F" w:rsidR="00896468" w:rsidRDefault="00B31E50">
            <w:pPr>
              <w:pStyle w:val="P68B1DB1-ListParagraph53"/>
              <w:numPr>
                <w:ilvl w:val="1"/>
                <w:numId w:val="290"/>
              </w:numPr>
              <w:autoSpaceDE w:val="0"/>
              <w:autoSpaceDN w:val="0"/>
              <w:adjustRightInd w:val="0"/>
              <w:ind w:left="1449"/>
            </w:pPr>
            <w:r>
              <w:t xml:space="preserve">beszámolók készítése, belső információáramlás és adatbázisok </w:t>
            </w:r>
          </w:p>
          <w:p w14:paraId="7FE1C25A" w14:textId="72548638" w:rsidR="00896468" w:rsidRDefault="00B31E50">
            <w:pPr>
              <w:pStyle w:val="P68B1DB1-ListParagraph53"/>
              <w:numPr>
                <w:ilvl w:val="1"/>
                <w:numId w:val="290"/>
              </w:numPr>
              <w:autoSpaceDE w:val="0"/>
              <w:autoSpaceDN w:val="0"/>
              <w:adjustRightInd w:val="0"/>
              <w:ind w:left="1449"/>
            </w:pPr>
            <w:r>
              <w:t xml:space="preserve">felhasználók részére nyújtott támogatás </w:t>
            </w:r>
          </w:p>
          <w:p w14:paraId="7FE1C25B" w14:textId="65CBD03D" w:rsidR="00896468" w:rsidRDefault="00B31E50">
            <w:pPr>
              <w:pStyle w:val="P68B1DB1-ListParagraph53"/>
              <w:numPr>
                <w:ilvl w:val="1"/>
                <w:numId w:val="290"/>
              </w:numPr>
              <w:autoSpaceDE w:val="0"/>
              <w:autoSpaceDN w:val="0"/>
              <w:adjustRightInd w:val="0"/>
              <w:ind w:left="1449"/>
            </w:pPr>
            <w:r>
              <w:t xml:space="preserve">vészhelyzeti szolgáltatások és </w:t>
            </w:r>
            <w:r w:rsidR="0078571C">
              <w:t>katasztrófa-helyreállítás</w:t>
            </w:r>
          </w:p>
          <w:p w14:paraId="7FE1C25C" w14:textId="431BC144" w:rsidR="00896468" w:rsidRDefault="00B31E50">
            <w:pPr>
              <w:pStyle w:val="P68B1DB1-ListParagraph53"/>
              <w:numPr>
                <w:ilvl w:val="1"/>
                <w:numId w:val="290"/>
              </w:numPr>
              <w:autoSpaceDE w:val="0"/>
              <w:autoSpaceDN w:val="0"/>
              <w:adjustRightInd w:val="0"/>
              <w:ind w:left="1449"/>
            </w:pPr>
            <w:r>
              <w:t>Egyéb információtechnológiai szolgáltatás</w:t>
            </w:r>
          </w:p>
          <w:p w14:paraId="7FE1C25D" w14:textId="77777777" w:rsidR="00896468" w:rsidRDefault="00896468">
            <w:pPr>
              <w:autoSpaceDE w:val="0"/>
              <w:autoSpaceDN w:val="0"/>
              <w:adjustRightInd w:val="0"/>
              <w:rPr>
                <w:rFonts w:ascii="Times New Roman" w:eastAsia="MS Mincho" w:hAnsi="Times New Roman" w:cs="Times New Roman"/>
                <w:sz w:val="20"/>
                <w:szCs w:val="20"/>
              </w:rPr>
            </w:pPr>
          </w:p>
          <w:p w14:paraId="7FE1C25E" w14:textId="1AD223E0" w:rsidR="00896468" w:rsidRDefault="00B31E50">
            <w:pPr>
              <w:pStyle w:val="P68B1DB1-Normal52"/>
              <w:autoSpaceDE w:val="0"/>
              <w:autoSpaceDN w:val="0"/>
              <w:adjustRightInd w:val="0"/>
            </w:pPr>
            <w:r>
              <w:t xml:space="preserve">Ügyletek feldolgozása, ideértve a tranzakciókkal kapcsolatos jogi kérdéseket, különösen a pénzmosás megakadályozását </w:t>
            </w:r>
          </w:p>
          <w:p w14:paraId="7FE1C25F" w14:textId="77777777" w:rsidR="00896468" w:rsidRDefault="00896468">
            <w:pPr>
              <w:autoSpaceDE w:val="0"/>
              <w:autoSpaceDN w:val="0"/>
              <w:adjustRightInd w:val="0"/>
              <w:rPr>
                <w:rFonts w:ascii="Times New Roman" w:eastAsia="MS Mincho" w:hAnsi="Times New Roman" w:cs="Times New Roman"/>
                <w:sz w:val="20"/>
                <w:szCs w:val="20"/>
              </w:rPr>
            </w:pPr>
          </w:p>
          <w:p w14:paraId="7FE1C260" w14:textId="0AB6F782" w:rsidR="00896468" w:rsidRDefault="00B31E50">
            <w:pPr>
              <w:pStyle w:val="P68B1DB1-Normal52"/>
              <w:autoSpaceDE w:val="0"/>
              <w:autoSpaceDN w:val="0"/>
              <w:adjustRightInd w:val="0"/>
            </w:pPr>
            <w:bookmarkStart w:id="129" w:name="_Hlk191374143"/>
            <w:r>
              <w:t>Ingatlanok és létesítmények rendelkezésre bocsátása vagy kezelése, és kapcsolódó létesítmények</w:t>
            </w:r>
            <w:bookmarkEnd w:id="129"/>
            <w:r>
              <w:t xml:space="preserve"> </w:t>
            </w:r>
          </w:p>
          <w:p w14:paraId="7FE1C261" w14:textId="62999FEF" w:rsidR="00896468" w:rsidRDefault="00B31E50">
            <w:pPr>
              <w:pStyle w:val="P68B1DB1-ListParagraph53"/>
              <w:numPr>
                <w:ilvl w:val="0"/>
                <w:numId w:val="291"/>
              </w:numPr>
              <w:autoSpaceDE w:val="0"/>
              <w:autoSpaceDN w:val="0"/>
              <w:adjustRightInd w:val="0"/>
            </w:pPr>
            <w:r>
              <w:t xml:space="preserve">irodai és tárolási célú helyiségek </w:t>
            </w:r>
          </w:p>
          <w:p w14:paraId="7FE1C262" w14:textId="3A997023" w:rsidR="00896468" w:rsidRDefault="00B31E50">
            <w:pPr>
              <w:pStyle w:val="P68B1DB1-ListParagraph53"/>
              <w:numPr>
                <w:ilvl w:val="0"/>
                <w:numId w:val="291"/>
              </w:numPr>
              <w:autoSpaceDE w:val="0"/>
              <w:autoSpaceDN w:val="0"/>
              <w:adjustRightInd w:val="0"/>
            </w:pPr>
            <w:r>
              <w:t xml:space="preserve">belső létesítménykezelés </w:t>
            </w:r>
          </w:p>
          <w:p w14:paraId="7FE1C263" w14:textId="2B6FC02A" w:rsidR="00896468" w:rsidRDefault="00B31E50">
            <w:pPr>
              <w:pStyle w:val="P68B1DB1-ListParagraph53"/>
              <w:numPr>
                <w:ilvl w:val="0"/>
                <w:numId w:val="291"/>
              </w:numPr>
              <w:autoSpaceDE w:val="0"/>
              <w:autoSpaceDN w:val="0"/>
              <w:adjustRightInd w:val="0"/>
            </w:pPr>
            <w:r>
              <w:t xml:space="preserve">biztonság és a beléptetés szabályozása </w:t>
            </w:r>
          </w:p>
          <w:p w14:paraId="7FE1C264" w14:textId="792BCFBD" w:rsidR="00896468" w:rsidRDefault="00B31E50">
            <w:pPr>
              <w:pStyle w:val="P68B1DB1-ListParagraph53"/>
              <w:numPr>
                <w:ilvl w:val="0"/>
                <w:numId w:val="291"/>
              </w:numPr>
              <w:autoSpaceDE w:val="0"/>
              <w:autoSpaceDN w:val="0"/>
              <w:adjustRightInd w:val="0"/>
            </w:pPr>
            <w:r>
              <w:t xml:space="preserve">ingatlanportfólió kezelése </w:t>
            </w:r>
          </w:p>
          <w:p w14:paraId="7FE1C265" w14:textId="52ACD32B" w:rsidR="00896468" w:rsidRDefault="00B31E50">
            <w:pPr>
              <w:pStyle w:val="P68B1DB1-ListParagraph53"/>
              <w:numPr>
                <w:ilvl w:val="0"/>
                <w:numId w:val="291"/>
              </w:numPr>
              <w:autoSpaceDE w:val="0"/>
              <w:autoSpaceDN w:val="0"/>
              <w:adjustRightInd w:val="0"/>
            </w:pPr>
            <w:r>
              <w:t>Ingatlanok és létesítmények rendelkezésre bocsátása vagy kezelése, és kapcsolódó létesítmények</w:t>
            </w:r>
          </w:p>
          <w:p w14:paraId="7FE1C266" w14:textId="77777777" w:rsidR="00896468" w:rsidRDefault="00896468">
            <w:pPr>
              <w:autoSpaceDE w:val="0"/>
              <w:autoSpaceDN w:val="0"/>
              <w:adjustRightInd w:val="0"/>
              <w:rPr>
                <w:rFonts w:ascii="Times New Roman" w:eastAsia="MS Mincho" w:hAnsi="Times New Roman" w:cs="Times New Roman"/>
                <w:sz w:val="20"/>
                <w:szCs w:val="20"/>
              </w:rPr>
            </w:pPr>
          </w:p>
          <w:p w14:paraId="7FE1C267" w14:textId="4B2E0CD6" w:rsidR="00896468" w:rsidRDefault="00B31E50">
            <w:pPr>
              <w:pStyle w:val="P68B1DB1-Normal52"/>
              <w:autoSpaceDE w:val="0"/>
              <w:autoSpaceDN w:val="0"/>
              <w:adjustRightInd w:val="0"/>
            </w:pPr>
            <w:r>
              <w:t xml:space="preserve">Jogi szolgáltatások és megfelelési funkciók </w:t>
            </w:r>
          </w:p>
          <w:p w14:paraId="7FE1C268" w14:textId="40AF3D04" w:rsidR="00896468" w:rsidRDefault="00B31E50">
            <w:pPr>
              <w:pStyle w:val="P68B1DB1-ListParagraph53"/>
              <w:numPr>
                <w:ilvl w:val="0"/>
                <w:numId w:val="292"/>
              </w:numPr>
              <w:autoSpaceDE w:val="0"/>
              <w:autoSpaceDN w:val="0"/>
              <w:adjustRightInd w:val="0"/>
            </w:pPr>
            <w:r>
              <w:lastRenderedPageBreak/>
              <w:t xml:space="preserve">vállalati jogi támogatás </w:t>
            </w:r>
          </w:p>
          <w:p w14:paraId="7FE1C269" w14:textId="1DC4A30A" w:rsidR="00896468" w:rsidRDefault="00B31E50">
            <w:pPr>
              <w:pStyle w:val="P68B1DB1-ListParagraph53"/>
              <w:numPr>
                <w:ilvl w:val="0"/>
                <w:numId w:val="292"/>
              </w:numPr>
              <w:autoSpaceDE w:val="0"/>
              <w:autoSpaceDN w:val="0"/>
              <w:adjustRightInd w:val="0"/>
            </w:pPr>
            <w:r>
              <w:t xml:space="preserve">üzleti és ügyleti jogi szolgáltatások </w:t>
            </w:r>
          </w:p>
          <w:p w14:paraId="7FE1C26A" w14:textId="1BAF6F48" w:rsidR="00896468" w:rsidRDefault="00B31E50">
            <w:pPr>
              <w:pStyle w:val="P68B1DB1-ListParagraph53"/>
              <w:numPr>
                <w:ilvl w:val="0"/>
                <w:numId w:val="292"/>
              </w:numPr>
              <w:autoSpaceDE w:val="0"/>
              <w:autoSpaceDN w:val="0"/>
              <w:adjustRightInd w:val="0"/>
            </w:pPr>
            <w:r>
              <w:t xml:space="preserve">megfelelési támogatás </w:t>
            </w:r>
          </w:p>
          <w:p w14:paraId="7FE1C26B" w14:textId="344CDCEC" w:rsidR="00896468" w:rsidRDefault="00B31E50">
            <w:pPr>
              <w:pStyle w:val="P68B1DB1-ListParagraph53"/>
              <w:numPr>
                <w:ilvl w:val="0"/>
                <w:numId w:val="292"/>
              </w:numPr>
              <w:autoSpaceDE w:val="0"/>
              <w:autoSpaceDN w:val="0"/>
              <w:adjustRightInd w:val="0"/>
            </w:pPr>
            <w:r>
              <w:t>egyéb jogi szolgáltatások és megfelelési funkció szerinti szolgáltatás típusa</w:t>
            </w:r>
          </w:p>
          <w:p w14:paraId="7FE1C26C" w14:textId="77777777" w:rsidR="00896468" w:rsidRDefault="00896468">
            <w:pPr>
              <w:autoSpaceDE w:val="0"/>
              <w:autoSpaceDN w:val="0"/>
              <w:adjustRightInd w:val="0"/>
              <w:ind w:left="708"/>
              <w:rPr>
                <w:rFonts w:ascii="Times New Roman" w:eastAsia="MS Mincho" w:hAnsi="Times New Roman" w:cs="Times New Roman"/>
                <w:sz w:val="20"/>
                <w:szCs w:val="20"/>
              </w:rPr>
            </w:pPr>
          </w:p>
          <w:p w14:paraId="7FE1C26D" w14:textId="03C41351" w:rsidR="00896468" w:rsidRDefault="00B31E50">
            <w:pPr>
              <w:pStyle w:val="P68B1DB1-Normal52"/>
              <w:autoSpaceDE w:val="0"/>
              <w:autoSpaceDN w:val="0"/>
              <w:adjustRightInd w:val="0"/>
            </w:pPr>
            <w:r>
              <w:t xml:space="preserve">Treasury szolgáltatások </w:t>
            </w:r>
          </w:p>
          <w:p w14:paraId="7FE1C26E" w14:textId="57009F02" w:rsidR="00896468" w:rsidRDefault="00B31E50">
            <w:pPr>
              <w:pStyle w:val="P68B1DB1-ListParagraph53"/>
              <w:numPr>
                <w:ilvl w:val="0"/>
                <w:numId w:val="293"/>
              </w:numPr>
              <w:autoSpaceDE w:val="0"/>
              <w:autoSpaceDN w:val="0"/>
              <w:adjustRightInd w:val="0"/>
            </w:pPr>
            <w:r>
              <w:t xml:space="preserve">treasury tevékenység összehangolása, </w:t>
            </w:r>
            <w:r w:rsidR="0078571C">
              <w:t xml:space="preserve">adminisztrációja </w:t>
            </w:r>
            <w:r>
              <w:t xml:space="preserve">és kezelése </w:t>
            </w:r>
          </w:p>
          <w:p w14:paraId="7FE1C26F" w14:textId="4DE0EA50" w:rsidR="00896468" w:rsidRDefault="00B31E50">
            <w:pPr>
              <w:pStyle w:val="P68B1DB1-ListParagraph53"/>
              <w:numPr>
                <w:ilvl w:val="0"/>
                <w:numId w:val="293"/>
              </w:numPr>
              <w:autoSpaceDE w:val="0"/>
              <w:autoSpaceDN w:val="0"/>
              <w:adjustRightInd w:val="0"/>
            </w:pPr>
            <w:r>
              <w:t xml:space="preserve">a vállalkozás refinanszírozásának összehangolása, </w:t>
            </w:r>
            <w:r w:rsidR="0078571C">
              <w:t xml:space="preserve">adminisztrációja </w:t>
            </w:r>
            <w:r>
              <w:t xml:space="preserve">és kezelése, ideértve a biztosítékok kezelését </w:t>
            </w:r>
          </w:p>
          <w:p w14:paraId="7FE1C270" w14:textId="0F45C979" w:rsidR="00896468" w:rsidRDefault="00B31E50">
            <w:pPr>
              <w:pStyle w:val="P68B1DB1-ListParagraph53"/>
              <w:numPr>
                <w:ilvl w:val="0"/>
                <w:numId w:val="293"/>
              </w:numPr>
              <w:autoSpaceDE w:val="0"/>
              <w:autoSpaceDN w:val="0"/>
              <w:adjustRightInd w:val="0"/>
            </w:pPr>
            <w:r>
              <w:t xml:space="preserve">adatszolgáltatási funkciók, különösen a hatósági likviditási rátákkal kapcsolatban </w:t>
            </w:r>
          </w:p>
          <w:p w14:paraId="7FE1C271" w14:textId="4889F00E" w:rsidR="00896468" w:rsidRDefault="00B31E50">
            <w:pPr>
              <w:pStyle w:val="P68B1DB1-ListParagraph53"/>
              <w:numPr>
                <w:ilvl w:val="0"/>
                <w:numId w:val="293"/>
              </w:numPr>
              <w:autoSpaceDE w:val="0"/>
              <w:autoSpaceDN w:val="0"/>
              <w:adjustRightInd w:val="0"/>
            </w:pPr>
            <w:r>
              <w:t xml:space="preserve">közép- és hosszú távú finanszírozási programok, valamint a csoporthoz tartozó vállalkozások refinanszírozásának összehangolása, </w:t>
            </w:r>
            <w:r w:rsidR="0078571C">
              <w:t xml:space="preserve">adminisztrációja </w:t>
            </w:r>
            <w:r>
              <w:t xml:space="preserve">és kezelése </w:t>
            </w:r>
          </w:p>
          <w:p w14:paraId="7FE1C272" w14:textId="6ECB1FA0" w:rsidR="00896468" w:rsidRDefault="00B31E50">
            <w:pPr>
              <w:pStyle w:val="P68B1DB1-ListParagraph53"/>
              <w:numPr>
                <w:ilvl w:val="0"/>
                <w:numId w:val="293"/>
              </w:numPr>
              <w:autoSpaceDE w:val="0"/>
              <w:autoSpaceDN w:val="0"/>
              <w:adjustRightInd w:val="0"/>
            </w:pPr>
            <w:r>
              <w:t xml:space="preserve">refinanszírozás, különösen a rövid távú kibocsátások összehangolása, </w:t>
            </w:r>
            <w:r w:rsidR="0078571C">
              <w:t>adminisztrációja</w:t>
            </w:r>
            <w:r>
              <w:t xml:space="preserve"> és kezelése</w:t>
            </w:r>
          </w:p>
          <w:p w14:paraId="7FE1C273" w14:textId="01893577" w:rsidR="00896468" w:rsidRDefault="00B31E50">
            <w:pPr>
              <w:pStyle w:val="P68B1DB1-ListParagraph53"/>
              <w:numPr>
                <w:ilvl w:val="0"/>
                <w:numId w:val="293"/>
              </w:numPr>
              <w:autoSpaceDE w:val="0"/>
              <w:autoSpaceDN w:val="0"/>
              <w:adjustRightInd w:val="0"/>
            </w:pPr>
            <w:r>
              <w:t xml:space="preserve">egyéb </w:t>
            </w:r>
            <w:r w:rsidR="0078571C">
              <w:t xml:space="preserve">treasury-vel </w:t>
            </w:r>
            <w:r>
              <w:t>kapcsolatos szolgáltatástípus</w:t>
            </w:r>
          </w:p>
          <w:p w14:paraId="7FE1C274" w14:textId="77777777" w:rsidR="00896468" w:rsidRDefault="00896468">
            <w:pPr>
              <w:autoSpaceDE w:val="0"/>
              <w:autoSpaceDN w:val="0"/>
              <w:adjustRightInd w:val="0"/>
              <w:rPr>
                <w:rFonts w:ascii="Times New Roman" w:eastAsia="MS Mincho" w:hAnsi="Times New Roman" w:cs="Times New Roman"/>
                <w:sz w:val="20"/>
                <w:szCs w:val="20"/>
              </w:rPr>
            </w:pPr>
          </w:p>
          <w:p w14:paraId="7FE1C275" w14:textId="6437F825" w:rsidR="00896468" w:rsidRDefault="00B31E50">
            <w:pPr>
              <w:pStyle w:val="P68B1DB1-Normal52"/>
              <w:autoSpaceDE w:val="0"/>
              <w:autoSpaceDN w:val="0"/>
              <w:adjustRightInd w:val="0"/>
            </w:pPr>
            <w:r>
              <w:t xml:space="preserve">Kereskedés/eszközkezelés </w:t>
            </w:r>
          </w:p>
          <w:p w14:paraId="7FE1C276" w14:textId="52377E11" w:rsidR="00896468" w:rsidRDefault="00B31E50">
            <w:pPr>
              <w:pStyle w:val="P68B1DB1-ListParagraph53"/>
              <w:numPr>
                <w:ilvl w:val="0"/>
                <w:numId w:val="294"/>
              </w:numPr>
              <w:autoSpaceDE w:val="0"/>
              <w:autoSpaceDN w:val="0"/>
              <w:adjustRightInd w:val="0"/>
            </w:pPr>
            <w:r>
              <w:t xml:space="preserve">működési folyamatok: kereskedés rögzítése, kereskedési termékek kidolgozása, megvalósítása és kiszolgálása </w:t>
            </w:r>
          </w:p>
          <w:p w14:paraId="7FE1C277" w14:textId="35EC336F" w:rsidR="00896468" w:rsidRDefault="00B31E50">
            <w:pPr>
              <w:pStyle w:val="P68B1DB1-ListParagraph53"/>
              <w:numPr>
                <w:ilvl w:val="0"/>
                <w:numId w:val="294"/>
              </w:numPr>
              <w:autoSpaceDE w:val="0"/>
              <w:autoSpaceDN w:val="0"/>
              <w:adjustRightInd w:val="0"/>
            </w:pPr>
            <w:r>
              <w:t xml:space="preserve">visszaigazolás, kiegyenlítés, fizetés </w:t>
            </w:r>
          </w:p>
          <w:p w14:paraId="7FE1C278" w14:textId="417DFA52" w:rsidR="00896468" w:rsidRDefault="00B31E50">
            <w:pPr>
              <w:pStyle w:val="P68B1DB1-ListParagraph53"/>
              <w:numPr>
                <w:ilvl w:val="0"/>
                <w:numId w:val="294"/>
              </w:numPr>
              <w:autoSpaceDE w:val="0"/>
              <w:autoSpaceDN w:val="0"/>
              <w:adjustRightInd w:val="0"/>
            </w:pPr>
            <w:r>
              <w:t xml:space="preserve">pozíciók és szerződő partnerek kezelése az adatszolgáltatás és a szerződő partnerekkel fennálló viszony tekintetében </w:t>
            </w:r>
          </w:p>
          <w:p w14:paraId="7FE1C279" w14:textId="18F90331" w:rsidR="00896468" w:rsidRDefault="00B31E50">
            <w:pPr>
              <w:pStyle w:val="P68B1DB1-ListParagraph53"/>
              <w:numPr>
                <w:ilvl w:val="0"/>
                <w:numId w:val="294"/>
              </w:numPr>
              <w:autoSpaceDE w:val="0"/>
              <w:autoSpaceDN w:val="0"/>
              <w:adjustRightInd w:val="0"/>
            </w:pPr>
            <w:r>
              <w:t xml:space="preserve">pozíciók kezelése (kockázat és egyeztetés) </w:t>
            </w:r>
          </w:p>
          <w:p w14:paraId="7FE1C27A" w14:textId="23FC3BC1" w:rsidR="00896468" w:rsidRDefault="00B31E50">
            <w:pPr>
              <w:pStyle w:val="P68B1DB1-ListParagraph53"/>
              <w:numPr>
                <w:ilvl w:val="0"/>
                <w:numId w:val="294"/>
              </w:numPr>
              <w:autoSpaceDE w:val="0"/>
              <w:autoSpaceDN w:val="0"/>
              <w:adjustRightInd w:val="0"/>
            </w:pPr>
            <w:r>
              <w:t>egyéb kereskedési/eszközkezelési szolgáltatás típusa</w:t>
            </w:r>
          </w:p>
          <w:p w14:paraId="7FE1C27B" w14:textId="77777777" w:rsidR="00896468" w:rsidRDefault="00896468">
            <w:pPr>
              <w:autoSpaceDE w:val="0"/>
              <w:autoSpaceDN w:val="0"/>
              <w:adjustRightInd w:val="0"/>
              <w:ind w:left="708"/>
              <w:rPr>
                <w:rFonts w:ascii="Times New Roman" w:eastAsia="MS Mincho" w:hAnsi="Times New Roman" w:cs="Times New Roman"/>
                <w:sz w:val="20"/>
                <w:szCs w:val="20"/>
              </w:rPr>
            </w:pPr>
          </w:p>
          <w:p w14:paraId="7FE1C27C" w14:textId="1E8D237F" w:rsidR="00896468" w:rsidRDefault="00B31E50">
            <w:pPr>
              <w:pStyle w:val="P68B1DB1-Normal52"/>
              <w:autoSpaceDE w:val="0"/>
              <w:autoSpaceDN w:val="0"/>
              <w:adjustRightInd w:val="0"/>
            </w:pPr>
            <w:r>
              <w:t xml:space="preserve">Kockázatkezelés és értékelés </w:t>
            </w:r>
          </w:p>
          <w:p w14:paraId="7FE1C27D" w14:textId="27978472" w:rsidR="00896468" w:rsidRDefault="00B31E50">
            <w:pPr>
              <w:pStyle w:val="P68B1DB1-ListParagraph53"/>
              <w:numPr>
                <w:ilvl w:val="0"/>
                <w:numId w:val="295"/>
              </w:numPr>
              <w:autoSpaceDE w:val="0"/>
              <w:autoSpaceDN w:val="0"/>
              <w:adjustRightInd w:val="0"/>
            </w:pPr>
            <w:r>
              <w:t>központi, üzletág- vagy kockázattípus-alapú kockázatkezelés</w:t>
            </w:r>
          </w:p>
          <w:p w14:paraId="7FE1C27E" w14:textId="7AC0E3ED" w:rsidR="00896468" w:rsidRDefault="00B31E50">
            <w:pPr>
              <w:pStyle w:val="P68B1DB1-ListParagraph53"/>
              <w:numPr>
                <w:ilvl w:val="0"/>
                <w:numId w:val="295"/>
              </w:numPr>
              <w:autoSpaceDE w:val="0"/>
              <w:autoSpaceDN w:val="0"/>
              <w:adjustRightInd w:val="0"/>
            </w:pPr>
            <w:r>
              <w:t xml:space="preserve">kockázati jelentések készítése </w:t>
            </w:r>
          </w:p>
          <w:p w14:paraId="7FE1C27F" w14:textId="54F4E51F" w:rsidR="00896468" w:rsidRDefault="00B31E50">
            <w:pPr>
              <w:pStyle w:val="P68B1DB1-ListParagraph53"/>
              <w:numPr>
                <w:ilvl w:val="0"/>
                <w:numId w:val="295"/>
              </w:numPr>
              <w:autoSpaceDE w:val="0"/>
              <w:autoSpaceDN w:val="0"/>
              <w:adjustRightInd w:val="0"/>
            </w:pPr>
            <w:r>
              <w:t>egyéb kockázatkezelési és értékelési szolgáltatástípus</w:t>
            </w:r>
          </w:p>
          <w:p w14:paraId="7FE1C280" w14:textId="77777777" w:rsidR="00896468" w:rsidRDefault="00896468">
            <w:pPr>
              <w:autoSpaceDE w:val="0"/>
              <w:autoSpaceDN w:val="0"/>
              <w:adjustRightInd w:val="0"/>
              <w:rPr>
                <w:rFonts w:ascii="Times New Roman" w:eastAsia="MS Mincho" w:hAnsi="Times New Roman" w:cs="Times New Roman"/>
                <w:sz w:val="20"/>
                <w:szCs w:val="20"/>
              </w:rPr>
            </w:pPr>
          </w:p>
          <w:p w14:paraId="7FE1C281" w14:textId="07D4BEEC" w:rsidR="00896468" w:rsidRDefault="00BD0D5D">
            <w:pPr>
              <w:pStyle w:val="P68B1DB1-Normal52"/>
              <w:autoSpaceDE w:val="0"/>
              <w:autoSpaceDN w:val="0"/>
              <w:adjustRightInd w:val="0"/>
            </w:pPr>
            <w:r>
              <w:t>Számvitel</w:t>
            </w:r>
          </w:p>
          <w:p w14:paraId="7FE1C282" w14:textId="65C12590" w:rsidR="00896468" w:rsidRDefault="00B31E50">
            <w:pPr>
              <w:pStyle w:val="P68B1DB1-ListParagraph53"/>
              <w:numPr>
                <w:ilvl w:val="0"/>
                <w:numId w:val="296"/>
              </w:numPr>
              <w:autoSpaceDE w:val="0"/>
              <w:autoSpaceDN w:val="0"/>
              <w:adjustRightInd w:val="0"/>
            </w:pPr>
            <w:r>
              <w:t xml:space="preserve">jogszabályban előírt és hatósági beszámolók </w:t>
            </w:r>
          </w:p>
          <w:p w14:paraId="7FE1C283" w14:textId="3DCAF9FA" w:rsidR="00896468" w:rsidRDefault="00B31E50">
            <w:pPr>
              <w:pStyle w:val="P68B1DB1-ListParagraph53"/>
              <w:numPr>
                <w:ilvl w:val="0"/>
                <w:numId w:val="296"/>
              </w:numPr>
              <w:autoSpaceDE w:val="0"/>
              <w:autoSpaceDN w:val="0"/>
              <w:adjustRightInd w:val="0"/>
            </w:pPr>
            <w:r>
              <w:t xml:space="preserve">értékelés, különösen a piaci pozícióké </w:t>
            </w:r>
          </w:p>
          <w:p w14:paraId="7FE1C284" w14:textId="2EE4BE8B" w:rsidR="00896468" w:rsidRDefault="00B31E50">
            <w:pPr>
              <w:pStyle w:val="P68B1DB1-ListParagraph53"/>
              <w:numPr>
                <w:ilvl w:val="0"/>
                <w:numId w:val="296"/>
              </w:numPr>
              <w:autoSpaceDE w:val="0"/>
              <w:autoSpaceDN w:val="0"/>
              <w:adjustRightInd w:val="0"/>
            </w:pPr>
            <w:r>
              <w:t xml:space="preserve">a menedzsment részére készített beszámolók </w:t>
            </w:r>
          </w:p>
          <w:p w14:paraId="7FE1C285" w14:textId="186EA25B" w:rsidR="00896468" w:rsidRDefault="00B31E50">
            <w:pPr>
              <w:pStyle w:val="P68B1DB1-ListParagraph53"/>
              <w:numPr>
                <w:ilvl w:val="0"/>
                <w:numId w:val="296"/>
              </w:numPr>
              <w:autoSpaceDE w:val="0"/>
              <w:autoSpaceDN w:val="0"/>
              <w:adjustRightInd w:val="0"/>
            </w:pPr>
            <w:r>
              <w:t>egyéb számviteli szolgáltatástípus</w:t>
            </w:r>
          </w:p>
          <w:p w14:paraId="7FE1C286" w14:textId="77777777" w:rsidR="00896468" w:rsidRDefault="00896468">
            <w:pPr>
              <w:autoSpaceDE w:val="0"/>
              <w:autoSpaceDN w:val="0"/>
              <w:adjustRightInd w:val="0"/>
              <w:ind w:left="708"/>
              <w:rPr>
                <w:rFonts w:ascii="Times New Roman" w:eastAsia="MS Mincho" w:hAnsi="Times New Roman" w:cs="Times New Roman"/>
                <w:sz w:val="20"/>
                <w:szCs w:val="20"/>
              </w:rPr>
            </w:pPr>
          </w:p>
          <w:p w14:paraId="7FE1C287" w14:textId="675737F3" w:rsidR="00896468" w:rsidRDefault="00B31E50">
            <w:pPr>
              <w:pStyle w:val="P68B1DB1-Normal54"/>
              <w:autoSpaceDE w:val="0"/>
              <w:autoSpaceDN w:val="0"/>
              <w:adjustRightInd w:val="0"/>
              <w:rPr>
                <w:sz w:val="24"/>
              </w:rPr>
            </w:pPr>
            <w:r>
              <w:rPr>
                <w:sz w:val="20"/>
              </w:rPr>
              <w:t>Készpénz kezelése.</w:t>
            </w:r>
            <w:r>
              <w:rPr>
                <w:sz w:val="24"/>
              </w:rPr>
              <w:t xml:space="preserve"> </w:t>
            </w:r>
          </w:p>
          <w:p w14:paraId="7FE1C288" w14:textId="77777777" w:rsidR="00896468" w:rsidRDefault="00896468">
            <w:pPr>
              <w:autoSpaceDE w:val="0"/>
              <w:autoSpaceDN w:val="0"/>
              <w:adjustRightInd w:val="0"/>
              <w:rPr>
                <w:rFonts w:ascii="Times New Roman" w:eastAsia="MS Mincho" w:hAnsi="Times New Roman" w:cs="Times New Roman"/>
                <w:sz w:val="24"/>
                <w:szCs w:val="20"/>
              </w:rPr>
            </w:pPr>
          </w:p>
          <w:p w14:paraId="7FE1C289" w14:textId="180A5CA4" w:rsidR="00896468" w:rsidRDefault="00B31E50">
            <w:pPr>
              <w:pStyle w:val="P68B1DB1-Normal52"/>
              <w:autoSpaceDE w:val="0"/>
              <w:autoSpaceDN w:val="0"/>
              <w:adjustRightInd w:val="0"/>
            </w:pPr>
            <w:r>
              <w:t>Egyéb szolgáltatástípus</w:t>
            </w:r>
          </w:p>
          <w:p w14:paraId="7FE1C28B" w14:textId="56625F93" w:rsidR="00896468" w:rsidRDefault="00896468">
            <w:pPr>
              <w:spacing w:line="276" w:lineRule="auto"/>
              <w:jc w:val="both"/>
              <w:rPr>
                <w:rFonts w:ascii="Times New Roman" w:eastAsia="Calibri" w:hAnsi="Times New Roman" w:cs="Times New Roman"/>
                <w:b/>
                <w:i/>
                <w:sz w:val="20"/>
                <w:szCs w:val="20"/>
              </w:rPr>
            </w:pPr>
          </w:p>
        </w:tc>
      </w:tr>
      <w:tr w:rsidR="00896468" w14:paraId="7FE1C292" w14:textId="77777777">
        <w:trPr>
          <w:trHeight w:val="463"/>
        </w:trPr>
        <w:tc>
          <w:tcPr>
            <w:tcW w:w="1129" w:type="dxa"/>
            <w:shd w:val="clear" w:color="auto" w:fill="FFFFFF" w:themeFill="background1"/>
          </w:tcPr>
          <w:p w14:paraId="7FE1C28D" w14:textId="77777777" w:rsidR="00896468" w:rsidRDefault="00B31E50">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896468" w:rsidRDefault="00B31E50">
            <w:pPr>
              <w:pStyle w:val="P68B1DB1-Normal49"/>
              <w:spacing w:line="276" w:lineRule="auto"/>
              <w:jc w:val="both"/>
              <w:rPr>
                <w:bCs/>
              </w:rPr>
            </w:pPr>
            <w:r>
              <w:t>A banki taxonómia szerinti egyedi szolgáltatási cím</w:t>
            </w:r>
          </w:p>
          <w:p w14:paraId="1C0060B3" w14:textId="1DE5B316" w:rsidR="00896468" w:rsidRDefault="00B31E50">
            <w:pPr>
              <w:rPr>
                <w:rFonts w:ascii="Times New Roman" w:eastAsiaTheme="minorHAnsi" w:hAnsi="Times New Roman" w:cs="Times New Roman"/>
                <w:sz w:val="24"/>
              </w:rPr>
            </w:pPr>
            <w:r>
              <w:rPr>
                <w:rFonts w:ascii="Times New Roman" w:eastAsia="Calibri" w:hAnsi="Times New Roman" w:cs="Times New Roman"/>
                <w:sz w:val="20"/>
              </w:rPr>
              <w:t xml:space="preserve">A szolgáltatás neve/rövid leírása a bank saját többszintű taxonómiája szerint (3. szint), amely hierarchikus szinten kategorizálja e szolgáltatásokat és azok alcsoportjait. Például egy szolgáltatási taxonómia, amely a szolgáltatásokat három hierarchikus szintre kategorizálja, ahol a legfelső szinten a szolgáltatási csoport található (L1: Pénzügyi szolgáltatások), amelyeken belül a szolgáltatásokat a második szinten képviselik (L2: </w:t>
            </w:r>
            <w:r w:rsidR="0074661C">
              <w:rPr>
                <w:rFonts w:ascii="Times New Roman" w:eastAsia="Calibri" w:hAnsi="Times New Roman" w:cs="Times New Roman"/>
                <w:sz w:val="20"/>
              </w:rPr>
              <w:t>treasury</w:t>
            </w:r>
            <w:r>
              <w:rPr>
                <w:rFonts w:ascii="Times New Roman" w:eastAsia="Calibri" w:hAnsi="Times New Roman" w:cs="Times New Roman"/>
                <w:sz w:val="20"/>
              </w:rPr>
              <w:t xml:space="preserve">, pénzügyi elemzés, adózás, befektetői kapcsolatok stb.) és alszolgáltatások a harmadik szinten (L3 – a </w:t>
            </w:r>
            <w:r w:rsidR="0074661C">
              <w:rPr>
                <w:rFonts w:ascii="Times New Roman" w:eastAsia="Calibri" w:hAnsi="Times New Roman" w:cs="Times New Roman"/>
                <w:sz w:val="20"/>
              </w:rPr>
              <w:t xml:space="preserve">treasury-n </w:t>
            </w:r>
            <w:r>
              <w:rPr>
                <w:rFonts w:ascii="Times New Roman" w:eastAsia="Calibri" w:hAnsi="Times New Roman" w:cs="Times New Roman"/>
                <w:sz w:val="20"/>
              </w:rPr>
              <w:t>belül: likviditáskezelés, eszköz- és forráskezelés, biztosítékkezelés stb.). A banknak a 2. szintre (c0010) vonatkozó jelentésnél részletesebb szinten kell jelentenie a szolgáltatásokat, hogy minden egyes szolgáltatást pontosan és célzottan határozzanak meg.</w:t>
            </w:r>
            <w:r>
              <w:rPr>
                <w:rFonts w:ascii="Times New Roman" w:eastAsiaTheme="minorHAnsi" w:hAnsi="Times New Roman" w:cs="Times New Roman"/>
                <w:sz w:val="24"/>
              </w:rPr>
              <w:t xml:space="preserve"> </w:t>
            </w:r>
          </w:p>
          <w:p w14:paraId="7FE1C290" w14:textId="77777777" w:rsidR="00896468" w:rsidRDefault="00896468">
            <w:pPr>
              <w:spacing w:line="276" w:lineRule="auto"/>
              <w:jc w:val="both"/>
              <w:rPr>
                <w:rFonts w:ascii="Times New Roman" w:eastAsia="Calibri" w:hAnsi="Times New Roman" w:cs="Times New Roman"/>
                <w:sz w:val="20"/>
              </w:rPr>
            </w:pPr>
          </w:p>
          <w:p w14:paraId="7FE1C291" w14:textId="77777777" w:rsidR="00896468" w:rsidRDefault="00896468">
            <w:pPr>
              <w:spacing w:line="276" w:lineRule="auto"/>
              <w:jc w:val="both"/>
              <w:rPr>
                <w:rFonts w:ascii="Times New Roman" w:eastAsia="Calibri" w:hAnsi="Times New Roman" w:cs="Times New Roman"/>
                <w:i/>
                <w:sz w:val="20"/>
              </w:rPr>
            </w:pPr>
          </w:p>
        </w:tc>
      </w:tr>
      <w:tr w:rsidR="00896468" w14:paraId="7FE1C298" w14:textId="77777777">
        <w:trPr>
          <w:trHeight w:val="463"/>
        </w:trPr>
        <w:tc>
          <w:tcPr>
            <w:tcW w:w="1129" w:type="dxa"/>
            <w:shd w:val="clear" w:color="auto" w:fill="FFFFFF" w:themeFill="background1"/>
          </w:tcPr>
          <w:p w14:paraId="7FE1C293" w14:textId="77777777" w:rsidR="00896468" w:rsidRDefault="00B31E50">
            <w:pPr>
              <w:pStyle w:val="P68B1DB1-Normal50"/>
              <w:spacing w:before="120" w:after="120" w:line="276" w:lineRule="auto"/>
            </w:pPr>
            <w:r>
              <w:lastRenderedPageBreak/>
              <w:t>0030–0040</w:t>
            </w:r>
          </w:p>
          <w:p w14:paraId="7FE1C294" w14:textId="77777777" w:rsidR="00896468" w:rsidRDefault="0089646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896468" w:rsidRDefault="00B31E50">
            <w:pPr>
              <w:pStyle w:val="P68B1DB1-Normal49"/>
              <w:spacing w:line="276" w:lineRule="auto"/>
              <w:jc w:val="both"/>
              <w:rPr>
                <w:bCs/>
              </w:rPr>
            </w:pPr>
            <w:r>
              <w:t>A szolgáltatás igénybevevője</w:t>
            </w:r>
          </w:p>
          <w:p w14:paraId="7FE1C296" w14:textId="1014278D" w:rsidR="00896468" w:rsidRDefault="00B31E50">
            <w:pPr>
              <w:pStyle w:val="P68B1DB1-Normal45"/>
              <w:spacing w:line="276" w:lineRule="auto"/>
              <w:jc w:val="both"/>
            </w:pPr>
            <w:r>
              <w:t>A csoport azon szervezet</w:t>
            </w:r>
            <w:r w:rsidR="0074661C">
              <w:t>e</w:t>
            </w:r>
            <w:r>
              <w:t>, amely a 0050–0110. oszlopban feltüntetett</w:t>
            </w:r>
            <w:r w:rsidR="0074661C">
              <w:t xml:space="preserve"> szervezeti egység</w:t>
            </w:r>
            <w:r>
              <w:t>, a csoporthoz tartozó másik vállalkozás vagy külső szolgáltató által nyújtott, a 0010. oszlopban feltüntetett szolgáltatást igénybe veszi.</w:t>
            </w:r>
          </w:p>
          <w:p w14:paraId="7FE1C297" w14:textId="77777777" w:rsidR="00896468" w:rsidRDefault="00896468">
            <w:pPr>
              <w:spacing w:line="276" w:lineRule="auto"/>
              <w:jc w:val="both"/>
              <w:rPr>
                <w:rFonts w:ascii="Times New Roman" w:eastAsia="Calibri" w:hAnsi="Times New Roman" w:cs="Times New Roman"/>
                <w:sz w:val="20"/>
              </w:rPr>
            </w:pPr>
          </w:p>
        </w:tc>
      </w:tr>
      <w:tr w:rsidR="00896468" w14:paraId="7FE1C29F" w14:textId="77777777">
        <w:trPr>
          <w:trHeight w:val="463"/>
        </w:trPr>
        <w:tc>
          <w:tcPr>
            <w:tcW w:w="1129" w:type="dxa"/>
            <w:shd w:val="clear" w:color="auto" w:fill="FFFFFF" w:themeFill="background1"/>
          </w:tcPr>
          <w:p w14:paraId="7FE1C299" w14:textId="77777777" w:rsidR="00896468" w:rsidRDefault="00B31E50">
            <w:pPr>
              <w:pStyle w:val="P68B1DB1-Normal50"/>
              <w:spacing w:before="120" w:after="120" w:line="276" w:lineRule="auto"/>
            </w:pPr>
            <w:r>
              <w:t>0030</w:t>
            </w:r>
          </w:p>
          <w:p w14:paraId="7FE1C29A" w14:textId="77777777" w:rsidR="00896468" w:rsidRDefault="0089646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896468" w:rsidRDefault="00B31E50">
            <w:pPr>
              <w:pStyle w:val="P68B1DB1-Normal49"/>
              <w:spacing w:before="120" w:after="120" w:line="276" w:lineRule="auto"/>
              <w:rPr>
                <w:bCs/>
              </w:rPr>
            </w:pPr>
            <w:r>
              <w:t>Megnevezés</w:t>
            </w:r>
          </w:p>
          <w:p w14:paraId="7FE1C29C" w14:textId="5429A4DF" w:rsidR="00896468" w:rsidRDefault="00B31E50">
            <w:pPr>
              <w:pStyle w:val="P68B1DB1-Normal45"/>
              <w:spacing w:line="276" w:lineRule="auto"/>
              <w:jc w:val="both"/>
            </w:pPr>
            <w:r>
              <w:t>Nem lehet azonos a 0050. oszlopban szereplő névvel, kivéve, ha a szolgáltatás szervezeten belüli. Ebben az esetben a szolgáltatást igénybe vevő szervezet neve és a szolgáltató szervezet neve várhatóan megegyezik.</w:t>
            </w:r>
          </w:p>
          <w:p w14:paraId="7FE1C29D" w14:textId="77777777" w:rsidR="00896468" w:rsidRDefault="00896468">
            <w:pPr>
              <w:spacing w:line="276" w:lineRule="auto"/>
              <w:jc w:val="both"/>
              <w:rPr>
                <w:rFonts w:ascii="Times New Roman" w:eastAsia="Calibri" w:hAnsi="Times New Roman" w:cs="Times New Roman"/>
                <w:sz w:val="20"/>
              </w:rPr>
            </w:pPr>
          </w:p>
          <w:p w14:paraId="7FE1C29E" w14:textId="77777777" w:rsidR="00896468" w:rsidRDefault="00896468">
            <w:pPr>
              <w:spacing w:line="276" w:lineRule="auto"/>
              <w:jc w:val="both"/>
              <w:rPr>
                <w:rFonts w:ascii="Times New Roman" w:eastAsia="Calibri" w:hAnsi="Times New Roman" w:cs="Times New Roman"/>
                <w:b/>
                <w:sz w:val="20"/>
              </w:rPr>
            </w:pPr>
          </w:p>
        </w:tc>
      </w:tr>
      <w:tr w:rsidR="00896468" w14:paraId="7FE1C2A6" w14:textId="77777777">
        <w:trPr>
          <w:trHeight w:val="463"/>
        </w:trPr>
        <w:tc>
          <w:tcPr>
            <w:tcW w:w="1129" w:type="dxa"/>
            <w:shd w:val="clear" w:color="auto" w:fill="FFFFFF" w:themeFill="background1"/>
          </w:tcPr>
          <w:p w14:paraId="7FE1C2A0" w14:textId="77777777" w:rsidR="00896468" w:rsidRDefault="00B31E50">
            <w:pPr>
              <w:pStyle w:val="P68B1DB1-Normal50"/>
              <w:spacing w:before="120" w:after="120" w:line="276" w:lineRule="auto"/>
            </w:pPr>
            <w:r>
              <w:t>0040</w:t>
            </w:r>
          </w:p>
          <w:p w14:paraId="7FE1C2A1" w14:textId="77777777" w:rsidR="00896468" w:rsidRDefault="0089646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896468" w:rsidRDefault="00B31E50">
            <w:pPr>
              <w:pStyle w:val="P68B1DB1-Normal49"/>
              <w:spacing w:before="120" w:after="120" w:line="276" w:lineRule="auto"/>
              <w:rPr>
                <w:bCs/>
              </w:rPr>
            </w:pPr>
            <w:r>
              <w:t>Kód</w:t>
            </w:r>
          </w:p>
          <w:p w14:paraId="7FE1C2A3" w14:textId="77777777" w:rsidR="00896468" w:rsidRDefault="00B31E50">
            <w:pPr>
              <w:pStyle w:val="P68B1DB1-Normal45"/>
              <w:spacing w:line="276" w:lineRule="auto"/>
              <w:jc w:val="both"/>
            </w:pPr>
            <w:r>
              <w:t>A 0030. oszlopban feltüntetett szervezet Z 01.01 (ORG) tábla szerinti egyedi azonosítója.</w:t>
            </w:r>
          </w:p>
          <w:p w14:paraId="7FE1C2A4" w14:textId="77777777" w:rsidR="00896468" w:rsidRDefault="00B31E50">
            <w:pPr>
              <w:pStyle w:val="P68B1DB1-Normal45"/>
              <w:spacing w:line="276" w:lineRule="auto"/>
              <w:jc w:val="both"/>
            </w:pPr>
            <w:r>
              <w:t>Nem lehet azonos a 0060-as oszlopban megadott azonosítóval, kivéve, ha a szolgáltatás szervezeten belüli. Ebben az esetben a szolgáltatás igénybe vevőjének kódja és a szolgáltató kódja várhatóan megegyezik.</w:t>
            </w:r>
          </w:p>
          <w:p w14:paraId="7FE1C2A5" w14:textId="77777777" w:rsidR="00896468" w:rsidRDefault="00896468">
            <w:pPr>
              <w:spacing w:line="276" w:lineRule="auto"/>
              <w:jc w:val="both"/>
              <w:rPr>
                <w:rFonts w:ascii="Times New Roman" w:eastAsia="Calibri" w:hAnsi="Times New Roman" w:cs="Times New Roman"/>
                <w:b/>
                <w:i/>
                <w:sz w:val="20"/>
              </w:rPr>
            </w:pPr>
          </w:p>
        </w:tc>
      </w:tr>
      <w:tr w:rsidR="00896468" w14:paraId="7FE1C2AC" w14:textId="77777777">
        <w:trPr>
          <w:trHeight w:val="463"/>
        </w:trPr>
        <w:tc>
          <w:tcPr>
            <w:tcW w:w="1129" w:type="dxa"/>
            <w:shd w:val="clear" w:color="auto" w:fill="FFFFFF" w:themeFill="background1"/>
          </w:tcPr>
          <w:p w14:paraId="7FE1C2A7" w14:textId="77777777" w:rsidR="00896468" w:rsidRDefault="00B31E50">
            <w:pPr>
              <w:pStyle w:val="P68B1DB1-Normal50"/>
              <w:spacing w:before="120" w:after="120" w:line="276" w:lineRule="auto"/>
            </w:pPr>
            <w:r>
              <w:t>0050–0110</w:t>
            </w:r>
          </w:p>
          <w:p w14:paraId="7FE1C2A8" w14:textId="77777777" w:rsidR="00896468" w:rsidRDefault="00896468">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896468" w:rsidRDefault="00B31E50">
            <w:pPr>
              <w:pStyle w:val="P68B1DB1-Normal55"/>
              <w:spacing w:line="276" w:lineRule="auto"/>
              <w:jc w:val="both"/>
              <w:rPr>
                <w:bCs/>
              </w:rPr>
            </w:pPr>
            <w:r>
              <w:rPr>
                <w:szCs w:val="20"/>
              </w:rPr>
              <w:t>Szolgáltató</w:t>
            </w:r>
            <w:r>
              <w:t xml:space="preserve"> </w:t>
            </w:r>
          </w:p>
          <w:p w14:paraId="7FE1C2AA" w14:textId="703E122A" w:rsidR="00896468" w:rsidRDefault="00B31E50">
            <w:pPr>
              <w:pStyle w:val="P68B1DB1-Normal45"/>
              <w:spacing w:line="276" w:lineRule="auto"/>
              <w:jc w:val="both"/>
            </w:pPr>
            <w:r>
              <w:t xml:space="preserve">Az a </w:t>
            </w:r>
            <w:r w:rsidR="0074661C">
              <w:t xml:space="preserve">szervezet </w:t>
            </w:r>
            <w:r>
              <w:t>(szervezeten belüli vagy csoporton belüli szolgáltatások esetében) vagy külső szolgáltató (külső szolgáltatások esetében), amely a 0020. oszlopban feltüntetett szolgáltatást nyújtja a 0030. oszlopban feltüntetett, csoporthoz tartozó vállalkozás számára.</w:t>
            </w:r>
          </w:p>
          <w:p w14:paraId="7FE1C2AB" w14:textId="77777777" w:rsidR="00896468" w:rsidRDefault="00896468">
            <w:pPr>
              <w:spacing w:line="276" w:lineRule="auto"/>
              <w:jc w:val="both"/>
              <w:rPr>
                <w:rFonts w:ascii="Times New Roman" w:eastAsia="Calibri" w:hAnsi="Times New Roman" w:cs="Times New Roman"/>
                <w:sz w:val="20"/>
              </w:rPr>
            </w:pPr>
          </w:p>
        </w:tc>
      </w:tr>
      <w:tr w:rsidR="00896468" w14:paraId="244B34A5" w14:textId="77777777">
        <w:trPr>
          <w:trHeight w:val="463"/>
        </w:trPr>
        <w:tc>
          <w:tcPr>
            <w:tcW w:w="1129" w:type="dxa"/>
            <w:shd w:val="clear" w:color="auto" w:fill="FFFFFF" w:themeFill="background1"/>
          </w:tcPr>
          <w:p w14:paraId="26770022" w14:textId="77E4D0B7" w:rsidR="00896468" w:rsidRDefault="00B31E50">
            <w:pPr>
              <w:pStyle w:val="P68B1DB1-Normal50"/>
              <w:spacing w:before="120" w:after="120" w:line="276" w:lineRule="auto"/>
            </w:pPr>
            <w:r>
              <w:t>0050–0070</w:t>
            </w:r>
          </w:p>
        </w:tc>
        <w:tc>
          <w:tcPr>
            <w:tcW w:w="7938" w:type="dxa"/>
            <w:shd w:val="clear" w:color="auto" w:fill="FFFFFF" w:themeFill="background1"/>
          </w:tcPr>
          <w:p w14:paraId="3E4CD319" w14:textId="184BD7D3" w:rsidR="00896468" w:rsidRDefault="0074661C">
            <w:pPr>
              <w:pStyle w:val="P68B1DB1-Normal49"/>
              <w:spacing w:line="276" w:lineRule="auto"/>
              <w:jc w:val="both"/>
              <w:rPr>
                <w:bCs/>
              </w:rPr>
            </w:pPr>
            <w:r>
              <w:t>Szervezet</w:t>
            </w:r>
          </w:p>
        </w:tc>
      </w:tr>
      <w:tr w:rsidR="00896468" w14:paraId="7FE1C2B2" w14:textId="77777777">
        <w:trPr>
          <w:trHeight w:val="463"/>
        </w:trPr>
        <w:tc>
          <w:tcPr>
            <w:tcW w:w="1129" w:type="dxa"/>
            <w:shd w:val="clear" w:color="auto" w:fill="FFFFFF" w:themeFill="background1"/>
          </w:tcPr>
          <w:p w14:paraId="7FE1C2AD" w14:textId="77777777" w:rsidR="00896468" w:rsidRDefault="00B31E50">
            <w:pPr>
              <w:pStyle w:val="P68B1DB1-Normal50"/>
              <w:spacing w:before="120" w:after="120" w:line="276" w:lineRule="auto"/>
            </w:pPr>
            <w:r>
              <w:t>0050</w:t>
            </w:r>
          </w:p>
          <w:p w14:paraId="7FE1C2AE" w14:textId="77777777" w:rsidR="00896468" w:rsidRDefault="00896468">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896468" w:rsidRDefault="00B31E50">
            <w:pPr>
              <w:pStyle w:val="P68B1DB1-Normal49"/>
              <w:spacing w:before="120" w:after="120" w:line="276" w:lineRule="auto"/>
              <w:rPr>
                <w:bCs/>
              </w:rPr>
            </w:pPr>
            <w:r>
              <w:t>Megnevezés</w:t>
            </w:r>
          </w:p>
          <w:p w14:paraId="7FE1C2B0" w14:textId="77777777" w:rsidR="00896468" w:rsidRDefault="00B31E50">
            <w:pPr>
              <w:pStyle w:val="P68B1DB1-Normal45"/>
              <w:spacing w:line="276" w:lineRule="auto"/>
              <w:jc w:val="both"/>
            </w:pPr>
            <w:r>
              <w:t>Nem lehet azonos a 0030. oszlopban szereplő névvel, kivéve, ha a szolgáltatás szervezeten belüli. Ebben az esetben a szolgáltatást igénybe vevő szervezet neve és a szolgáltató szervezet neve várhatóan megegyezik.</w:t>
            </w:r>
          </w:p>
          <w:p w14:paraId="7FE1C2B1" w14:textId="77777777" w:rsidR="00896468" w:rsidRDefault="00896468">
            <w:pPr>
              <w:spacing w:line="276" w:lineRule="auto"/>
              <w:jc w:val="both"/>
              <w:rPr>
                <w:rFonts w:ascii="Times New Roman" w:eastAsia="Calibri" w:hAnsi="Times New Roman" w:cs="Times New Roman"/>
                <w:b/>
                <w:sz w:val="20"/>
              </w:rPr>
            </w:pPr>
          </w:p>
        </w:tc>
      </w:tr>
      <w:tr w:rsidR="00896468" w14:paraId="7FE1C2BE" w14:textId="77777777">
        <w:trPr>
          <w:trHeight w:val="463"/>
        </w:trPr>
        <w:tc>
          <w:tcPr>
            <w:tcW w:w="1129" w:type="dxa"/>
            <w:shd w:val="clear" w:color="auto" w:fill="FFFFFF" w:themeFill="background1"/>
          </w:tcPr>
          <w:p w14:paraId="7FE1C2B3" w14:textId="77777777" w:rsidR="00896468" w:rsidRDefault="00B31E50">
            <w:pPr>
              <w:pStyle w:val="P68B1DB1-Normal45"/>
              <w:spacing w:line="276" w:lineRule="auto"/>
              <w:jc w:val="both"/>
            </w:pPr>
            <w:r>
              <w:t>0060</w:t>
            </w:r>
          </w:p>
          <w:p w14:paraId="7FE1C2B4" w14:textId="77777777" w:rsidR="00896468" w:rsidRDefault="00896468">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896468" w:rsidRDefault="00B31E50">
            <w:pPr>
              <w:pStyle w:val="P68B1DB1-Normal55"/>
              <w:spacing w:line="276" w:lineRule="auto"/>
              <w:jc w:val="both"/>
              <w:rPr>
                <w:bCs/>
              </w:rPr>
            </w:pPr>
            <w:r>
              <w:t>Kód</w:t>
            </w:r>
          </w:p>
          <w:p w14:paraId="7FE1C2B6" w14:textId="77777777" w:rsidR="00896468" w:rsidRDefault="00B31E50">
            <w:pPr>
              <w:pStyle w:val="P68B1DB1-Normal45"/>
              <w:spacing w:line="276" w:lineRule="auto"/>
              <w:jc w:val="both"/>
              <w:rPr>
                <w:strike/>
              </w:rPr>
            </w:pPr>
            <w:r>
              <w:t>A 0050. oszlopban feltüntetett szervezet egyedi azonosítója. Nem lehet azonos a 0040. oszlopban felsorolt azonosítóval, kivéve, ha a szolgáltatás szervezeten belüli. Ebben az esetben a szolgáltatás igénybe vevőjének kódja és a szolgáltató kódja várhatóan megegyezik.</w:t>
            </w:r>
          </w:p>
          <w:p w14:paraId="7FE1C2B7" w14:textId="77777777" w:rsidR="00896468" w:rsidRDefault="00B31E50">
            <w:pPr>
              <w:pStyle w:val="P68B1DB1-Normal45"/>
              <w:spacing w:line="276" w:lineRule="auto"/>
              <w:jc w:val="both"/>
            </w:pPr>
            <w:r>
              <w:t>Amennyiben a szolgáltatás nyújtója csoporthoz tartozó vállalkozás, a kódnak meg kell egyeznie a Z 01.01 (ORG) táblában feltüntetett kóddal.</w:t>
            </w:r>
          </w:p>
          <w:p w14:paraId="7FE1C2B8" w14:textId="77777777" w:rsidR="00896468" w:rsidRDefault="00B31E50">
            <w:pPr>
              <w:pStyle w:val="P68B1DB1-Normal45"/>
              <w:spacing w:line="276" w:lineRule="auto"/>
              <w:jc w:val="both"/>
            </w:pPr>
            <w:r>
              <w:t>Amennyiben a szolgáltatás nyújtója nem a csoporthoz tartozó vállalkozás, a kód a következő:</w:t>
            </w:r>
          </w:p>
          <w:p w14:paraId="7FE1C2B9" w14:textId="77777777" w:rsidR="00896468" w:rsidRDefault="00B31E50">
            <w:pPr>
              <w:pStyle w:val="P68B1DB1-Normal45"/>
              <w:spacing w:line="276" w:lineRule="auto"/>
              <w:jc w:val="both"/>
            </w:pPr>
            <w:r>
              <w:t>– jogalany-azonosítóval (LEI) rendelkező szervezetek esetében a 20 jegyű alfanumerikus LEI-kód;</w:t>
            </w:r>
          </w:p>
          <w:p w14:paraId="7FE1C2BA" w14:textId="77777777" w:rsidR="00896468" w:rsidRDefault="00B31E50">
            <w:pPr>
              <w:pStyle w:val="P68B1DB1-Normal45"/>
              <w:spacing w:line="276" w:lineRule="auto"/>
              <w:jc w:val="both"/>
            </w:pPr>
            <w:r>
              <w:t>jogalany-azonosítóval nem rendelkező szervezetek esetében a nemzeti jog szerinti cégjegyzékszám</w:t>
            </w:r>
            <w:r>
              <w:rPr>
                <w:strike/>
              </w:rPr>
              <w:t>.</w:t>
            </w:r>
          </w:p>
          <w:p w14:paraId="7FE1C2BB" w14:textId="77777777" w:rsidR="00896468" w:rsidRDefault="00896468">
            <w:pPr>
              <w:spacing w:line="276" w:lineRule="auto"/>
              <w:jc w:val="both"/>
              <w:rPr>
                <w:rFonts w:ascii="Times New Roman" w:eastAsia="Calibri" w:hAnsi="Times New Roman" w:cs="Times New Roman"/>
                <w:sz w:val="20"/>
              </w:rPr>
            </w:pPr>
          </w:p>
          <w:p w14:paraId="7FE1C2BC" w14:textId="77777777" w:rsidR="00896468" w:rsidRDefault="00B31E50">
            <w:pPr>
              <w:pStyle w:val="P68B1DB1-Normal45"/>
              <w:spacing w:line="276" w:lineRule="auto"/>
              <w:jc w:val="both"/>
            </w:pPr>
            <w:r>
              <w:t>Mindkét esetben a kód egyedinek kell lennie, és azt valamennyi táblán következetesen kell használni.</w:t>
            </w:r>
          </w:p>
          <w:p w14:paraId="7FE1C2BD" w14:textId="77777777" w:rsidR="00896468" w:rsidRDefault="00B31E50">
            <w:pPr>
              <w:pStyle w:val="P68B1DB1-Normal56"/>
              <w:spacing w:line="276" w:lineRule="auto"/>
              <w:jc w:val="both"/>
            </w:pPr>
            <w:r>
              <w:t xml:space="preserve"> </w:t>
            </w:r>
          </w:p>
        </w:tc>
      </w:tr>
      <w:tr w:rsidR="00896468" w14:paraId="7FE1C2C7" w14:textId="77777777">
        <w:trPr>
          <w:trHeight w:val="463"/>
        </w:trPr>
        <w:tc>
          <w:tcPr>
            <w:tcW w:w="1129" w:type="dxa"/>
            <w:shd w:val="clear" w:color="auto" w:fill="FFFFFF" w:themeFill="background1"/>
          </w:tcPr>
          <w:p w14:paraId="7FE1C2BF" w14:textId="77777777" w:rsidR="00896468" w:rsidRDefault="00B31E50">
            <w:pPr>
              <w:pStyle w:val="P68B1DB1-Normal45"/>
              <w:spacing w:line="276" w:lineRule="auto"/>
              <w:jc w:val="both"/>
            </w:pPr>
            <w:r>
              <w:lastRenderedPageBreak/>
              <w:t>0070</w:t>
            </w:r>
          </w:p>
        </w:tc>
        <w:tc>
          <w:tcPr>
            <w:tcW w:w="7938" w:type="dxa"/>
            <w:shd w:val="clear" w:color="auto" w:fill="FFFFFF" w:themeFill="background1"/>
          </w:tcPr>
          <w:p w14:paraId="7FE1C2C0" w14:textId="77777777" w:rsidR="00896468" w:rsidRDefault="00B31E50">
            <w:pPr>
              <w:pStyle w:val="P68B1DB1-Normal55"/>
              <w:spacing w:line="276" w:lineRule="auto"/>
              <w:jc w:val="both"/>
              <w:rPr>
                <w:bCs/>
              </w:rPr>
            </w:pPr>
            <w:r>
              <w:t xml:space="preserve">Kód típusa </w:t>
            </w:r>
          </w:p>
          <w:p w14:paraId="7FE1C2C3" w14:textId="5EDF8AF2" w:rsidR="00896468" w:rsidRDefault="00B31E50">
            <w:pPr>
              <w:pStyle w:val="P68B1DB1-Normal57"/>
              <w:spacing w:line="276" w:lineRule="auto"/>
              <w:contextualSpacing/>
              <w:jc w:val="both"/>
              <w:rPr>
                <w:bCs/>
              </w:rPr>
            </w:pPr>
            <w:r>
              <w:t>A következő értékek egyikét kell megadni:</w:t>
            </w:r>
          </w:p>
          <w:p w14:paraId="7FE1C2C4" w14:textId="77777777" w:rsidR="00896468" w:rsidRDefault="00B31E50">
            <w:pPr>
              <w:pStyle w:val="P68B1DB1-ListParagraph58"/>
              <w:numPr>
                <w:ilvl w:val="0"/>
                <w:numId w:val="64"/>
              </w:numPr>
              <w:spacing w:line="276" w:lineRule="auto"/>
              <w:contextualSpacing/>
              <w:jc w:val="both"/>
            </w:pPr>
            <w:r>
              <w:t>JOGALANY-AZONOSÍTÓ</w:t>
            </w:r>
          </w:p>
          <w:p w14:paraId="7FE1C2C5" w14:textId="77777777" w:rsidR="00896468" w:rsidRDefault="00B31E50">
            <w:pPr>
              <w:pStyle w:val="P68B1DB1-ListParagraph58"/>
              <w:numPr>
                <w:ilvl w:val="0"/>
                <w:numId w:val="64"/>
              </w:numPr>
              <w:spacing w:line="276" w:lineRule="auto"/>
              <w:contextualSpacing/>
              <w:jc w:val="both"/>
            </w:pPr>
            <w:r>
              <w:t>Cégjegyzékszám,</w:t>
            </w:r>
          </w:p>
          <w:p w14:paraId="7FE1C2C6" w14:textId="77777777" w:rsidR="00896468" w:rsidRDefault="00896468">
            <w:pPr>
              <w:spacing w:line="276" w:lineRule="auto"/>
              <w:jc w:val="both"/>
              <w:rPr>
                <w:rFonts w:ascii="Times New Roman" w:eastAsia="Calibri" w:hAnsi="Times New Roman" w:cs="Times New Roman"/>
                <w:sz w:val="20"/>
              </w:rPr>
            </w:pPr>
          </w:p>
        </w:tc>
      </w:tr>
      <w:tr w:rsidR="00896468" w14:paraId="5AC7028E" w14:textId="77777777">
        <w:trPr>
          <w:trHeight w:val="463"/>
        </w:trPr>
        <w:tc>
          <w:tcPr>
            <w:tcW w:w="1129" w:type="dxa"/>
            <w:shd w:val="clear" w:color="auto" w:fill="FFFFFF" w:themeFill="background1"/>
          </w:tcPr>
          <w:p w14:paraId="3ECEFB75" w14:textId="74BF0EC5" w:rsidR="00896468" w:rsidRDefault="00B31E50">
            <w:pPr>
              <w:pStyle w:val="P68B1DB1-Normal45"/>
              <w:spacing w:line="276" w:lineRule="auto"/>
              <w:jc w:val="both"/>
            </w:pPr>
            <w:r>
              <w:t>0080–0100</w:t>
            </w:r>
          </w:p>
        </w:tc>
        <w:tc>
          <w:tcPr>
            <w:tcW w:w="7938" w:type="dxa"/>
            <w:shd w:val="clear" w:color="auto" w:fill="FFFFFF" w:themeFill="background1"/>
          </w:tcPr>
          <w:p w14:paraId="259185CE" w14:textId="65A5A83F" w:rsidR="00896468" w:rsidRDefault="00B31E50">
            <w:pPr>
              <w:pStyle w:val="P68B1DB1-Normal55"/>
              <w:spacing w:line="276" w:lineRule="auto"/>
              <w:jc w:val="both"/>
              <w:rPr>
                <w:bCs/>
              </w:rPr>
            </w:pPr>
            <w:r>
              <w:t>Anyavállalat</w:t>
            </w:r>
          </w:p>
        </w:tc>
      </w:tr>
      <w:tr w:rsidR="00896468" w14:paraId="7FE1C2CC" w14:textId="77777777">
        <w:trPr>
          <w:trHeight w:val="463"/>
        </w:trPr>
        <w:tc>
          <w:tcPr>
            <w:tcW w:w="1129" w:type="dxa"/>
          </w:tcPr>
          <w:p w14:paraId="7FE1C2C8" w14:textId="77777777" w:rsidR="00896468" w:rsidRDefault="00B31E50">
            <w:pPr>
              <w:pStyle w:val="P68B1DB1-Normal45"/>
              <w:spacing w:line="276" w:lineRule="auto"/>
              <w:jc w:val="both"/>
            </w:pPr>
            <w:r>
              <w:t>0080</w:t>
            </w:r>
          </w:p>
        </w:tc>
        <w:tc>
          <w:tcPr>
            <w:tcW w:w="7938" w:type="dxa"/>
            <w:shd w:val="clear" w:color="auto" w:fill="FFFFFF" w:themeFill="background1"/>
          </w:tcPr>
          <w:p w14:paraId="0DC1DDCB" w14:textId="24E6B1FE" w:rsidR="00896468" w:rsidRDefault="00B31E50">
            <w:pPr>
              <w:pStyle w:val="P68B1DB1-Normal55"/>
              <w:spacing w:line="276" w:lineRule="auto"/>
              <w:jc w:val="both"/>
            </w:pPr>
            <w:r>
              <w:t>Megnevezés</w:t>
            </w:r>
          </w:p>
          <w:p w14:paraId="7FE1C2CA" w14:textId="30A36D94" w:rsidR="00896468" w:rsidRDefault="00B31E50">
            <w:pPr>
              <w:pStyle w:val="P68B1DB1-Normal45"/>
              <w:spacing w:line="276" w:lineRule="auto"/>
              <w:jc w:val="both"/>
            </w:pPr>
            <w:r>
              <w:t xml:space="preserve">A </w:t>
            </w:r>
            <w:r w:rsidR="0074661C">
              <w:t xml:space="preserve">0050-es oszlopban feltüntetett </w:t>
            </w:r>
            <w:r>
              <w:t>szolgáltató (végső) anyavállalatának neve, amennyiben az nem a csoporthoz tartozó vállalkozás. A többi esetben N/A.</w:t>
            </w:r>
          </w:p>
          <w:p w14:paraId="7FE1C2CB" w14:textId="77777777" w:rsidR="00896468" w:rsidRDefault="00896468">
            <w:pPr>
              <w:spacing w:line="276" w:lineRule="auto"/>
              <w:jc w:val="both"/>
              <w:rPr>
                <w:rFonts w:ascii="Times New Roman" w:hAnsi="Times New Roman" w:cs="Times New Roman"/>
              </w:rPr>
            </w:pPr>
          </w:p>
        </w:tc>
      </w:tr>
      <w:tr w:rsidR="00896468" w14:paraId="7FE1C2D3" w14:textId="77777777">
        <w:trPr>
          <w:trHeight w:val="463"/>
        </w:trPr>
        <w:tc>
          <w:tcPr>
            <w:tcW w:w="1129" w:type="dxa"/>
          </w:tcPr>
          <w:p w14:paraId="7FE1C2CD" w14:textId="77777777" w:rsidR="00896468" w:rsidRDefault="00B31E50">
            <w:pPr>
              <w:pStyle w:val="P68B1DB1-Normal45"/>
              <w:spacing w:line="276" w:lineRule="auto"/>
              <w:jc w:val="both"/>
            </w:pPr>
            <w:r>
              <w:t>0090</w:t>
            </w:r>
          </w:p>
        </w:tc>
        <w:tc>
          <w:tcPr>
            <w:tcW w:w="7938" w:type="dxa"/>
            <w:shd w:val="clear" w:color="auto" w:fill="FFFFFF" w:themeFill="background1"/>
          </w:tcPr>
          <w:p w14:paraId="7FE1C2CE" w14:textId="414718EB" w:rsidR="00896468" w:rsidRDefault="00B31E50">
            <w:pPr>
              <w:pStyle w:val="P68B1DB1-Normal55"/>
              <w:spacing w:line="276" w:lineRule="auto"/>
              <w:jc w:val="both"/>
              <w:rPr>
                <w:bCs/>
              </w:rPr>
            </w:pPr>
            <w:r>
              <w:t>Kód</w:t>
            </w:r>
          </w:p>
          <w:p w14:paraId="7FE1C2CF" w14:textId="77777777" w:rsidR="00896468" w:rsidRDefault="00B31E50">
            <w:pPr>
              <w:pStyle w:val="P68B1DB1-Normal45"/>
              <w:spacing w:line="276" w:lineRule="auto"/>
              <w:jc w:val="both"/>
            </w:pPr>
            <w:r>
              <w:t>A 0080-as oszlopban feltüntetett anyavállalat kódja:</w:t>
            </w:r>
          </w:p>
          <w:p w14:paraId="7FE1C2D0" w14:textId="77777777" w:rsidR="00896468" w:rsidRDefault="00B31E50">
            <w:pPr>
              <w:pStyle w:val="P68B1DB1-Normal45"/>
              <w:spacing w:line="276" w:lineRule="auto"/>
              <w:jc w:val="both"/>
            </w:pPr>
            <w:r>
              <w:t>– jogalany-azonosítóval (LEI) rendelkező szervezetek esetében a 20 jegyű alfanumerikus LEI-kód;</w:t>
            </w:r>
          </w:p>
          <w:p w14:paraId="7FE1C2D1" w14:textId="77777777" w:rsidR="00896468" w:rsidRDefault="00B31E50">
            <w:pPr>
              <w:pStyle w:val="P68B1DB1-Normal45"/>
              <w:spacing w:line="276" w:lineRule="auto"/>
              <w:jc w:val="both"/>
            </w:pPr>
            <w:r>
              <w:t xml:space="preserve">– jogalany-azonosítóval nem rendelkező szervezetek esetében a nemzeti jog szerinti cégjegyzékszám. </w:t>
            </w:r>
          </w:p>
          <w:p w14:paraId="7FE1C2D2" w14:textId="77777777" w:rsidR="00896468" w:rsidRDefault="00896468">
            <w:pPr>
              <w:spacing w:line="276" w:lineRule="auto"/>
              <w:jc w:val="both"/>
              <w:rPr>
                <w:rFonts w:ascii="Times New Roman" w:eastAsia="Calibri" w:hAnsi="Times New Roman" w:cs="Times New Roman"/>
                <w:sz w:val="20"/>
              </w:rPr>
            </w:pPr>
          </w:p>
        </w:tc>
      </w:tr>
      <w:tr w:rsidR="00896468" w14:paraId="7FE1C2DC" w14:textId="77777777">
        <w:trPr>
          <w:trHeight w:val="463"/>
        </w:trPr>
        <w:tc>
          <w:tcPr>
            <w:tcW w:w="1129" w:type="dxa"/>
          </w:tcPr>
          <w:p w14:paraId="7FE1C2D4" w14:textId="77777777" w:rsidR="00896468" w:rsidRDefault="00B31E50">
            <w:pPr>
              <w:pStyle w:val="P68B1DB1-Normal45"/>
              <w:spacing w:line="276" w:lineRule="auto"/>
              <w:jc w:val="both"/>
            </w:pPr>
            <w:r>
              <w:t>0100</w:t>
            </w:r>
          </w:p>
        </w:tc>
        <w:tc>
          <w:tcPr>
            <w:tcW w:w="7938" w:type="dxa"/>
            <w:shd w:val="clear" w:color="auto" w:fill="FFFFFF" w:themeFill="background1"/>
          </w:tcPr>
          <w:p w14:paraId="7FE1C2D5" w14:textId="77777777" w:rsidR="00896468" w:rsidRDefault="00B31E50">
            <w:pPr>
              <w:pStyle w:val="P68B1DB1-Normal55"/>
              <w:spacing w:line="276" w:lineRule="auto"/>
              <w:jc w:val="both"/>
              <w:rPr>
                <w:bCs/>
              </w:rPr>
            </w:pPr>
            <w:r>
              <w:t xml:space="preserve">Kód típusa </w:t>
            </w:r>
          </w:p>
          <w:p w14:paraId="7FE1C2D6" w14:textId="77777777" w:rsidR="00896468" w:rsidRDefault="00B31E50">
            <w:pPr>
              <w:pStyle w:val="P68B1DB1-Normal57"/>
              <w:spacing w:line="276" w:lineRule="auto"/>
              <w:contextualSpacing/>
              <w:jc w:val="both"/>
              <w:rPr>
                <w:bCs/>
              </w:rPr>
            </w:pPr>
            <w:r>
              <w:t>A következő értékek egyikét kell megadni:</w:t>
            </w:r>
          </w:p>
          <w:p w14:paraId="7FE1C2D7" w14:textId="77777777" w:rsidR="00896468" w:rsidRDefault="00B31E50">
            <w:pPr>
              <w:pStyle w:val="P68B1DB1-ListParagraph58"/>
              <w:numPr>
                <w:ilvl w:val="0"/>
                <w:numId w:val="64"/>
              </w:numPr>
              <w:spacing w:line="276" w:lineRule="auto"/>
              <w:contextualSpacing/>
              <w:jc w:val="both"/>
            </w:pPr>
            <w:r>
              <w:t>JOGALANY-AZONOSÍTÓ</w:t>
            </w:r>
          </w:p>
          <w:p w14:paraId="7FE1C2D8" w14:textId="77777777" w:rsidR="00896468" w:rsidRDefault="00B31E50">
            <w:pPr>
              <w:pStyle w:val="P68B1DB1-ListParagraph58"/>
              <w:numPr>
                <w:ilvl w:val="0"/>
                <w:numId w:val="64"/>
              </w:numPr>
              <w:spacing w:line="276" w:lineRule="auto"/>
              <w:contextualSpacing/>
              <w:jc w:val="both"/>
            </w:pPr>
            <w:r>
              <w:t>Cégjegyzékszám,</w:t>
            </w:r>
          </w:p>
          <w:p w14:paraId="7FE1C2DB" w14:textId="010B0D6D" w:rsidR="00896468" w:rsidRDefault="00896468">
            <w:pPr>
              <w:spacing w:line="276" w:lineRule="auto"/>
              <w:jc w:val="both"/>
              <w:rPr>
                <w:rFonts w:ascii="Times New Roman" w:eastAsia="Calibri" w:hAnsi="Times New Roman" w:cs="Times New Roman"/>
                <w:sz w:val="20"/>
              </w:rPr>
            </w:pPr>
          </w:p>
        </w:tc>
      </w:tr>
      <w:tr w:rsidR="00896468" w14:paraId="7FE1C2E4" w14:textId="77777777">
        <w:trPr>
          <w:trHeight w:val="463"/>
        </w:trPr>
        <w:tc>
          <w:tcPr>
            <w:tcW w:w="1129" w:type="dxa"/>
            <w:shd w:val="clear" w:color="auto" w:fill="FFFFFF" w:themeFill="background1"/>
          </w:tcPr>
          <w:p w14:paraId="7FE1C2DD" w14:textId="77777777" w:rsidR="00896468" w:rsidRDefault="00B31E50">
            <w:pPr>
              <w:pStyle w:val="P68B1DB1-Normal45"/>
              <w:spacing w:line="276" w:lineRule="auto"/>
              <w:jc w:val="both"/>
            </w:pPr>
            <w:r>
              <w:t>0110</w:t>
            </w:r>
          </w:p>
        </w:tc>
        <w:tc>
          <w:tcPr>
            <w:tcW w:w="7938" w:type="dxa"/>
            <w:shd w:val="clear" w:color="auto" w:fill="FFFFFF" w:themeFill="background1"/>
          </w:tcPr>
          <w:p w14:paraId="7FE1C2DE" w14:textId="77777777" w:rsidR="00896468" w:rsidRDefault="00B31E50">
            <w:pPr>
              <w:pStyle w:val="P68B1DB1-Normal45"/>
              <w:spacing w:line="276" w:lineRule="auto"/>
              <w:jc w:val="both"/>
            </w:pPr>
            <w:r>
              <w:rPr>
                <w:b/>
              </w:rPr>
              <w:t>Szolgáltatásnyújtás</w:t>
            </w:r>
            <w:r>
              <w:t xml:space="preserve"> </w:t>
            </w:r>
          </w:p>
          <w:p w14:paraId="7FE1C2DF" w14:textId="77777777" w:rsidR="00896468" w:rsidRDefault="00B31E50">
            <w:pPr>
              <w:pStyle w:val="P68B1DB1-Normal45"/>
              <w:spacing w:line="276" w:lineRule="auto"/>
              <w:jc w:val="both"/>
            </w:pPr>
            <w:r>
              <w:t>„Szervezeten belüli”, ha a szolgáltatást egy üzleti egység nyújtja ugyanannak a jogi személynek egy másik üzleti egysége számára.</w:t>
            </w:r>
          </w:p>
          <w:p w14:paraId="7FE1C2E0" w14:textId="08AF9BE3" w:rsidR="00896468" w:rsidRDefault="00B31E50">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„Csoporton belüli – szabályozott </w:t>
            </w:r>
            <w:r w:rsidR="0074661C">
              <w:rPr>
                <w:rFonts w:ascii="Times New Roman" w:eastAsia="Calibri" w:hAnsi="Times New Roman" w:cs="Times New Roman"/>
                <w:sz w:val="20"/>
              </w:rPr>
              <w:t>szervezet</w:t>
            </w:r>
            <w:r>
              <w:rPr>
                <w:rFonts w:ascii="Times New Roman" w:eastAsia="Calibri" w:hAnsi="Times New Roman" w:cs="Times New Roman"/>
                <w:sz w:val="20"/>
              </w:rPr>
              <w:t>”</w:t>
            </w:r>
            <w:r>
              <w:rPr>
                <w:rFonts w:ascii="Times New Roman" w:hAnsi="Times New Roman" w:cs="Times New Roman"/>
              </w:rPr>
              <w:t xml:space="preserve">: ha </w:t>
            </w:r>
            <w:r>
              <w:rPr>
                <w:rFonts w:ascii="Times New Roman" w:eastAsia="Calibri" w:hAnsi="Times New Roman" w:cs="Times New Roman"/>
                <w:sz w:val="20"/>
              </w:rPr>
              <w:t>a szolgáltatást a csoporthoz tartozó olyan vállalkozás nyújtja, amely egyedi alapon a tőkére/likviditásra vonatkozó prudenciális szabályozás hatálya alá tartozik, beleértve azt az esetet is, amikor a prudenciális követelmények alól mentesülnek.</w:t>
            </w:r>
          </w:p>
          <w:p w14:paraId="7FE1C2E1" w14:textId="6FD0E03D" w:rsidR="00896468" w:rsidRDefault="00B31E50">
            <w:pPr>
              <w:pStyle w:val="P68B1DB1-Normal45"/>
              <w:spacing w:line="276" w:lineRule="auto"/>
              <w:jc w:val="both"/>
            </w:pPr>
            <w:r>
              <w:t>„Csoporton belüli – nem szabályozott szervezet”: ha a szolgáltatást a csoporthoz tartozó olyan szervezet nyújtja, amely egyedi alapon nem tartozik a tőkére/likviditásra vonatkozó prudenciális szabályozás hatálya alá, beleértve azt az esetet is, amikor a prudenciális követelmények alól mentesülnek.</w:t>
            </w:r>
          </w:p>
          <w:p w14:paraId="7FE1C2E2" w14:textId="7B6AA381" w:rsidR="00896468" w:rsidRDefault="00B31E50">
            <w:pPr>
              <w:pStyle w:val="P68B1DB1-Normal45"/>
              <w:spacing w:line="276" w:lineRule="auto"/>
              <w:jc w:val="both"/>
            </w:pPr>
            <w:r>
              <w:t>„Külső szervezet”: ha a szolgáltatást a csoporton kívüli külső szolgáltató nyújtja.</w:t>
            </w:r>
          </w:p>
          <w:p w14:paraId="7FE1C2E3" w14:textId="77777777" w:rsidR="00896468" w:rsidRDefault="00896468">
            <w:pPr>
              <w:spacing w:line="276" w:lineRule="auto"/>
              <w:jc w:val="both"/>
              <w:rPr>
                <w:rFonts w:ascii="Times New Roman" w:eastAsia="Calibri" w:hAnsi="Times New Roman" w:cs="Times New Roman"/>
                <w:i/>
                <w:sz w:val="20"/>
              </w:rPr>
            </w:pPr>
          </w:p>
        </w:tc>
      </w:tr>
      <w:tr w:rsidR="00896468" w14:paraId="7FE1C2EB" w14:textId="77777777">
        <w:trPr>
          <w:trHeight w:val="463"/>
        </w:trPr>
        <w:tc>
          <w:tcPr>
            <w:tcW w:w="1129" w:type="dxa"/>
            <w:shd w:val="clear" w:color="auto" w:fill="FFFFFF" w:themeFill="background1"/>
          </w:tcPr>
          <w:p w14:paraId="7FE1C2E5" w14:textId="77777777" w:rsidR="00896468" w:rsidRDefault="00B31E50">
            <w:pPr>
              <w:pStyle w:val="P68B1DB1-Normal50"/>
              <w:spacing w:line="276" w:lineRule="auto"/>
              <w:jc w:val="both"/>
            </w:pPr>
            <w:r>
              <w:t>0120</w:t>
            </w:r>
          </w:p>
          <w:p w14:paraId="7FE1C2E6" w14:textId="77777777" w:rsidR="00896468" w:rsidRDefault="00896468">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089D0677" w:rsidR="00896468" w:rsidRDefault="0074661C">
            <w:pPr>
              <w:pStyle w:val="P68B1DB1-Normal49"/>
              <w:spacing w:line="276" w:lineRule="auto"/>
              <w:jc w:val="both"/>
              <w:rPr>
                <w:bCs/>
                <w:strike/>
              </w:rPr>
            </w:pPr>
            <w:r>
              <w:t>Kritikusság</w:t>
            </w:r>
          </w:p>
          <w:p w14:paraId="7FE1C2E8" w14:textId="0B0DB9DB" w:rsidR="00896468" w:rsidRDefault="00B31E50">
            <w:pPr>
              <w:pStyle w:val="P68B1DB1-ListParagraph58"/>
              <w:numPr>
                <w:ilvl w:val="0"/>
                <w:numId w:val="239"/>
              </w:numPr>
              <w:spacing w:line="276" w:lineRule="auto"/>
              <w:contextualSpacing/>
              <w:jc w:val="both"/>
            </w:pPr>
            <w:r>
              <w:t xml:space="preserve">Kritikus: ha a szolgáltatás egy vagy több kritikus funkció ellátásához szükséges, amelynek megszakítása súlyosan akadályozná vagy </w:t>
            </w:r>
            <w:r w:rsidR="00EC10A5">
              <w:t xml:space="preserve">megakadályozná </w:t>
            </w:r>
            <w:r>
              <w:t>e kritikus funkciók ellátását.</w:t>
            </w:r>
          </w:p>
          <w:p w14:paraId="7FE1C2E9" w14:textId="6A8CA0F7" w:rsidR="00896468" w:rsidRDefault="00B31E50">
            <w:pPr>
              <w:pStyle w:val="P68B1DB1-ListParagraph9"/>
              <w:numPr>
                <w:ilvl w:val="0"/>
                <w:numId w:val="239"/>
              </w:numPr>
              <w:spacing w:line="276" w:lineRule="auto"/>
              <w:contextualSpacing/>
              <w:jc w:val="both"/>
              <w:rPr>
                <w:sz w:val="20"/>
              </w:rPr>
            </w:pPr>
            <w:r>
              <w:rPr>
                <w:sz w:val="20"/>
              </w:rPr>
              <w:t>Alapvető</w:t>
            </w:r>
            <w:r w:rsidR="0074661C">
              <w:rPr>
                <w:sz w:val="20"/>
              </w:rPr>
              <w:t xml:space="preserve"> fontosságú</w:t>
            </w:r>
            <w:r>
              <w:rPr>
                <w:sz w:val="20"/>
              </w:rPr>
              <w:t>: ha a</w:t>
            </w:r>
            <w:r>
              <w:t xml:space="preserve"> </w:t>
            </w:r>
            <w:r w:rsidR="0074661C">
              <w:rPr>
                <w:sz w:val="20"/>
              </w:rPr>
              <w:t xml:space="preserve">szolgáltatás </w:t>
            </w:r>
            <w:r>
              <w:rPr>
                <w:sz w:val="20"/>
              </w:rPr>
              <w:t>olyan fő üzletágakhoz kapcsolódik, amelyek folytonossága szükséges a szanálási stratégia hatékony végrehajtásához és az azt követő szerkezetátalakításhoz.</w:t>
            </w:r>
          </w:p>
          <w:p w14:paraId="7FE1C2EA" w14:textId="3B37659B" w:rsidR="00896468" w:rsidRDefault="00B31E50">
            <w:pPr>
              <w:pStyle w:val="P68B1DB1-ListParagraph58"/>
              <w:numPr>
                <w:ilvl w:val="0"/>
                <w:numId w:val="239"/>
              </w:numPr>
              <w:spacing w:line="276" w:lineRule="auto"/>
              <w:contextualSpacing/>
              <w:jc w:val="both"/>
            </w:pPr>
            <w:r>
              <w:t>Kritikus és alapvető fontosságú</w:t>
            </w:r>
          </w:p>
        </w:tc>
      </w:tr>
      <w:tr w:rsidR="00896468" w14:paraId="7FE1C2F0" w14:textId="77777777">
        <w:trPr>
          <w:trHeight w:val="463"/>
        </w:trPr>
        <w:tc>
          <w:tcPr>
            <w:tcW w:w="1129" w:type="dxa"/>
            <w:shd w:val="clear" w:color="auto" w:fill="FFFFFF" w:themeFill="background1"/>
          </w:tcPr>
          <w:p w14:paraId="7FE1C2EC" w14:textId="77777777" w:rsidR="00896468" w:rsidRDefault="00B31E50">
            <w:pPr>
              <w:pStyle w:val="P68B1DB1-Normal45"/>
              <w:spacing w:line="276" w:lineRule="auto"/>
              <w:jc w:val="both"/>
            </w:pPr>
            <w:r>
              <w:t>0130</w:t>
            </w:r>
          </w:p>
        </w:tc>
        <w:tc>
          <w:tcPr>
            <w:tcW w:w="7938" w:type="dxa"/>
            <w:shd w:val="clear" w:color="auto" w:fill="FFFFFF" w:themeFill="background1"/>
          </w:tcPr>
          <w:p w14:paraId="7FE1C2ED" w14:textId="77777777" w:rsidR="00896468" w:rsidRDefault="00B31E50">
            <w:pPr>
              <w:pStyle w:val="P68B1DB1-Normal49"/>
              <w:spacing w:line="276" w:lineRule="auto"/>
              <w:jc w:val="both"/>
              <w:rPr>
                <w:bCs/>
              </w:rPr>
            </w:pPr>
            <w:r>
              <w:t>Szerződésazonosító</w:t>
            </w:r>
          </w:p>
          <w:p w14:paraId="7FE1C2EE" w14:textId="77777777" w:rsidR="00896468" w:rsidRDefault="00B31E50">
            <w:pPr>
              <w:pStyle w:val="P68B1DB1-Normal45"/>
              <w:spacing w:line="276" w:lineRule="auto"/>
              <w:jc w:val="both"/>
            </w:pPr>
            <w:r>
              <w:t>A szolgáltatás alapjául szolgáló szerződés egyedi szerződéses azonosítója a csoport szolgáltatási taxonómiája szerint.</w:t>
            </w:r>
          </w:p>
          <w:p w14:paraId="7FE1C2EF" w14:textId="77777777" w:rsidR="00896468" w:rsidRDefault="00896468">
            <w:pPr>
              <w:spacing w:line="276" w:lineRule="auto"/>
              <w:jc w:val="both"/>
              <w:rPr>
                <w:rFonts w:ascii="Times New Roman" w:eastAsia="Calibri" w:hAnsi="Times New Roman" w:cs="Times New Roman"/>
                <w:sz w:val="20"/>
              </w:rPr>
            </w:pPr>
          </w:p>
        </w:tc>
      </w:tr>
      <w:tr w:rsidR="00896468" w14:paraId="7FE1C2F6" w14:textId="77777777">
        <w:trPr>
          <w:trHeight w:val="628"/>
        </w:trPr>
        <w:tc>
          <w:tcPr>
            <w:tcW w:w="1129" w:type="dxa"/>
          </w:tcPr>
          <w:p w14:paraId="7FE1C2F1" w14:textId="77777777" w:rsidR="00896468" w:rsidRDefault="00B31E50">
            <w:pPr>
              <w:pStyle w:val="P68B1DB1-Normal45"/>
              <w:spacing w:line="276" w:lineRule="auto"/>
              <w:jc w:val="both"/>
            </w:pPr>
            <w:r>
              <w:lastRenderedPageBreak/>
              <w:t>0140</w:t>
            </w:r>
          </w:p>
          <w:p w14:paraId="7FE1C2F2" w14:textId="77777777" w:rsidR="00896468" w:rsidRDefault="00896468">
            <w:pPr>
              <w:spacing w:line="276" w:lineRule="auto"/>
              <w:jc w:val="both"/>
              <w:rPr>
                <w:rFonts w:ascii="Times New Roman" w:eastAsia="Calibri" w:hAnsi="Times New Roman" w:cs="Times New Roman"/>
                <w:strike/>
                <w:sz w:val="20"/>
              </w:rPr>
            </w:pPr>
          </w:p>
        </w:tc>
        <w:tc>
          <w:tcPr>
            <w:tcW w:w="7938" w:type="dxa"/>
          </w:tcPr>
          <w:p w14:paraId="7FE1C2F3" w14:textId="77777777" w:rsidR="00896468" w:rsidRDefault="00B31E50">
            <w:pPr>
              <w:pStyle w:val="P68B1DB1-Normal55"/>
              <w:spacing w:line="276" w:lineRule="auto"/>
              <w:jc w:val="both"/>
            </w:pPr>
            <w:r>
              <w:rPr>
                <w:szCs w:val="20"/>
              </w:rPr>
              <w:t>Irányadó jog</w:t>
            </w:r>
            <w:r>
              <w:t xml:space="preserve"> </w:t>
            </w:r>
          </w:p>
          <w:p w14:paraId="7FE1C2F4" w14:textId="77777777" w:rsidR="00896468" w:rsidRDefault="00B31E50">
            <w:pPr>
              <w:pStyle w:val="P68B1DB1-Normal45"/>
              <w:spacing w:line="276" w:lineRule="auto"/>
              <w:jc w:val="both"/>
            </w:pPr>
            <w:r>
              <w:t>Annak az országnak az ISO-kódja, amelynek joga a szerződésre irányadó.</w:t>
            </w:r>
          </w:p>
          <w:p w14:paraId="7FE1C2F5" w14:textId="77777777" w:rsidR="00896468" w:rsidRDefault="00896468">
            <w:pPr>
              <w:spacing w:line="276" w:lineRule="auto"/>
              <w:jc w:val="both"/>
              <w:rPr>
                <w:rFonts w:ascii="Times New Roman" w:eastAsia="Calibri" w:hAnsi="Times New Roman" w:cs="Times New Roman"/>
                <w:sz w:val="20"/>
              </w:rPr>
            </w:pPr>
          </w:p>
        </w:tc>
      </w:tr>
      <w:tr w:rsidR="00896468" w14:paraId="7FE1C2FC" w14:textId="77777777">
        <w:trPr>
          <w:trHeight w:val="628"/>
        </w:trPr>
        <w:tc>
          <w:tcPr>
            <w:tcW w:w="1129" w:type="dxa"/>
          </w:tcPr>
          <w:p w14:paraId="7FE1C2F7" w14:textId="77777777" w:rsidR="00896468" w:rsidRDefault="00B31E50">
            <w:pPr>
              <w:pStyle w:val="P68B1DB1-Normal45"/>
              <w:spacing w:line="276" w:lineRule="auto"/>
              <w:jc w:val="both"/>
            </w:pPr>
            <w:r>
              <w:t>0150–0170</w:t>
            </w:r>
          </w:p>
          <w:p w14:paraId="7FE1C2F8" w14:textId="77777777" w:rsidR="00896468" w:rsidRDefault="00896468">
            <w:pPr>
              <w:spacing w:line="276" w:lineRule="auto"/>
              <w:jc w:val="both"/>
              <w:rPr>
                <w:rFonts w:ascii="Times New Roman" w:eastAsia="Calibri" w:hAnsi="Times New Roman" w:cs="Times New Roman"/>
                <w:strike/>
                <w:sz w:val="20"/>
              </w:rPr>
            </w:pPr>
          </w:p>
        </w:tc>
        <w:tc>
          <w:tcPr>
            <w:tcW w:w="7938" w:type="dxa"/>
          </w:tcPr>
          <w:p w14:paraId="7FE1C2F9" w14:textId="300800A5" w:rsidR="00896468" w:rsidRDefault="00B31E50">
            <w:pPr>
              <w:pStyle w:val="P68B1DB1-Normal49"/>
              <w:spacing w:before="120" w:after="120" w:line="276" w:lineRule="auto"/>
              <w:rPr>
                <w:bCs/>
                <w:iCs/>
              </w:rPr>
            </w:pPr>
            <w:r>
              <w:t>Szanálás</w:t>
            </w:r>
            <w:r w:rsidR="00391093">
              <w:t>biztosság</w:t>
            </w:r>
          </w:p>
          <w:p w14:paraId="7FE1C2FA" w14:textId="25846407" w:rsidR="00896468" w:rsidRDefault="00B31E50">
            <w:pPr>
              <w:pStyle w:val="P68B1DB1-NormalWeb59"/>
              <w:spacing w:before="0" w:beforeAutospacing="0" w:after="0" w:afterAutospacing="0"/>
              <w:rPr>
                <w:iCs/>
                <w:szCs w:val="20"/>
              </w:rPr>
            </w:pPr>
            <w:r>
              <w:rPr>
                <w:szCs w:val="20"/>
              </w:rPr>
              <w:t xml:space="preserve">Annak értékelése, hogy a 0020. oszlopban szereplő szolgáltatást támogató szerződés </w:t>
            </w:r>
            <w:r w:rsidR="002C2C91">
              <w:rPr>
                <w:szCs w:val="20"/>
              </w:rPr>
              <w:t>fenntartható</w:t>
            </w:r>
            <w:r>
              <w:rPr>
                <w:szCs w:val="20"/>
              </w:rPr>
              <w:t xml:space="preserve">-e és átruházható-e a szanálási stratégia – </w:t>
            </w:r>
            <w:r w:rsidR="00391093">
              <w:rPr>
                <w:szCs w:val="20"/>
              </w:rPr>
              <w:t>ideértve</w:t>
            </w:r>
            <w:r>
              <w:rPr>
                <w:szCs w:val="20"/>
              </w:rPr>
              <w:t xml:space="preserve"> a reorganizációs terv</w:t>
            </w:r>
            <w:r w:rsidR="00391093">
              <w:rPr>
                <w:szCs w:val="20"/>
              </w:rPr>
              <w:t>et is</w:t>
            </w:r>
            <w:r>
              <w:rPr>
                <w:szCs w:val="20"/>
              </w:rPr>
              <w:t xml:space="preserve"> – végrehajtása során, </w:t>
            </w:r>
            <w:r>
              <w:t>az EBA/GL/2022/01-vel és a vonatkozó nemzeti jogszabályokkal összhangban.</w:t>
            </w:r>
          </w:p>
          <w:p w14:paraId="7FE1C2FB" w14:textId="77777777" w:rsidR="00896468" w:rsidRDefault="00896468">
            <w:pPr>
              <w:spacing w:line="276" w:lineRule="auto"/>
              <w:jc w:val="both"/>
              <w:rPr>
                <w:rFonts w:ascii="Times New Roman" w:eastAsia="Calibri" w:hAnsi="Times New Roman" w:cs="Times New Roman"/>
                <w:iCs/>
                <w:sz w:val="20"/>
                <w:szCs w:val="20"/>
              </w:rPr>
            </w:pPr>
          </w:p>
        </w:tc>
      </w:tr>
      <w:tr w:rsidR="00896468" w14:paraId="7FE1C30C" w14:textId="77777777">
        <w:trPr>
          <w:trHeight w:val="2120"/>
        </w:trPr>
        <w:tc>
          <w:tcPr>
            <w:tcW w:w="1129" w:type="dxa"/>
          </w:tcPr>
          <w:p w14:paraId="7FE1C2FD" w14:textId="77777777" w:rsidR="00896468" w:rsidRDefault="00B31E50">
            <w:pPr>
              <w:pStyle w:val="P68B1DB1-Normal45"/>
              <w:spacing w:line="276" w:lineRule="auto"/>
              <w:jc w:val="both"/>
            </w:pPr>
            <w:r>
              <w:t>0150</w:t>
            </w:r>
          </w:p>
        </w:tc>
        <w:tc>
          <w:tcPr>
            <w:tcW w:w="7938" w:type="dxa"/>
          </w:tcPr>
          <w:p w14:paraId="7FE1C2FE" w14:textId="62FE17C3" w:rsidR="00896468" w:rsidRDefault="00B31E50">
            <w:pPr>
              <w:pStyle w:val="P68B1DB1-Normal55"/>
              <w:spacing w:line="276" w:lineRule="auto"/>
              <w:jc w:val="both"/>
              <w:rPr>
                <w:bCs/>
              </w:rPr>
            </w:pPr>
            <w:r>
              <w:rPr>
                <w:szCs w:val="20"/>
              </w:rPr>
              <w:t>A szanálás</w:t>
            </w:r>
            <w:r w:rsidR="00391093">
              <w:rPr>
                <w:szCs w:val="20"/>
              </w:rPr>
              <w:t>biztosság</w:t>
            </w:r>
            <w:r>
              <w:rPr>
                <w:szCs w:val="20"/>
              </w:rPr>
              <w:t xml:space="preserve"> jellemzői</w:t>
            </w:r>
            <w:r>
              <w:t xml:space="preserve"> </w:t>
            </w:r>
          </w:p>
          <w:p w14:paraId="7FE1C2FF" w14:textId="25CE31D7" w:rsidR="00896468" w:rsidRDefault="00B31E50">
            <w:pPr>
              <w:pStyle w:val="P68B1DB1-Normal50"/>
              <w:spacing w:line="276" w:lineRule="auto"/>
              <w:jc w:val="both"/>
              <w:rPr>
                <w:iCs/>
              </w:rPr>
            </w:pPr>
            <w:r>
              <w:t>A szanálás</w:t>
            </w:r>
            <w:r w:rsidR="00391093">
              <w:t>biztosság</w:t>
            </w:r>
            <w:r>
              <w:t xml:space="preserve"> jellemző</w:t>
            </w:r>
            <w:r w:rsidR="00391093">
              <w:t>i</w:t>
            </w:r>
            <w:r>
              <w:t xml:space="preserve"> olyan tulajdonságok, amelyekkel a vonatkozó szolgáltatási szerződés várhatóan rendelkezik ahhoz, hogy szanálás</w:t>
            </w:r>
            <w:r w:rsidR="00391093">
              <w:t>biztos</w:t>
            </w:r>
            <w:r>
              <w:t>nak minősüljön. Ezek közé tartoznak a következők, feltéve, hogy a szerződés szerinti érdemi kötelezettségeket továbbra is teljesítik:</w:t>
            </w:r>
          </w:p>
          <w:p w14:paraId="7FE1C300" w14:textId="725ABA3A" w:rsidR="00896468" w:rsidRDefault="00B31E50">
            <w:pPr>
              <w:pStyle w:val="P68B1DB1-ListParagraph60"/>
              <w:numPr>
                <w:ilvl w:val="0"/>
                <w:numId w:val="240"/>
              </w:numPr>
              <w:spacing w:line="276" w:lineRule="auto"/>
              <w:ind w:left="500"/>
              <w:contextualSpacing/>
              <w:jc w:val="both"/>
              <w:rPr>
                <w:iCs/>
              </w:rPr>
            </w:pPr>
            <w:r>
              <w:t xml:space="preserve">a szanálás miatt nem kerülhet sor felmondásra, felfüggesztésre vagy módosításra (beleértve a 2014/59/EU irányelv 51. cikke szerinti </w:t>
            </w:r>
            <w:r w:rsidR="00391093">
              <w:t xml:space="preserve">szerkezetátalakítást </w:t>
            </w:r>
            <w:r>
              <w:t xml:space="preserve">is); </w:t>
            </w:r>
          </w:p>
          <w:p w14:paraId="7FE1C301" w14:textId="1DA73AF5" w:rsidR="00896468" w:rsidRDefault="00B31E50">
            <w:pPr>
              <w:pStyle w:val="P68B1DB1-ListParagraph60"/>
              <w:numPr>
                <w:ilvl w:val="0"/>
                <w:numId w:val="240"/>
              </w:numPr>
              <w:spacing w:line="276" w:lineRule="auto"/>
              <w:ind w:left="500"/>
              <w:contextualSpacing/>
              <w:jc w:val="both"/>
              <w:rPr>
                <w:iCs/>
              </w:rPr>
            </w:pPr>
            <w:r>
              <w:t xml:space="preserve">a szolgáltatásnyújtás átruházhatósága egy új igénybevevőre akár a szolgáltatás igénybevevője, akár a szanálási hatóság kezdeményezésére szanálás okán (ideértve a 2014/59/EU irányelv 51. cikke szerinti </w:t>
            </w:r>
            <w:r w:rsidR="00391093">
              <w:t xml:space="preserve">szerkezetátalakítást </w:t>
            </w:r>
            <w:r>
              <w:t xml:space="preserve">is); </w:t>
            </w:r>
          </w:p>
          <w:p w14:paraId="7FE1C302" w14:textId="338D9475" w:rsidR="00896468" w:rsidRDefault="00B31E50">
            <w:pPr>
              <w:pStyle w:val="P68B1DB1-ListParagraph60"/>
              <w:numPr>
                <w:ilvl w:val="0"/>
                <w:numId w:val="240"/>
              </w:numPr>
              <w:spacing w:line="276" w:lineRule="auto"/>
              <w:ind w:left="500"/>
              <w:contextualSpacing/>
              <w:jc w:val="both"/>
              <w:rPr>
                <w:iCs/>
              </w:rPr>
            </w:pPr>
            <w:r>
              <w:t xml:space="preserve">a szanálás (beleértve a 2014/59/EU irányelv 51. cikke szerinti </w:t>
            </w:r>
            <w:r w:rsidR="00391093">
              <w:t xml:space="preserve">szerkezetátalakítást </w:t>
            </w:r>
            <w:r>
              <w:t>is) során bekövetkező átruházás vagy megszüntetés esetén a jelenlegi szolgáltató által nyújtott támogatás egy észszerű időtartamra (például 24 hónapra), ugyanazon feltételek mellett; valamint</w:t>
            </w:r>
          </w:p>
          <w:p w14:paraId="7FE1C303" w14:textId="598522F8" w:rsidR="00896468" w:rsidRDefault="00B31E50">
            <w:pPr>
              <w:pStyle w:val="P68B1DB1-ListParagraph60"/>
              <w:numPr>
                <w:ilvl w:val="0"/>
                <w:numId w:val="240"/>
              </w:numPr>
              <w:spacing w:line="276" w:lineRule="auto"/>
              <w:ind w:left="500"/>
              <w:contextualSpacing/>
              <w:jc w:val="both"/>
              <w:rPr>
                <w:iCs/>
              </w:rPr>
            </w:pPr>
            <w:r>
              <w:t xml:space="preserve">a csoport elidegenített szervezetének nyújtott szolgáltatás folytatása a szanálás során (beleértve a 2014/59/EU irányelv 51. cikke szerinti </w:t>
            </w:r>
            <w:r w:rsidR="00391093">
              <w:t xml:space="preserve">szerkezetátalakítást </w:t>
            </w:r>
            <w:r>
              <w:t>is), az elidegenítést követő észszerű időtartamig, például 24 hónapig.</w:t>
            </w:r>
          </w:p>
          <w:p w14:paraId="7FE1C304" w14:textId="77777777" w:rsidR="00896468" w:rsidRDefault="00B31E50">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Ez azokra a szerződésekre vonatkozik, amelyek esetében a szerződés irányadó joga és joghatósága valamely uniós tagállam joga és joghatósága (a</w:t>
            </w:r>
            <w:r>
              <w:rPr>
                <w:rStyle w:val="FootnoteReference"/>
                <w:rFonts w:ascii="Times New Roman" w:eastAsia="Calibri" w:hAnsi="Times New Roman" w:cs="Times New Roman"/>
                <w:sz w:val="20"/>
                <w:szCs w:val="20"/>
              </w:rPr>
              <w:footnoteReference w:id="25"/>
            </w:r>
            <w:r>
              <w:rPr>
                <w:rFonts w:ascii="Times New Roman" w:eastAsia="Calibri" w:hAnsi="Times New Roman" w:cs="Times New Roman"/>
                <w:sz w:val="20"/>
                <w:szCs w:val="20"/>
              </w:rPr>
              <w:t xml:space="preserve"> továbbiakban: uniós szerződések), valamint azokra a szerződésekre, amelyekre harmadik ország joga alkalmazandó.</w:t>
            </w:r>
          </w:p>
          <w:p w14:paraId="7FE1C305" w14:textId="77777777" w:rsidR="00896468" w:rsidRDefault="00896468">
            <w:pPr>
              <w:spacing w:line="276" w:lineRule="auto"/>
              <w:jc w:val="both"/>
              <w:rPr>
                <w:rFonts w:ascii="Times New Roman" w:eastAsia="Calibri" w:hAnsi="Times New Roman" w:cs="Times New Roman"/>
                <w:sz w:val="20"/>
              </w:rPr>
            </w:pPr>
          </w:p>
          <w:p w14:paraId="7FE1C306" w14:textId="77777777" w:rsidR="00896468" w:rsidRDefault="00B31E50">
            <w:pPr>
              <w:pStyle w:val="P68B1DB1-Normal45"/>
              <w:spacing w:line="276" w:lineRule="auto"/>
              <w:jc w:val="both"/>
            </w:pPr>
            <w:r>
              <w:t>A következő értékek egyikét kell megadni:</w:t>
            </w:r>
          </w:p>
          <w:p w14:paraId="7FE1C307" w14:textId="15F5FEA8" w:rsidR="00896468" w:rsidRDefault="00B31E50">
            <w:pPr>
              <w:pStyle w:val="P68B1DB1-Normal50"/>
              <w:spacing w:line="276" w:lineRule="auto"/>
              <w:jc w:val="both"/>
            </w:pPr>
            <w:r>
              <w:t>„Igen” – ha a szerződés</w:t>
            </w:r>
            <w:r w:rsidR="001760C3">
              <w:t xml:space="preserve"> </w:t>
            </w:r>
            <w:r w:rsidRPr="00C46908">
              <w:t xml:space="preserve">szanálásbiztos </w:t>
            </w:r>
            <w:r>
              <w:t>az értékelés alapján</w:t>
            </w:r>
          </w:p>
          <w:p w14:paraId="7FE1C308" w14:textId="639B7575" w:rsidR="00896468" w:rsidRDefault="00B31E50">
            <w:pPr>
              <w:pStyle w:val="P68B1DB1-Normal50"/>
              <w:spacing w:line="276" w:lineRule="auto"/>
              <w:jc w:val="both"/>
            </w:pPr>
            <w:r>
              <w:t>„Nem” – ha a szerződés nem</w:t>
            </w:r>
            <w:r w:rsidR="001760C3">
              <w:t xml:space="preserve"> </w:t>
            </w:r>
            <w:r w:rsidRPr="00C46908">
              <w:t xml:space="preserve">szanálásbiztos </w:t>
            </w:r>
            <w:r>
              <w:t>az értékelés alapján</w:t>
            </w:r>
          </w:p>
          <w:p w14:paraId="7FE1C309" w14:textId="77777777" w:rsidR="00896468" w:rsidRDefault="00B31E50">
            <w:pPr>
              <w:pStyle w:val="P68B1DB1-Normal50"/>
              <w:spacing w:line="276" w:lineRule="auto"/>
              <w:jc w:val="both"/>
            </w:pPr>
            <w:r>
              <w:t>„Nem készült értékelés” – ha nem készült értékelés</w:t>
            </w:r>
          </w:p>
          <w:p w14:paraId="7FE1C30A" w14:textId="5DF602E3" w:rsidR="00896468" w:rsidRDefault="00B31E50">
            <w:pPr>
              <w:pStyle w:val="P68B1DB1-Normal50"/>
              <w:spacing w:line="276" w:lineRule="auto"/>
              <w:jc w:val="both"/>
            </w:pPr>
            <w:r>
              <w:t>„</w:t>
            </w:r>
            <w:r w:rsidR="00382CC2">
              <w:t>NEM ALKALMAZHATÓ</w:t>
            </w:r>
            <w:r>
              <w:t>” – szervezeten belüli szolgáltatások esetében</w:t>
            </w:r>
          </w:p>
          <w:p w14:paraId="7FE1C30B" w14:textId="77777777" w:rsidR="00896468" w:rsidRDefault="00896468">
            <w:pPr>
              <w:spacing w:line="276" w:lineRule="auto"/>
              <w:jc w:val="both"/>
              <w:rPr>
                <w:rFonts w:ascii="Times New Roman" w:eastAsia="Calibri" w:hAnsi="Times New Roman" w:cs="Times New Roman"/>
                <w:sz w:val="20"/>
              </w:rPr>
            </w:pPr>
          </w:p>
        </w:tc>
      </w:tr>
      <w:tr w:rsidR="00896468" w14:paraId="7FE1C316" w14:textId="77777777">
        <w:trPr>
          <w:trHeight w:val="2120"/>
        </w:trPr>
        <w:tc>
          <w:tcPr>
            <w:tcW w:w="1129" w:type="dxa"/>
          </w:tcPr>
          <w:p w14:paraId="7FE1C30D" w14:textId="77777777" w:rsidR="00896468" w:rsidRDefault="00B31E50">
            <w:pPr>
              <w:pStyle w:val="P68B1DB1-Normal45"/>
              <w:spacing w:line="276" w:lineRule="auto"/>
              <w:jc w:val="both"/>
            </w:pPr>
            <w:r>
              <w:t>0160</w:t>
            </w:r>
          </w:p>
        </w:tc>
        <w:tc>
          <w:tcPr>
            <w:tcW w:w="7938" w:type="dxa"/>
          </w:tcPr>
          <w:p w14:paraId="7FE1C30E" w14:textId="77777777" w:rsidR="00896468" w:rsidRDefault="00B31E50">
            <w:pPr>
              <w:pStyle w:val="P68B1DB1-Normal55"/>
              <w:spacing w:line="276" w:lineRule="auto"/>
              <w:jc w:val="both"/>
              <w:rPr>
                <w:bCs/>
                <w:iCs/>
              </w:rPr>
            </w:pPr>
            <w:r>
              <w:t>Üzleti reorganizációs terv (BRP)</w:t>
            </w:r>
          </w:p>
          <w:p w14:paraId="7FE1C30F" w14:textId="4765BCDE" w:rsidR="00896468" w:rsidRDefault="00B31E50">
            <w:pPr>
              <w:pStyle w:val="P68B1DB1-Normal45"/>
              <w:spacing w:line="276" w:lineRule="auto"/>
              <w:jc w:val="both"/>
              <w:rPr>
                <w:iCs/>
              </w:rPr>
            </w:pPr>
            <w:r>
              <w:t>Ha a</w:t>
            </w:r>
            <w:r w:rsidR="00864E48">
              <w:t>(z előnyben részesített, vagy variáns)</w:t>
            </w:r>
            <w:r>
              <w:t xml:space="preserve"> szanálási stratégia reorganizációs tervet ír elő, az uniós szerződéseknek kifejezett záradékokat kell tartalmazniuk a szanálás</w:t>
            </w:r>
            <w:r w:rsidR="00864E48">
              <w:t>biztosságuk</w:t>
            </w:r>
            <w:r>
              <w:t xml:space="preserve"> a BRP végrehajtása során történő biztosítása érdekében. </w:t>
            </w:r>
          </w:p>
          <w:p w14:paraId="7FE1C310" w14:textId="77777777" w:rsidR="00896468" w:rsidRDefault="00896468">
            <w:pPr>
              <w:spacing w:line="276" w:lineRule="auto"/>
              <w:jc w:val="both"/>
              <w:rPr>
                <w:rFonts w:ascii="Times New Roman" w:eastAsia="Calibri" w:hAnsi="Times New Roman" w:cs="Times New Roman"/>
                <w:iCs/>
                <w:sz w:val="20"/>
              </w:rPr>
            </w:pPr>
          </w:p>
          <w:p w14:paraId="7FE1C311" w14:textId="77777777" w:rsidR="00896468" w:rsidRDefault="00B31E50">
            <w:pPr>
              <w:pStyle w:val="P68B1DB1-Normal45"/>
              <w:spacing w:line="276" w:lineRule="auto"/>
              <w:jc w:val="both"/>
              <w:rPr>
                <w:iCs/>
              </w:rPr>
            </w:pPr>
            <w:r>
              <w:t>A következő értékek egyikét kell megadni:</w:t>
            </w:r>
          </w:p>
          <w:p w14:paraId="7FE1C312" w14:textId="43515FF3"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Igen” – ha a szerződés olyan kifejezett </w:t>
            </w:r>
            <w:r w:rsidR="00864E48">
              <w:rPr>
                <w:rFonts w:ascii="Times New Roman" w:eastAsia="Calibri" w:hAnsi="Times New Roman" w:cs="Times New Roman"/>
                <w:sz w:val="20"/>
              </w:rPr>
              <w:t xml:space="preserve">záradékokat </w:t>
            </w:r>
            <w:r>
              <w:rPr>
                <w:rFonts w:ascii="Times New Roman" w:eastAsia="Calibri" w:hAnsi="Times New Roman" w:cs="Times New Roman"/>
                <w:sz w:val="20"/>
              </w:rPr>
              <w:t>tartalmaz, amelyek biztosítják a szanálás</w:t>
            </w:r>
            <w:r w:rsidR="00864E48">
              <w:rPr>
                <w:rFonts w:ascii="Times New Roman" w:eastAsia="Calibri" w:hAnsi="Times New Roman" w:cs="Times New Roman"/>
                <w:sz w:val="20"/>
              </w:rPr>
              <w:t>biztosságot</w:t>
            </w:r>
            <w:r>
              <w:rPr>
                <w:rFonts w:ascii="Times New Roman" w:eastAsia="Calibri" w:hAnsi="Times New Roman" w:cs="Times New Roman"/>
                <w:sz w:val="20"/>
              </w:rPr>
              <w:t xml:space="preserve"> a BRP végrehajtása során</w:t>
            </w:r>
          </w:p>
          <w:p w14:paraId="7FE1C313" w14:textId="4420F7EC"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 xml:space="preserve">Nem” – ha a szerződés nem tartalmaz olyan kifejezett </w:t>
            </w:r>
            <w:r w:rsidR="00864E48">
              <w:rPr>
                <w:rFonts w:ascii="Times New Roman" w:eastAsia="Calibri" w:hAnsi="Times New Roman" w:cs="Times New Roman"/>
                <w:sz w:val="20"/>
              </w:rPr>
              <w:t>záradékokat</w:t>
            </w:r>
            <w:r>
              <w:rPr>
                <w:rFonts w:ascii="Times New Roman" w:eastAsia="Calibri" w:hAnsi="Times New Roman" w:cs="Times New Roman"/>
                <w:sz w:val="20"/>
              </w:rPr>
              <w:t>, amely biztosítanák a szanálás</w:t>
            </w:r>
            <w:r w:rsidR="00864E48">
              <w:rPr>
                <w:rFonts w:ascii="Times New Roman" w:eastAsia="Calibri" w:hAnsi="Times New Roman" w:cs="Times New Roman"/>
                <w:sz w:val="20"/>
              </w:rPr>
              <w:t>biztosságot</w:t>
            </w:r>
            <w:r>
              <w:rPr>
                <w:rFonts w:ascii="Times New Roman" w:eastAsia="Calibri" w:hAnsi="Times New Roman" w:cs="Times New Roman"/>
                <w:sz w:val="20"/>
              </w:rPr>
              <w:t xml:space="preserve"> a BRP végrehajtása során</w:t>
            </w:r>
          </w:p>
          <w:p w14:paraId="7FE1C314" w14:textId="77777777"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Nem készült értékelés” – ha nem készült értékelés</w:t>
            </w:r>
          </w:p>
          <w:p w14:paraId="7FE1C315" w14:textId="357EFF56"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w:t>
            </w:r>
            <w:r w:rsidR="00382CC2">
              <w:t>NEM ALKALMAZHATÓ</w:t>
            </w:r>
            <w:r>
              <w:rPr>
                <w:rFonts w:ascii="Times New Roman" w:eastAsia="Calibri" w:hAnsi="Times New Roman" w:cs="Times New Roman"/>
                <w:sz w:val="20"/>
              </w:rPr>
              <w:t>” – szervezeten belüli vagy csoporton belüli és külső szolgáltatások esetében, ha a</w:t>
            </w:r>
            <w:r w:rsidR="00864E48">
              <w:rPr>
                <w:rFonts w:ascii="Times New Roman" w:eastAsia="Calibri" w:hAnsi="Times New Roman" w:cs="Times New Roman"/>
                <w:sz w:val="20"/>
              </w:rPr>
              <w:t xml:space="preserve">(z előnyben részesített vagy variáns) </w:t>
            </w:r>
            <w:r>
              <w:rPr>
                <w:rFonts w:ascii="Times New Roman" w:eastAsia="Calibri" w:hAnsi="Times New Roman" w:cs="Times New Roman"/>
                <w:sz w:val="20"/>
              </w:rPr>
              <w:t xml:space="preserve">szanálási stratégia nem igényel reorganizációs tervet </w:t>
            </w:r>
          </w:p>
        </w:tc>
      </w:tr>
      <w:tr w:rsidR="00896468" w14:paraId="7FE1C320" w14:textId="77777777">
        <w:trPr>
          <w:trHeight w:val="416"/>
        </w:trPr>
        <w:tc>
          <w:tcPr>
            <w:tcW w:w="1129" w:type="dxa"/>
          </w:tcPr>
          <w:p w14:paraId="7FE1C317" w14:textId="77777777" w:rsidR="00896468" w:rsidRDefault="00B31E50">
            <w:pPr>
              <w:pStyle w:val="P68B1DB1-Normal45"/>
              <w:spacing w:line="276" w:lineRule="auto"/>
              <w:jc w:val="both"/>
            </w:pPr>
            <w:r>
              <w:lastRenderedPageBreak/>
              <w:t>0170</w:t>
            </w:r>
          </w:p>
        </w:tc>
        <w:tc>
          <w:tcPr>
            <w:tcW w:w="7938" w:type="dxa"/>
          </w:tcPr>
          <w:p w14:paraId="7FE1C318" w14:textId="77777777" w:rsidR="00896468" w:rsidRDefault="00B31E50">
            <w:pPr>
              <w:pStyle w:val="P68B1DB1-Normal55"/>
              <w:spacing w:line="276" w:lineRule="auto"/>
              <w:jc w:val="both"/>
              <w:rPr>
                <w:bCs/>
              </w:rPr>
            </w:pPr>
            <w:r>
              <w:t xml:space="preserve">Alternatív enyhítő intézkedések </w:t>
            </w:r>
          </w:p>
          <w:p w14:paraId="7FE1C319" w14:textId="54503076" w:rsidR="00896468" w:rsidRDefault="00B31E50">
            <w:pPr>
              <w:pStyle w:val="P68B1DB1-Normal45"/>
              <w:spacing w:line="276" w:lineRule="auto"/>
              <w:jc w:val="both"/>
            </w:pPr>
            <w:r>
              <w:t>Amennyiben a szanálás</w:t>
            </w:r>
            <w:r w:rsidR="00864E48">
              <w:t>biztosságot</w:t>
            </w:r>
            <w:r>
              <w:t xml:space="preserve"> </w:t>
            </w:r>
            <w:r w:rsidR="00864E48">
              <w:t>szükséges biztosítani</w:t>
            </w:r>
            <w:r>
              <w:t xml:space="preserve">, de a bankok ezt nem tudták </w:t>
            </w:r>
            <w:r w:rsidR="00864E48">
              <w:t>megvalósítani</w:t>
            </w:r>
            <w:r>
              <w:t xml:space="preserve">, a bankoknak alternatív kockázatcsökkentő intézkedéseket kell mérlegelniük. </w:t>
            </w:r>
          </w:p>
          <w:p w14:paraId="7FE1C31A" w14:textId="77777777" w:rsidR="00896468" w:rsidRDefault="00896468">
            <w:pPr>
              <w:spacing w:line="276" w:lineRule="auto"/>
              <w:jc w:val="both"/>
              <w:rPr>
                <w:rFonts w:ascii="Times New Roman" w:eastAsia="Calibri" w:hAnsi="Times New Roman" w:cs="Times New Roman"/>
                <w:sz w:val="20"/>
              </w:rPr>
            </w:pPr>
          </w:p>
          <w:p w14:paraId="7FE1C31B" w14:textId="77777777" w:rsidR="00896468" w:rsidRDefault="00B31E50">
            <w:pPr>
              <w:pStyle w:val="P68B1DB1-Normal45"/>
              <w:spacing w:line="276" w:lineRule="auto"/>
              <w:jc w:val="both"/>
              <w:rPr>
                <w:iCs/>
              </w:rPr>
            </w:pPr>
            <w:r>
              <w:t>A következő értékek egyikét kell megadni:</w:t>
            </w:r>
          </w:p>
          <w:p w14:paraId="7FE1C31C" w14:textId="77777777"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Igen” – ha a bank alternatív kockázatcsökkentő intézkedéseket hajtott végre</w:t>
            </w:r>
          </w:p>
          <w:p w14:paraId="7FE1C31D" w14:textId="77777777"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Nem” – ha a bank nem hajtott végre alternatív kockázatcsökkentő intézkedéseket</w:t>
            </w:r>
          </w:p>
          <w:p w14:paraId="7FE1C31E" w14:textId="34E8FD03" w:rsidR="00896468" w:rsidRDefault="00B31E50">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sidR="00382CC2">
              <w:t>NEM ALKALMAZHATÓ</w:t>
            </w:r>
            <w:r>
              <w:rPr>
                <w:rFonts w:ascii="Times New Roman" w:hAnsi="Times New Roman" w:cs="Times New Roman"/>
              </w:rPr>
              <w:t xml:space="preserve">” – azokban az esetekben, amikor a 0150. és 0160. oszlopok bármelyike „igen” vagy „NEM </w:t>
            </w:r>
            <w:r w:rsidR="00382CC2">
              <w:rPr>
                <w:rFonts w:ascii="Times New Roman" w:hAnsi="Times New Roman" w:cs="Times New Roman"/>
              </w:rPr>
              <w:t>ALKALMAZHATÓ</w:t>
            </w:r>
            <w:r>
              <w:rPr>
                <w:rFonts w:ascii="Times New Roman" w:hAnsi="Times New Roman" w:cs="Times New Roman"/>
              </w:rPr>
              <w:t>” jelöléssel van ellátva</w:t>
            </w:r>
          </w:p>
          <w:p w14:paraId="7FE1C31F" w14:textId="77777777" w:rsidR="00896468" w:rsidRDefault="00896468">
            <w:pPr>
              <w:spacing w:line="276" w:lineRule="auto"/>
              <w:jc w:val="both"/>
              <w:rPr>
                <w:rFonts w:ascii="Times New Roman" w:eastAsia="Calibri" w:hAnsi="Times New Roman" w:cs="Times New Roman"/>
                <w:sz w:val="20"/>
              </w:rPr>
            </w:pPr>
          </w:p>
        </w:tc>
      </w:tr>
      <w:tr w:rsidR="00896468" w14:paraId="7FE1C327" w14:textId="77777777">
        <w:trPr>
          <w:trHeight w:val="1257"/>
        </w:trPr>
        <w:tc>
          <w:tcPr>
            <w:tcW w:w="1129" w:type="dxa"/>
          </w:tcPr>
          <w:p w14:paraId="7FE1C321" w14:textId="77777777" w:rsidR="00896468" w:rsidRDefault="00B31E50">
            <w:pPr>
              <w:pStyle w:val="P68B1DB1-Normal45"/>
              <w:spacing w:line="276" w:lineRule="auto"/>
              <w:jc w:val="both"/>
            </w:pPr>
            <w:r>
              <w:t>0180</w:t>
            </w:r>
          </w:p>
        </w:tc>
        <w:tc>
          <w:tcPr>
            <w:tcW w:w="7938" w:type="dxa"/>
          </w:tcPr>
          <w:p w14:paraId="7FE1C322" w14:textId="77777777" w:rsidR="00896468" w:rsidRDefault="00B31E50">
            <w:pPr>
              <w:pStyle w:val="P68B1DB1-Normal55"/>
              <w:spacing w:line="276" w:lineRule="auto"/>
              <w:jc w:val="both"/>
              <w:rPr>
                <w:iCs/>
              </w:rPr>
            </w:pPr>
            <w:r>
              <w:rPr>
                <w:szCs w:val="20"/>
              </w:rPr>
              <w:t>A DORA hatálya alá tartozó kritikus harmadik fél IKT-szolgáltató</w:t>
            </w:r>
            <w:r>
              <w:t xml:space="preserve"> </w:t>
            </w:r>
          </w:p>
          <w:p w14:paraId="7FE1C323" w14:textId="77777777" w:rsidR="00896468" w:rsidRDefault="00B31E50">
            <w:pPr>
              <w:pStyle w:val="P68B1DB1-Normal45"/>
              <w:spacing w:line="276" w:lineRule="auto"/>
              <w:jc w:val="both"/>
              <w:rPr>
                <w:iCs/>
              </w:rPr>
            </w:pPr>
            <w:r>
              <w:t>A következő értékek egyikét kell megadni:</w:t>
            </w:r>
          </w:p>
          <w:p w14:paraId="7FE1C324" w14:textId="77777777" w:rsidR="00896468" w:rsidRDefault="00B31E50">
            <w:pPr>
              <w:pStyle w:val="P68B1DB1-Normal50"/>
              <w:spacing w:line="276" w:lineRule="auto"/>
              <w:jc w:val="both"/>
            </w:pPr>
            <w:r>
              <w:t>„Igen” – ha ez az (EU) 2022/2554 rendelet (DORA) 3. cikkének 23. pontja szerinti kritikus harmadik fél IKT-szolgáltató</w:t>
            </w:r>
          </w:p>
          <w:p w14:paraId="7FE1C325" w14:textId="77777777" w:rsidR="00896468" w:rsidRDefault="00B31E50">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Nem” – ha ez nem az (EU) 2022/2554 rendelet (DORA) 3. cikkének 23. pontja szerinti kritikus harmadik fél IKT-szolgáltató</w:t>
            </w:r>
          </w:p>
          <w:p w14:paraId="7FE1C326" w14:textId="77777777" w:rsidR="00896468" w:rsidRDefault="00896468">
            <w:pPr>
              <w:spacing w:line="276" w:lineRule="auto"/>
              <w:jc w:val="both"/>
              <w:rPr>
                <w:rFonts w:ascii="Times New Roman" w:eastAsia="Calibri" w:hAnsi="Times New Roman" w:cs="Times New Roman"/>
                <w:sz w:val="20"/>
              </w:rPr>
            </w:pPr>
          </w:p>
        </w:tc>
      </w:tr>
      <w:tr w:rsidR="00896468" w14:paraId="7FE1C32E" w14:textId="77777777">
        <w:trPr>
          <w:trHeight w:val="1257"/>
        </w:trPr>
        <w:tc>
          <w:tcPr>
            <w:tcW w:w="1129" w:type="dxa"/>
          </w:tcPr>
          <w:p w14:paraId="7FE1C328" w14:textId="77777777" w:rsidR="00896468" w:rsidRDefault="00B31E50">
            <w:pPr>
              <w:pStyle w:val="P68B1DB1-Normal45"/>
              <w:spacing w:line="276" w:lineRule="auto"/>
              <w:jc w:val="both"/>
            </w:pPr>
            <w:r>
              <w:t>0190</w:t>
            </w:r>
          </w:p>
        </w:tc>
        <w:tc>
          <w:tcPr>
            <w:tcW w:w="7938" w:type="dxa"/>
          </w:tcPr>
          <w:p w14:paraId="7FE1C329" w14:textId="693F297D" w:rsidR="00896468" w:rsidRDefault="00B31E50">
            <w:pPr>
              <w:pStyle w:val="P68B1DB1-Normal55"/>
              <w:spacing w:line="276" w:lineRule="auto"/>
              <w:jc w:val="both"/>
              <w:rPr>
                <w:iCs/>
              </w:rPr>
            </w:pPr>
            <w:r>
              <w:rPr>
                <w:szCs w:val="20"/>
              </w:rPr>
              <w:t xml:space="preserve">A DORA </w:t>
            </w:r>
            <w:r w:rsidR="008C6094">
              <w:rPr>
                <w:szCs w:val="20"/>
              </w:rPr>
              <w:t>hatálya alá tartozó</w:t>
            </w:r>
            <w:r>
              <w:rPr>
                <w:szCs w:val="20"/>
              </w:rPr>
              <w:t xml:space="preserve"> IKT-szolgáltatás</w:t>
            </w:r>
            <w:r>
              <w:t xml:space="preserve"> </w:t>
            </w:r>
          </w:p>
          <w:p w14:paraId="7FE1C32A" w14:textId="77777777" w:rsidR="00896468" w:rsidRDefault="00B31E50">
            <w:pPr>
              <w:pStyle w:val="P68B1DB1-Normal45"/>
              <w:spacing w:line="276" w:lineRule="auto"/>
              <w:jc w:val="both"/>
              <w:rPr>
                <w:iCs/>
              </w:rPr>
            </w:pPr>
            <w:r>
              <w:t>A következő értékek egyikét kell megadni:</w:t>
            </w:r>
          </w:p>
          <w:p w14:paraId="7FE1C32B" w14:textId="3A99D278" w:rsidR="00896468" w:rsidRDefault="00B31E50">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„Igen” – ha az (EU) 2022/2554 rendelet</w:t>
            </w:r>
            <w:r>
              <w:rPr>
                <w:rStyle w:val="FootnoteReference"/>
                <w:rFonts w:eastAsia="Calibri" w:cs="Times New Roman"/>
              </w:rPr>
              <w:footnoteReference w:id="26"/>
            </w:r>
            <w:r>
              <w:rPr>
                <w:rFonts w:ascii="Times New Roman" w:eastAsia="Calibri" w:hAnsi="Times New Roman" w:cs="Times New Roman"/>
                <w:sz w:val="20"/>
                <w:szCs w:val="20"/>
              </w:rPr>
              <w:t xml:space="preserve"> (DORA) 3. cikkének 21. pontja szerinti IKT-szolgáltatásról van szó</w:t>
            </w:r>
          </w:p>
          <w:p w14:paraId="7FE1C32C" w14:textId="77777777" w:rsidR="00896468" w:rsidRDefault="00B31E50">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Nem” – ha ez nem az (EU) 2022/2554 rendelet (DORA) 3. cikkének 21. pontja szerinti IKT-szolgáltatás</w:t>
            </w:r>
          </w:p>
          <w:p w14:paraId="7FE1C32D" w14:textId="77777777" w:rsidR="00896468" w:rsidRDefault="00896468">
            <w:pPr>
              <w:spacing w:line="276" w:lineRule="auto"/>
              <w:jc w:val="both"/>
              <w:rPr>
                <w:rFonts w:ascii="Times New Roman" w:eastAsia="Calibri" w:hAnsi="Times New Roman" w:cs="Times New Roman"/>
                <w:iCs/>
                <w:sz w:val="20"/>
              </w:rPr>
            </w:pPr>
          </w:p>
        </w:tc>
      </w:tr>
    </w:tbl>
    <w:p w14:paraId="7FE1C32F" w14:textId="77777777" w:rsidR="00896468" w:rsidRDefault="00896468">
      <w:pPr>
        <w:spacing w:line="276" w:lineRule="auto"/>
        <w:jc w:val="both"/>
        <w:rPr>
          <w:rFonts w:ascii="Times New Roman" w:eastAsia="Calibri" w:hAnsi="Times New Roman" w:cs="Times New Roman"/>
          <w:color w:val="0070C0"/>
          <w:sz w:val="20"/>
        </w:rPr>
      </w:pPr>
    </w:p>
    <w:p w14:paraId="7FE1C478" w14:textId="77777777" w:rsidR="00896468" w:rsidRDefault="00896468">
      <w:pPr>
        <w:rPr>
          <w:rFonts w:ascii="Times New Roman" w:eastAsia="Times New Roman" w:hAnsi="Times New Roman" w:cs="Times New Roman"/>
          <w:sz w:val="20"/>
          <w:szCs w:val="20"/>
          <w:u w:val="single"/>
        </w:rPr>
      </w:pPr>
    </w:p>
    <w:p w14:paraId="7FE1C479" w14:textId="77777777" w:rsidR="00896468" w:rsidRDefault="00896468">
      <w:pPr>
        <w:rPr>
          <w:rFonts w:ascii="Times New Roman" w:eastAsia="Times New Roman" w:hAnsi="Times New Roman" w:cs="Times New Roman"/>
          <w:sz w:val="20"/>
          <w:szCs w:val="20"/>
          <w:u w:val="single"/>
        </w:rPr>
      </w:pPr>
    </w:p>
    <w:p w14:paraId="7FE1C47A" w14:textId="3727929A" w:rsidR="00896468" w:rsidRDefault="00B31E50">
      <w:pPr>
        <w:pStyle w:val="P68B1DB1-Instructionsberschrift25"/>
        <w:numPr>
          <w:ilvl w:val="1"/>
          <w:numId w:val="49"/>
        </w:numPr>
        <w:ind w:left="357" w:hanging="357"/>
        <w:rPr>
          <w:szCs w:val="20"/>
        </w:rPr>
      </w:pPr>
      <w:bookmarkStart w:id="130" w:name="_Toc210982887"/>
      <w:r>
        <w:t xml:space="preserve">Z 08.02 – </w:t>
      </w:r>
      <w:r w:rsidR="008C6094">
        <w:t>Releváns</w:t>
      </w:r>
      <w:r>
        <w:t xml:space="preserve"> szolgáltatások – a működési eszközökhöz való hozzárendelés (SERV 2)</w:t>
      </w:r>
      <w:bookmarkEnd w:id="130"/>
    </w:p>
    <w:p w14:paraId="7FE1C47B" w14:textId="77777777" w:rsidR="00896468" w:rsidRDefault="00B31E50">
      <w:pPr>
        <w:pStyle w:val="P68B1DB1-Normal50"/>
        <w:spacing w:line="276" w:lineRule="auto"/>
        <w:jc w:val="both"/>
      </w:pPr>
      <w:r>
        <w:t>Általános útmutatások</w:t>
      </w:r>
    </w:p>
    <w:p w14:paraId="7FE1C47C" w14:textId="28EE9FAF" w:rsidR="00896468" w:rsidRDefault="00B31E50">
      <w:pPr>
        <w:pStyle w:val="P68B1DB1-Instructionsberschrift346"/>
        <w:numPr>
          <w:ilvl w:val="4"/>
          <w:numId w:val="259"/>
        </w:numPr>
        <w:contextualSpacing/>
        <w:jc w:val="both"/>
        <w:rPr>
          <w:color w:val="auto"/>
        </w:rPr>
      </w:pPr>
      <w:bookmarkStart w:id="131" w:name="_Hlk161330001"/>
      <w:r>
        <w:rPr>
          <w:color w:val="auto"/>
          <w:szCs w:val="24"/>
        </w:rPr>
        <w:t xml:space="preserve">Az e táblában feltüntetendő információkat a csoport egészére vonatkozóan egyszer kell jelenteni.A tábla a csoporthoz tartozó bármely szervezet által igénybe vett </w:t>
      </w:r>
      <w:r w:rsidR="00793E26">
        <w:rPr>
          <w:color w:val="auto"/>
          <w:szCs w:val="24"/>
        </w:rPr>
        <w:t xml:space="preserve">releváns </w:t>
      </w:r>
      <w:r>
        <w:rPr>
          <w:color w:val="auto"/>
          <w:szCs w:val="24"/>
        </w:rPr>
        <w:t xml:space="preserve">szolgáltatásokat sorolja fel és kapcsolja a </w:t>
      </w:r>
      <w:r w:rsidR="00411EAC">
        <w:rPr>
          <w:color w:val="auto"/>
          <w:szCs w:val="24"/>
        </w:rPr>
        <w:t>releváns működési eszköökhöz</w:t>
      </w:r>
      <w:r>
        <w:t>.</w:t>
      </w:r>
    </w:p>
    <w:p w14:paraId="7FE1C47D" w14:textId="790BE864" w:rsidR="00896468" w:rsidRDefault="00B31E50">
      <w:pPr>
        <w:pStyle w:val="P68B1DB1-Instructionsberschrift348"/>
        <w:numPr>
          <w:ilvl w:val="4"/>
          <w:numId w:val="49"/>
        </w:numPr>
        <w:contextualSpacing/>
        <w:jc w:val="both"/>
        <w:rPr>
          <w:color w:val="auto"/>
        </w:rPr>
      </w:pPr>
      <w:r>
        <w:lastRenderedPageBreak/>
        <w:t>Az e tábla 0010., 0020., 0030. és 0080. oszlopában feltüntetett értékek kombinációja elsődleges kulcsot képez, amelynek a tábla minden sorát egyedileg kell azonosítania.</w:t>
      </w:r>
    </w:p>
    <w:bookmarkEnd w:id="131"/>
    <w:p w14:paraId="7FE1C482" w14:textId="77777777" w:rsidR="00896468" w:rsidRDefault="00896468">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896468" w14:paraId="7FE1C54A" w14:textId="77777777">
        <w:trPr>
          <w:trHeight w:val="495"/>
          <w:tblHeader/>
        </w:trPr>
        <w:tc>
          <w:tcPr>
            <w:tcW w:w="1418" w:type="dxa"/>
            <w:shd w:val="clear" w:color="auto" w:fill="E7E6E6"/>
          </w:tcPr>
          <w:p w14:paraId="7FE1C548" w14:textId="77777777" w:rsidR="00896468" w:rsidRDefault="00B31E50">
            <w:pPr>
              <w:pStyle w:val="P68B1DB1-Normal61"/>
              <w:spacing w:before="120" w:after="120" w:line="276" w:lineRule="auto"/>
            </w:pPr>
            <w:r>
              <w:t>Oszlopok</w:t>
            </w:r>
          </w:p>
        </w:tc>
        <w:tc>
          <w:tcPr>
            <w:tcW w:w="7791" w:type="dxa"/>
            <w:shd w:val="clear" w:color="auto" w:fill="E7E6E6"/>
          </w:tcPr>
          <w:p w14:paraId="7FE1C549" w14:textId="77777777" w:rsidR="00896468" w:rsidRDefault="00B31E50">
            <w:pPr>
              <w:pStyle w:val="P68B1DB1-Normal61"/>
              <w:spacing w:before="120" w:after="120" w:line="276" w:lineRule="auto"/>
            </w:pPr>
            <w:r>
              <w:t>Útmutató</w:t>
            </w:r>
          </w:p>
        </w:tc>
      </w:tr>
      <w:tr w:rsidR="00896468" w14:paraId="7FE1C550" w14:textId="77777777">
        <w:trPr>
          <w:trHeight w:val="450"/>
        </w:trPr>
        <w:tc>
          <w:tcPr>
            <w:tcW w:w="1418" w:type="dxa"/>
            <w:shd w:val="clear" w:color="auto" w:fill="FFFFFF" w:themeFill="background1"/>
          </w:tcPr>
          <w:p w14:paraId="7FE1C54B" w14:textId="77777777" w:rsidR="00896468" w:rsidRDefault="00B31E50">
            <w:pPr>
              <w:pStyle w:val="P68B1DB1-Normal62"/>
              <w:spacing w:before="120" w:after="120" w:line="276" w:lineRule="auto"/>
            </w:pPr>
            <w:r>
              <w:t>0005</w:t>
            </w:r>
          </w:p>
        </w:tc>
        <w:tc>
          <w:tcPr>
            <w:tcW w:w="7791" w:type="dxa"/>
            <w:shd w:val="clear" w:color="auto" w:fill="FFFFFF" w:themeFill="background1"/>
          </w:tcPr>
          <w:p w14:paraId="7FE1C54C" w14:textId="77777777" w:rsidR="00896468" w:rsidRDefault="00B31E50">
            <w:pPr>
              <w:pStyle w:val="P68B1DB1-Normal61"/>
              <w:spacing w:before="120" w:after="120" w:line="276" w:lineRule="auto"/>
            </w:pPr>
            <w:r>
              <w:t xml:space="preserve">Service Identifier – Szolgáltatóazonosító </w:t>
            </w:r>
          </w:p>
          <w:p w14:paraId="7FE1C54D" w14:textId="77777777" w:rsidR="00896468" w:rsidRDefault="00B31E50">
            <w:pPr>
              <w:pStyle w:val="P68B1DB1-Normal62"/>
              <w:spacing w:before="120" w:after="120" w:line="276" w:lineRule="auto"/>
            </w:pPr>
            <w:r>
              <w:t>Használja a Z 08.01 (SERV 1) mezőben jelentett szolgáltatásazonosítót.</w:t>
            </w:r>
          </w:p>
          <w:p w14:paraId="7FE1C54E" w14:textId="77777777" w:rsidR="00896468" w:rsidRDefault="00B31E50">
            <w:pPr>
              <w:pStyle w:val="P68B1DB1-Normal62"/>
              <w:spacing w:before="120" w:after="120" w:line="276" w:lineRule="auto"/>
            </w:pPr>
            <w:r>
              <w:t>A szolgáltatásazonosító a c0020. rovatban jelentett szolgáltatásra vonatkozik.</w:t>
            </w:r>
          </w:p>
          <w:p w14:paraId="7FE1C54F" w14:textId="77777777" w:rsidR="00896468" w:rsidRDefault="00896468">
            <w:pPr>
              <w:spacing w:before="120" w:after="120" w:line="276" w:lineRule="auto"/>
              <w:rPr>
                <w:rFonts w:ascii="Times New Roman" w:hAnsi="Times New Roman"/>
                <w:i/>
                <w:sz w:val="20"/>
                <w:szCs w:val="20"/>
              </w:rPr>
            </w:pPr>
          </w:p>
        </w:tc>
      </w:tr>
      <w:tr w:rsidR="00896468" w14:paraId="7FE1C594" w14:textId="77777777">
        <w:trPr>
          <w:trHeight w:val="450"/>
        </w:trPr>
        <w:tc>
          <w:tcPr>
            <w:tcW w:w="1418" w:type="dxa"/>
            <w:shd w:val="clear" w:color="auto" w:fill="FFFFFF" w:themeFill="background1"/>
          </w:tcPr>
          <w:p w14:paraId="7FE1C551" w14:textId="77777777" w:rsidR="00896468" w:rsidRDefault="00B31E50">
            <w:pPr>
              <w:pStyle w:val="P68B1DB1-Normal62"/>
              <w:spacing w:before="120" w:after="120" w:line="276" w:lineRule="auto"/>
            </w:pPr>
            <w:r>
              <w:t>0010</w:t>
            </w:r>
          </w:p>
        </w:tc>
        <w:tc>
          <w:tcPr>
            <w:tcW w:w="7791" w:type="dxa"/>
            <w:shd w:val="clear" w:color="auto" w:fill="FFFFFF" w:themeFill="background1"/>
          </w:tcPr>
          <w:p w14:paraId="7FE1C552" w14:textId="77777777" w:rsidR="00896468" w:rsidRDefault="00B31E50">
            <w:pPr>
              <w:pStyle w:val="P68B1DB1-Normal61"/>
              <w:autoSpaceDE w:val="0"/>
              <w:autoSpaceDN w:val="0"/>
              <w:adjustRightInd w:val="0"/>
              <w:rPr>
                <w:rFonts w:eastAsia="MS Mincho"/>
              </w:rPr>
            </w:pPr>
            <w:r>
              <w:t xml:space="preserve">A szolgáltatás típusa </w:t>
            </w:r>
          </w:p>
          <w:p w14:paraId="7FE1C57A" w14:textId="0D54E7D7" w:rsidR="00896468" w:rsidRDefault="00B31E50">
            <w:pPr>
              <w:pStyle w:val="P68B1DB1-Normal63"/>
              <w:autoSpaceDE w:val="0"/>
              <w:autoSpaceDN w:val="0"/>
              <w:adjustRightInd w:val="0"/>
            </w:pPr>
            <w:r>
              <w:t xml:space="preserve">A szolgáltatás típusa </w:t>
            </w:r>
            <w:r w:rsidR="00BE665D">
              <w:t xml:space="preserve">a </w:t>
            </w:r>
            <w:r w:rsidR="00BE665D" w:rsidRPr="00BE665D">
              <w:t xml:space="preserve">Z 08.01 0010 </w:t>
            </w:r>
            <w:r w:rsidR="00BE665D">
              <w:t xml:space="preserve">alatt </w:t>
            </w:r>
            <w:r>
              <w:t>felsorolt szolgáltatástípusok egyike lehet.</w:t>
            </w:r>
          </w:p>
          <w:p w14:paraId="7FE1C593" w14:textId="77777777" w:rsidR="00896468" w:rsidRDefault="00896468">
            <w:pPr>
              <w:autoSpaceDE w:val="0"/>
              <w:autoSpaceDN w:val="0"/>
              <w:adjustRightInd w:val="0"/>
              <w:rPr>
                <w:rFonts w:ascii="Times New Roman" w:hAnsi="Times New Roman"/>
                <w:sz w:val="20"/>
                <w:szCs w:val="20"/>
              </w:rPr>
            </w:pPr>
          </w:p>
        </w:tc>
      </w:tr>
      <w:tr w:rsidR="00896468" w14:paraId="7FE1C599" w14:textId="77777777">
        <w:trPr>
          <w:trHeight w:val="450"/>
        </w:trPr>
        <w:tc>
          <w:tcPr>
            <w:tcW w:w="1418" w:type="dxa"/>
            <w:shd w:val="clear" w:color="auto" w:fill="FFFFFF" w:themeFill="background1"/>
          </w:tcPr>
          <w:p w14:paraId="7FE1C595" w14:textId="77777777" w:rsidR="00896468" w:rsidRDefault="00B31E50">
            <w:pPr>
              <w:pStyle w:val="P68B1DB1-Normal62"/>
              <w:spacing w:before="120" w:after="120" w:line="276" w:lineRule="auto"/>
            </w:pPr>
            <w:r>
              <w:t>0020</w:t>
            </w:r>
          </w:p>
        </w:tc>
        <w:tc>
          <w:tcPr>
            <w:tcW w:w="7791" w:type="dxa"/>
            <w:shd w:val="clear" w:color="auto" w:fill="FFFFFF" w:themeFill="background1"/>
          </w:tcPr>
          <w:p w14:paraId="7FE1C596" w14:textId="77777777" w:rsidR="00896468" w:rsidRDefault="00B31E50">
            <w:pPr>
              <w:pStyle w:val="P68B1DB1-Normal61"/>
              <w:spacing w:line="276" w:lineRule="auto"/>
              <w:jc w:val="both"/>
              <w:rPr>
                <w:bCs/>
              </w:rPr>
            </w:pPr>
            <w:r>
              <w:t xml:space="preserve">A banki taxonómia szerinti egyedi szolgáltatási cím </w:t>
            </w:r>
          </w:p>
          <w:p w14:paraId="7FE1C597" w14:textId="31873D66" w:rsidR="00896468" w:rsidRDefault="00B31E50">
            <w:pPr>
              <w:pStyle w:val="P68B1DB1-Normal64"/>
              <w:rPr>
                <w:rFonts w:eastAsiaTheme="minorHAnsi"/>
                <w:sz w:val="24"/>
              </w:rPr>
            </w:pPr>
            <w:r>
              <w:t>A szolgáltatás neve/rövid leírása a bank saját többszintű taxonómiája (3. szint) szerint, a Z 08.01 (SERV 1) 0020-as oszlopban megadottak szerint. A banknak a 2. szintre (c0010) vonatkozó jelentésnél részletesebb szinten kell jelentenie a szolgáltatásokat, hogy minden egyes szolgáltatást pontosan és célzottan határozzanak meg.</w:t>
            </w:r>
          </w:p>
          <w:p w14:paraId="7FE1C598" w14:textId="77777777" w:rsidR="00896468" w:rsidRDefault="00896468">
            <w:pPr>
              <w:spacing w:before="120" w:after="120" w:line="276" w:lineRule="auto"/>
              <w:rPr>
                <w:rFonts w:ascii="Times New Roman" w:hAnsi="Times New Roman"/>
                <w:sz w:val="20"/>
                <w:szCs w:val="20"/>
              </w:rPr>
            </w:pPr>
          </w:p>
        </w:tc>
      </w:tr>
      <w:tr w:rsidR="00896468" w14:paraId="7FE1C59E" w14:textId="77777777">
        <w:trPr>
          <w:trHeight w:val="450"/>
        </w:trPr>
        <w:tc>
          <w:tcPr>
            <w:tcW w:w="1418" w:type="dxa"/>
            <w:shd w:val="clear" w:color="auto" w:fill="FFFFFF" w:themeFill="background1"/>
          </w:tcPr>
          <w:p w14:paraId="7FE1C59A" w14:textId="77777777" w:rsidR="00896468" w:rsidRDefault="00B31E50">
            <w:pPr>
              <w:pStyle w:val="P68B1DB1-Normal62"/>
              <w:spacing w:before="120" w:after="120" w:line="276" w:lineRule="auto"/>
            </w:pPr>
            <w:r>
              <w:t>0030</w:t>
            </w:r>
          </w:p>
        </w:tc>
        <w:tc>
          <w:tcPr>
            <w:tcW w:w="7791" w:type="dxa"/>
            <w:shd w:val="clear" w:color="auto" w:fill="FFFFFF" w:themeFill="background1"/>
          </w:tcPr>
          <w:p w14:paraId="7FE1C59B" w14:textId="77777777" w:rsidR="00896468" w:rsidRDefault="00B31E50">
            <w:pPr>
              <w:pStyle w:val="P68B1DB1-Normal61"/>
              <w:spacing w:before="120" w:after="120" w:line="276" w:lineRule="auto"/>
              <w:rPr>
                <w:bCs/>
              </w:rPr>
            </w:pPr>
            <w:r>
              <w:t>Eszközazonosító</w:t>
            </w:r>
          </w:p>
          <w:p w14:paraId="7FE1C59C" w14:textId="77777777" w:rsidR="00896468" w:rsidRDefault="00B31E50">
            <w:pPr>
              <w:pStyle w:val="P68B1DB1-Normal64"/>
              <w:spacing w:line="276" w:lineRule="auto"/>
              <w:jc w:val="both"/>
            </w:pPr>
            <w:r>
              <w:t>Az eszközazonosító a c0050 oszlopban feltüntetett eszközre vonatkozik.</w:t>
            </w:r>
          </w:p>
          <w:p w14:paraId="7FE1C59D" w14:textId="77777777" w:rsidR="00896468" w:rsidRDefault="00896468">
            <w:pPr>
              <w:spacing w:before="120" w:after="120" w:line="276" w:lineRule="auto"/>
              <w:rPr>
                <w:rFonts w:ascii="Times New Roman" w:hAnsi="Times New Roman"/>
                <w:sz w:val="20"/>
                <w:szCs w:val="20"/>
              </w:rPr>
            </w:pPr>
          </w:p>
        </w:tc>
      </w:tr>
      <w:tr w:rsidR="00896468" w14:paraId="7FE1C5AD" w14:textId="77777777">
        <w:trPr>
          <w:trHeight w:val="450"/>
        </w:trPr>
        <w:tc>
          <w:tcPr>
            <w:tcW w:w="1418" w:type="dxa"/>
            <w:shd w:val="clear" w:color="auto" w:fill="FFFFFF" w:themeFill="background1"/>
          </w:tcPr>
          <w:p w14:paraId="7FE1C59F" w14:textId="77777777" w:rsidR="00896468" w:rsidRDefault="00B31E50">
            <w:pPr>
              <w:pStyle w:val="P68B1DB1-Normal62"/>
              <w:spacing w:before="120" w:after="120" w:line="276" w:lineRule="auto"/>
            </w:pPr>
            <w:r>
              <w:t>0040</w:t>
            </w:r>
          </w:p>
        </w:tc>
        <w:tc>
          <w:tcPr>
            <w:tcW w:w="7791" w:type="dxa"/>
            <w:shd w:val="clear" w:color="auto" w:fill="FFFFFF" w:themeFill="background1"/>
          </w:tcPr>
          <w:p w14:paraId="7FE1C5A0" w14:textId="77777777" w:rsidR="00896468" w:rsidRDefault="00B31E50">
            <w:pPr>
              <w:pStyle w:val="P68B1DB1-Normal64"/>
              <w:spacing w:line="276" w:lineRule="auto"/>
              <w:jc w:val="both"/>
            </w:pPr>
            <w:r>
              <w:rPr>
                <w:b/>
                <w:szCs w:val="20"/>
              </w:rPr>
              <w:t>Eszköz típusa</w:t>
            </w:r>
            <w:r>
              <w:t xml:space="preserve"> </w:t>
            </w:r>
          </w:p>
          <w:p w14:paraId="7FE1C5A1" w14:textId="77777777" w:rsidR="00896468" w:rsidRDefault="00B31E50">
            <w:pPr>
              <w:pStyle w:val="P68B1DB1-Normal64"/>
              <w:spacing w:line="276" w:lineRule="auto"/>
              <w:jc w:val="both"/>
            </w:pPr>
            <w:r>
              <w:t xml:space="preserve">Informatikai és kommunikációs eszközök </w:t>
            </w:r>
          </w:p>
          <w:p w14:paraId="7FE1C5A2" w14:textId="77777777" w:rsidR="00896468" w:rsidRDefault="00896468">
            <w:pPr>
              <w:spacing w:line="276" w:lineRule="auto"/>
              <w:rPr>
                <w:rFonts w:ascii="Times New Roman" w:hAnsi="Times New Roman"/>
                <w:sz w:val="20"/>
              </w:rPr>
            </w:pPr>
          </w:p>
          <w:p w14:paraId="7FE1C5A3" w14:textId="77777777" w:rsidR="00896468" w:rsidRDefault="00B31E50">
            <w:pPr>
              <w:pStyle w:val="P68B1DB1-Normal64"/>
              <w:spacing w:line="276" w:lineRule="auto"/>
            </w:pPr>
            <w:r>
              <w:t>– Egyéb informatikai infrastruktúra (például munkaállomások, távközlés, szerverek, adatközpontok és kapcsolódó eszközök)</w:t>
            </w:r>
          </w:p>
          <w:p w14:paraId="7FE1C5A4" w14:textId="77777777" w:rsidR="00896468" w:rsidRDefault="00896468">
            <w:pPr>
              <w:spacing w:line="276" w:lineRule="auto"/>
              <w:rPr>
                <w:rFonts w:ascii="Times New Roman" w:hAnsi="Times New Roman"/>
                <w:sz w:val="20"/>
              </w:rPr>
            </w:pPr>
          </w:p>
          <w:p w14:paraId="7FE1C5A5" w14:textId="5FCAA740" w:rsidR="00896468" w:rsidRDefault="00BE665D">
            <w:pPr>
              <w:pStyle w:val="P68B1DB1-Normal64"/>
              <w:spacing w:line="276" w:lineRule="auto"/>
            </w:pPr>
            <w:r>
              <w:t xml:space="preserve">– </w:t>
            </w:r>
            <w:r w:rsidR="00B31E50">
              <w:t xml:space="preserve">Helyiségek és raktárak </w:t>
            </w:r>
          </w:p>
          <w:p w14:paraId="7FE1C5A6" w14:textId="77777777" w:rsidR="00896468" w:rsidRDefault="00896468">
            <w:pPr>
              <w:spacing w:line="276" w:lineRule="auto"/>
              <w:rPr>
                <w:rFonts w:ascii="Times New Roman" w:hAnsi="Times New Roman"/>
                <w:sz w:val="20"/>
              </w:rPr>
            </w:pPr>
          </w:p>
          <w:p w14:paraId="7FE1C5A7" w14:textId="77777777" w:rsidR="00896468" w:rsidRDefault="00B31E50">
            <w:pPr>
              <w:pStyle w:val="P68B1DB1-Normal64"/>
              <w:spacing w:line="276" w:lineRule="auto"/>
            </w:pPr>
            <w:r>
              <w:t>– Szellemi tulajdon (például szabadalmak, védjegyek stb.)</w:t>
            </w:r>
          </w:p>
          <w:p w14:paraId="7FE1C5A8" w14:textId="77777777" w:rsidR="00896468" w:rsidRDefault="00896468">
            <w:pPr>
              <w:spacing w:line="276" w:lineRule="auto"/>
              <w:rPr>
                <w:rFonts w:ascii="Times New Roman" w:hAnsi="Times New Roman"/>
                <w:sz w:val="20"/>
              </w:rPr>
            </w:pPr>
          </w:p>
          <w:p w14:paraId="7FE1C5A9" w14:textId="77777777" w:rsidR="00896468" w:rsidRDefault="00B31E50">
            <w:pPr>
              <w:pStyle w:val="P68B1DB1-Normal64"/>
              <w:spacing w:line="276" w:lineRule="auto"/>
            </w:pPr>
            <w:r>
              <w:t xml:space="preserve"> – Önkiszolgáló eszközök fióktelepeken és ATM-ekben</w:t>
            </w:r>
          </w:p>
          <w:p w14:paraId="7FE1C5AA" w14:textId="77777777" w:rsidR="00896468" w:rsidRDefault="00896468">
            <w:pPr>
              <w:spacing w:line="276" w:lineRule="auto"/>
              <w:rPr>
                <w:rFonts w:ascii="Times New Roman" w:hAnsi="Times New Roman"/>
                <w:sz w:val="20"/>
              </w:rPr>
            </w:pPr>
          </w:p>
          <w:p w14:paraId="7FE1C5AB" w14:textId="07413E54" w:rsidR="00896468" w:rsidRDefault="00B31E50">
            <w:pPr>
              <w:pStyle w:val="P68B1DB1-Normal62"/>
              <w:spacing w:line="276" w:lineRule="auto"/>
              <w:jc w:val="both"/>
              <w:rPr>
                <w:b/>
              </w:rPr>
            </w:pPr>
            <w:r>
              <w:t>Egyéb eszköztípus</w:t>
            </w:r>
          </w:p>
          <w:p w14:paraId="7FE1C5AC" w14:textId="77777777" w:rsidR="00896468" w:rsidRDefault="00896468">
            <w:pPr>
              <w:spacing w:line="276" w:lineRule="auto"/>
              <w:jc w:val="both"/>
              <w:rPr>
                <w:rFonts w:ascii="Times New Roman" w:hAnsi="Times New Roman"/>
                <w:sz w:val="20"/>
              </w:rPr>
            </w:pPr>
          </w:p>
        </w:tc>
      </w:tr>
      <w:tr w:rsidR="00896468" w14:paraId="7FE1C5B2" w14:textId="77777777">
        <w:trPr>
          <w:trHeight w:val="450"/>
        </w:trPr>
        <w:tc>
          <w:tcPr>
            <w:tcW w:w="1418" w:type="dxa"/>
            <w:shd w:val="clear" w:color="auto" w:fill="FFFFFF" w:themeFill="background1"/>
          </w:tcPr>
          <w:p w14:paraId="7FE1C5AE" w14:textId="77777777" w:rsidR="00896468" w:rsidRDefault="00B31E50">
            <w:pPr>
              <w:pStyle w:val="P68B1DB1-Normal62"/>
              <w:spacing w:before="120" w:after="120" w:line="276" w:lineRule="auto"/>
            </w:pPr>
            <w:r>
              <w:t>0050</w:t>
            </w:r>
          </w:p>
        </w:tc>
        <w:tc>
          <w:tcPr>
            <w:tcW w:w="7791" w:type="dxa"/>
            <w:shd w:val="clear" w:color="auto" w:fill="FFFFFF" w:themeFill="background1"/>
          </w:tcPr>
          <w:p w14:paraId="7FE1C5AF" w14:textId="77777777" w:rsidR="00896468" w:rsidRDefault="00B31E50">
            <w:pPr>
              <w:pStyle w:val="P68B1DB1-Normal61"/>
              <w:spacing w:line="276" w:lineRule="auto"/>
              <w:jc w:val="both"/>
            </w:pPr>
            <w:r>
              <w:t xml:space="preserve">Az eszköz neve </w:t>
            </w:r>
          </w:p>
          <w:p w14:paraId="7FE1C5B0" w14:textId="77777777" w:rsidR="00896468" w:rsidRDefault="00B31E50">
            <w:pPr>
              <w:pStyle w:val="P68B1DB1-Normal64"/>
              <w:spacing w:line="276" w:lineRule="auto"/>
              <w:jc w:val="both"/>
            </w:pPr>
            <w:r>
              <w:t>Az eszköz kereskedelmi vagy belső neve.</w:t>
            </w:r>
          </w:p>
          <w:p w14:paraId="7FE1C5B1" w14:textId="77777777" w:rsidR="00896468" w:rsidRDefault="00896468">
            <w:pPr>
              <w:spacing w:line="276" w:lineRule="auto"/>
              <w:jc w:val="both"/>
              <w:rPr>
                <w:rFonts w:ascii="Times New Roman" w:hAnsi="Times New Roman"/>
                <w:sz w:val="20"/>
              </w:rPr>
            </w:pPr>
          </w:p>
        </w:tc>
      </w:tr>
      <w:tr w:rsidR="00896468" w14:paraId="7FE1C5BA" w14:textId="77777777">
        <w:trPr>
          <w:trHeight w:val="450"/>
        </w:trPr>
        <w:tc>
          <w:tcPr>
            <w:tcW w:w="1418" w:type="dxa"/>
            <w:shd w:val="clear" w:color="auto" w:fill="FFFFFF" w:themeFill="background1"/>
          </w:tcPr>
          <w:p w14:paraId="7FE1C5B3" w14:textId="77777777" w:rsidR="00896468" w:rsidRDefault="00B31E50">
            <w:pPr>
              <w:pStyle w:val="P68B1DB1-Normal62"/>
              <w:spacing w:before="120" w:after="120" w:line="276" w:lineRule="auto"/>
            </w:pPr>
            <w:r>
              <w:t>0060</w:t>
            </w:r>
          </w:p>
        </w:tc>
        <w:tc>
          <w:tcPr>
            <w:tcW w:w="7791" w:type="dxa"/>
            <w:shd w:val="clear" w:color="auto" w:fill="FFFFFF" w:themeFill="background1"/>
          </w:tcPr>
          <w:p w14:paraId="7FE1C5B4" w14:textId="0D4EDCE1" w:rsidR="00896468" w:rsidRDefault="00BE665D">
            <w:pPr>
              <w:pStyle w:val="P68B1DB1-Normal65"/>
              <w:spacing w:line="276" w:lineRule="auto"/>
              <w:jc w:val="both"/>
              <w:rPr>
                <w:iCs/>
              </w:rPr>
            </w:pPr>
            <w:r>
              <w:rPr>
                <w:szCs w:val="20"/>
              </w:rPr>
              <w:t>Kritikusság</w:t>
            </w:r>
            <w:r w:rsidR="00B31E50">
              <w:t xml:space="preserve"> </w:t>
            </w:r>
          </w:p>
          <w:p w14:paraId="7FE1C5B5" w14:textId="77777777" w:rsidR="00896468" w:rsidRDefault="00B31E50">
            <w:pPr>
              <w:pStyle w:val="P68B1DB1-Normal64"/>
              <w:spacing w:line="276" w:lineRule="auto"/>
              <w:jc w:val="both"/>
              <w:rPr>
                <w:iCs/>
              </w:rPr>
            </w:pPr>
            <w:r>
              <w:t>A következő értékek egyikét kell megadni:</w:t>
            </w:r>
          </w:p>
          <w:p w14:paraId="7FE1C5B6" w14:textId="257C58F0" w:rsidR="00896468" w:rsidRDefault="00B31E50">
            <w:pPr>
              <w:pStyle w:val="P68B1DB1-ListParagraph58"/>
              <w:numPr>
                <w:ilvl w:val="0"/>
                <w:numId w:val="236"/>
              </w:numPr>
              <w:spacing w:line="276" w:lineRule="auto"/>
              <w:contextualSpacing/>
              <w:jc w:val="both"/>
              <w:rPr>
                <w:iCs/>
              </w:rPr>
            </w:pPr>
            <w:r>
              <w:t>Kritikus: ha a szolgáltatás egy vagy több kritikus funkció ellátásához szükséges, amelynek megszakítása súlyosan akadályozná vagy</w:t>
            </w:r>
            <w:r w:rsidR="00122552">
              <w:t xml:space="preserve"> megakadályozná </w:t>
            </w:r>
            <w:r>
              <w:t>e kritikus funkciók ellátását.</w:t>
            </w:r>
          </w:p>
          <w:p w14:paraId="7FE1C5B7" w14:textId="2E6CC7AE" w:rsidR="00896468" w:rsidRDefault="00B31E50">
            <w:pPr>
              <w:pStyle w:val="P68B1DB1-ListParagraph58"/>
              <w:numPr>
                <w:ilvl w:val="0"/>
                <w:numId w:val="236"/>
              </w:numPr>
              <w:spacing w:line="276" w:lineRule="auto"/>
              <w:contextualSpacing/>
              <w:jc w:val="both"/>
              <w:rPr>
                <w:iCs/>
              </w:rPr>
            </w:pPr>
            <w:r>
              <w:t xml:space="preserve">Alapvető </w:t>
            </w:r>
            <w:r w:rsidR="00BE665D">
              <w:t>fontosságú</w:t>
            </w:r>
            <w:r>
              <w:t>: ha a szolgáltatás olyan fő üzletágakhoz kapcsolódik, amelyek folytonossága szükséges a szanálási stratégia hatékony végrehajtásához és az azt követő szerkezetátalakításhoz.</w:t>
            </w:r>
          </w:p>
          <w:p w14:paraId="7FE1C5B8" w14:textId="475A76CC" w:rsidR="00896468" w:rsidRDefault="00B31E50">
            <w:pPr>
              <w:pStyle w:val="P68B1DB1-ListParagraph58"/>
              <w:numPr>
                <w:ilvl w:val="0"/>
                <w:numId w:val="236"/>
              </w:numPr>
              <w:spacing w:line="276" w:lineRule="auto"/>
              <w:contextualSpacing/>
              <w:jc w:val="both"/>
              <w:rPr>
                <w:iCs/>
              </w:rPr>
            </w:pPr>
            <w:r>
              <w:t>Kritikus és alapvető fontosságú</w:t>
            </w:r>
          </w:p>
          <w:p w14:paraId="7FE1C5B9" w14:textId="77777777" w:rsidR="00896468" w:rsidRDefault="00896468">
            <w:pPr>
              <w:spacing w:line="276" w:lineRule="auto"/>
              <w:jc w:val="both"/>
              <w:rPr>
                <w:rFonts w:ascii="Times New Roman" w:hAnsi="Times New Roman"/>
                <w:sz w:val="20"/>
              </w:rPr>
            </w:pPr>
          </w:p>
        </w:tc>
      </w:tr>
      <w:tr w:rsidR="00896468" w14:paraId="7FE1C5C3" w14:textId="77777777">
        <w:trPr>
          <w:trHeight w:val="450"/>
        </w:trPr>
        <w:tc>
          <w:tcPr>
            <w:tcW w:w="1418" w:type="dxa"/>
            <w:shd w:val="clear" w:color="auto" w:fill="FFFFFF" w:themeFill="background1"/>
          </w:tcPr>
          <w:p w14:paraId="7FE1C5BB" w14:textId="77777777" w:rsidR="00896468" w:rsidRDefault="00B31E50">
            <w:pPr>
              <w:pStyle w:val="P68B1DB1-Normal62"/>
              <w:spacing w:before="120" w:after="120" w:line="276" w:lineRule="auto"/>
            </w:pPr>
            <w:r>
              <w:lastRenderedPageBreak/>
              <w:t>0070</w:t>
            </w:r>
          </w:p>
        </w:tc>
        <w:tc>
          <w:tcPr>
            <w:tcW w:w="7791" w:type="dxa"/>
            <w:shd w:val="clear" w:color="auto" w:fill="FFFFFF" w:themeFill="background1"/>
          </w:tcPr>
          <w:p w14:paraId="7FE1C5BC" w14:textId="77777777" w:rsidR="00896468" w:rsidRDefault="00B31E50">
            <w:pPr>
              <w:pStyle w:val="P68B1DB1-Normal64"/>
              <w:spacing w:line="276" w:lineRule="auto"/>
              <w:jc w:val="both"/>
              <w:rPr>
                <w:iCs/>
              </w:rPr>
            </w:pPr>
            <w:r>
              <w:rPr>
                <w:b/>
                <w:szCs w:val="20"/>
              </w:rPr>
              <w:t>Jogi/szerződéstípus</w:t>
            </w:r>
            <w:r>
              <w:t xml:space="preserve"> </w:t>
            </w:r>
          </w:p>
          <w:p w14:paraId="7FE1C5BD" w14:textId="77777777" w:rsidR="00896468" w:rsidRDefault="00B31E50">
            <w:pPr>
              <w:pStyle w:val="P68B1DB1-Normal64"/>
              <w:spacing w:line="276" w:lineRule="auto"/>
              <w:jc w:val="both"/>
              <w:rPr>
                <w:iCs/>
              </w:rPr>
            </w:pPr>
            <w:r>
              <w:t>A következő értékek egyikét kell megadni:</w:t>
            </w:r>
          </w:p>
          <w:p w14:paraId="7FE1C5BE" w14:textId="77777777" w:rsidR="00896468" w:rsidRDefault="00B31E50">
            <w:pPr>
              <w:pStyle w:val="P68B1DB1-Normal66"/>
              <w:numPr>
                <w:ilvl w:val="0"/>
                <w:numId w:val="236"/>
              </w:numPr>
              <w:contextualSpacing/>
              <w:jc w:val="both"/>
            </w:pPr>
            <w:r>
              <w:t>Saját</w:t>
            </w:r>
          </w:p>
          <w:p w14:paraId="7FE1C5BF" w14:textId="77777777" w:rsidR="00896468" w:rsidRDefault="00B31E50">
            <w:pPr>
              <w:pStyle w:val="P68B1DB1-Normal66"/>
              <w:numPr>
                <w:ilvl w:val="0"/>
                <w:numId w:val="236"/>
              </w:numPr>
              <w:contextualSpacing/>
              <w:jc w:val="both"/>
            </w:pPr>
            <w:r>
              <w:t>Bérelt</w:t>
            </w:r>
          </w:p>
          <w:p w14:paraId="7FE1C5C0" w14:textId="1E35258C" w:rsidR="00896468" w:rsidRDefault="00BE665D">
            <w:pPr>
              <w:pStyle w:val="P68B1DB1-Normal66"/>
              <w:numPr>
                <w:ilvl w:val="0"/>
                <w:numId w:val="236"/>
              </w:numPr>
              <w:contextualSpacing/>
              <w:jc w:val="both"/>
            </w:pPr>
            <w:r>
              <w:t>Licenszelt</w:t>
            </w:r>
          </w:p>
          <w:p w14:paraId="7FE1C5C1" w14:textId="3AFF0D43" w:rsidR="00896468" w:rsidRDefault="00B31E50">
            <w:pPr>
              <w:pStyle w:val="P68B1DB1-Normal66"/>
              <w:numPr>
                <w:ilvl w:val="0"/>
                <w:numId w:val="236"/>
              </w:numPr>
              <w:contextualSpacing/>
              <w:jc w:val="both"/>
            </w:pPr>
            <w:r>
              <w:t>Egyéb jogi/szerződéstípus</w:t>
            </w:r>
          </w:p>
          <w:p w14:paraId="7FE1C5C2" w14:textId="77777777" w:rsidR="00896468" w:rsidRDefault="00896468">
            <w:pPr>
              <w:spacing w:line="276" w:lineRule="auto"/>
              <w:jc w:val="both"/>
              <w:rPr>
                <w:rFonts w:ascii="Times New Roman" w:hAnsi="Times New Roman"/>
                <w:sz w:val="20"/>
              </w:rPr>
            </w:pPr>
          </w:p>
        </w:tc>
      </w:tr>
      <w:tr w:rsidR="00896468" w14:paraId="7FE1C5C9" w14:textId="77777777">
        <w:trPr>
          <w:trHeight w:val="450"/>
        </w:trPr>
        <w:tc>
          <w:tcPr>
            <w:tcW w:w="1418" w:type="dxa"/>
            <w:shd w:val="clear" w:color="auto" w:fill="FFFFFF" w:themeFill="background1"/>
          </w:tcPr>
          <w:p w14:paraId="7FE1C5C4" w14:textId="77777777" w:rsidR="00896468" w:rsidRDefault="00B31E50">
            <w:pPr>
              <w:pStyle w:val="P68B1DB1-Normal62"/>
              <w:spacing w:before="120" w:after="120" w:line="276" w:lineRule="auto"/>
            </w:pPr>
            <w:r>
              <w:t>0080</w:t>
            </w:r>
          </w:p>
        </w:tc>
        <w:tc>
          <w:tcPr>
            <w:tcW w:w="7791" w:type="dxa"/>
            <w:shd w:val="clear" w:color="auto" w:fill="FFFFFF" w:themeFill="background1"/>
          </w:tcPr>
          <w:p w14:paraId="7FE1C5C5" w14:textId="77777777" w:rsidR="00896468" w:rsidRDefault="00B31E50">
            <w:pPr>
              <w:pStyle w:val="P68B1DB1-Normal61"/>
              <w:spacing w:before="120" w:after="120" w:line="276" w:lineRule="auto"/>
              <w:rPr>
                <w:bCs/>
              </w:rPr>
            </w:pPr>
            <w:r>
              <w:t>Szerződésazonosító</w:t>
            </w:r>
          </w:p>
          <w:p w14:paraId="7FE1C5C6" w14:textId="77777777" w:rsidR="00896468" w:rsidRDefault="00B31E50">
            <w:pPr>
              <w:pStyle w:val="P68B1DB1-Normal64"/>
              <w:spacing w:line="276" w:lineRule="auto"/>
              <w:jc w:val="both"/>
              <w:rPr>
                <w:i/>
              </w:rPr>
            </w:pPr>
            <w:r>
              <w:t>Az eszközt alátámasztó szerződés egyedi szerződéses azonosítója a csoport szolgáltatási taxonómiája szerint.</w:t>
            </w:r>
          </w:p>
          <w:p w14:paraId="7FE1C5C7" w14:textId="77777777" w:rsidR="00896468" w:rsidRDefault="00896468">
            <w:pPr>
              <w:spacing w:line="276" w:lineRule="auto"/>
              <w:jc w:val="both"/>
              <w:rPr>
                <w:rFonts w:ascii="Times New Roman" w:hAnsi="Times New Roman"/>
                <w:i/>
                <w:sz w:val="20"/>
              </w:rPr>
            </w:pPr>
          </w:p>
          <w:p w14:paraId="7FE1C5C8" w14:textId="77777777" w:rsidR="00896468" w:rsidRDefault="00896468">
            <w:pPr>
              <w:spacing w:line="276" w:lineRule="auto"/>
              <w:jc w:val="both"/>
              <w:rPr>
                <w:rFonts w:ascii="Times New Roman" w:hAnsi="Times New Roman"/>
                <w:iCs/>
                <w:sz w:val="20"/>
              </w:rPr>
            </w:pPr>
          </w:p>
        </w:tc>
      </w:tr>
      <w:tr w:rsidR="00896468" w14:paraId="7FE1C5CE" w14:textId="77777777">
        <w:trPr>
          <w:trHeight w:val="450"/>
        </w:trPr>
        <w:tc>
          <w:tcPr>
            <w:tcW w:w="1418" w:type="dxa"/>
            <w:shd w:val="clear" w:color="auto" w:fill="FFFFFF" w:themeFill="background1"/>
          </w:tcPr>
          <w:p w14:paraId="7FE1C5CA" w14:textId="77777777" w:rsidR="00896468" w:rsidRDefault="00B31E50">
            <w:pPr>
              <w:pStyle w:val="P68B1DB1-Normal62"/>
              <w:spacing w:before="120" w:after="120" w:line="276" w:lineRule="auto"/>
            </w:pPr>
            <w:r>
              <w:t>0090</w:t>
            </w:r>
          </w:p>
        </w:tc>
        <w:tc>
          <w:tcPr>
            <w:tcW w:w="7791" w:type="dxa"/>
            <w:shd w:val="clear" w:color="auto" w:fill="FFFFFF" w:themeFill="background1"/>
          </w:tcPr>
          <w:p w14:paraId="7FE1C5CB" w14:textId="77777777" w:rsidR="00896468" w:rsidRDefault="00B31E50">
            <w:pPr>
              <w:pStyle w:val="P68B1DB1-Normal65"/>
              <w:spacing w:line="276" w:lineRule="auto"/>
              <w:jc w:val="both"/>
            </w:pPr>
            <w:r>
              <w:rPr>
                <w:szCs w:val="20"/>
              </w:rPr>
              <w:t>Irányadó jog</w:t>
            </w:r>
            <w:r>
              <w:t xml:space="preserve"> </w:t>
            </w:r>
          </w:p>
          <w:p w14:paraId="7FE1C5CC" w14:textId="77777777" w:rsidR="00896468" w:rsidRDefault="00B31E50">
            <w:pPr>
              <w:pStyle w:val="P68B1DB1-Normal64"/>
              <w:spacing w:line="276" w:lineRule="auto"/>
              <w:jc w:val="both"/>
            </w:pPr>
            <w:r>
              <w:t>Annak az országnak az ISO-kódja, amelynek joga a szerződésre irányadó.</w:t>
            </w:r>
          </w:p>
          <w:p w14:paraId="7FE1C5CD" w14:textId="77777777" w:rsidR="00896468" w:rsidRDefault="00896468">
            <w:pPr>
              <w:spacing w:line="276" w:lineRule="auto"/>
              <w:jc w:val="both"/>
              <w:rPr>
                <w:rFonts w:ascii="Times New Roman" w:hAnsi="Times New Roman"/>
                <w:iCs/>
                <w:sz w:val="20"/>
              </w:rPr>
            </w:pPr>
          </w:p>
        </w:tc>
      </w:tr>
      <w:tr w:rsidR="00896468" w14:paraId="7FE1C5D4" w14:textId="77777777">
        <w:trPr>
          <w:trHeight w:val="463"/>
        </w:trPr>
        <w:tc>
          <w:tcPr>
            <w:tcW w:w="1418" w:type="dxa"/>
            <w:shd w:val="clear" w:color="auto" w:fill="FFFFFF" w:themeFill="background1"/>
          </w:tcPr>
          <w:p w14:paraId="7FE1C5CF" w14:textId="77777777" w:rsidR="00896468" w:rsidRDefault="00B31E50">
            <w:pPr>
              <w:pStyle w:val="P68B1DB1-Normal64"/>
              <w:spacing w:line="276" w:lineRule="auto"/>
              <w:jc w:val="both"/>
            </w:pPr>
            <w:r>
              <w:t>0100–0120</w:t>
            </w:r>
          </w:p>
          <w:p w14:paraId="7FE1C5D0" w14:textId="77777777" w:rsidR="00896468" w:rsidRDefault="00896468">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EE1C56" w:rsidR="00896468" w:rsidRDefault="00B31E50">
            <w:pPr>
              <w:pStyle w:val="P68B1DB1-Normal61"/>
              <w:spacing w:before="120" w:after="120" w:line="276" w:lineRule="auto"/>
              <w:rPr>
                <w:bCs/>
                <w:iCs/>
              </w:rPr>
            </w:pPr>
            <w:r>
              <w:t>Szanálás</w:t>
            </w:r>
            <w:r w:rsidR="00E20681">
              <w:t>biztosság</w:t>
            </w:r>
            <w:r>
              <w:t xml:space="preserve"> </w:t>
            </w:r>
          </w:p>
          <w:p w14:paraId="7FE1C5D2" w14:textId="0E4A3FEA" w:rsidR="00896468" w:rsidRDefault="00B31E50">
            <w:pPr>
              <w:pStyle w:val="P68B1DB1-NormalWeb59"/>
              <w:spacing w:before="0" w:beforeAutospacing="0" w:after="0" w:afterAutospacing="0"/>
              <w:rPr>
                <w:iCs/>
                <w:szCs w:val="20"/>
              </w:rPr>
            </w:pPr>
            <w:r>
              <w:rPr>
                <w:szCs w:val="20"/>
              </w:rPr>
              <w:t xml:space="preserve">Annak értékelése, hogy a 0030-as oszlopban feltüntetett eszközt támogató szerződés </w:t>
            </w:r>
            <w:r w:rsidR="002C2C91">
              <w:rPr>
                <w:szCs w:val="20"/>
              </w:rPr>
              <w:t>fenntartható</w:t>
            </w:r>
            <w:r>
              <w:rPr>
                <w:szCs w:val="20"/>
              </w:rPr>
              <w:t xml:space="preserve">-e és </w:t>
            </w:r>
            <w:r w:rsidR="00E20681">
              <w:rPr>
                <w:szCs w:val="20"/>
              </w:rPr>
              <w:t>átruházható</w:t>
            </w:r>
            <w:r>
              <w:rPr>
                <w:szCs w:val="20"/>
              </w:rPr>
              <w:t xml:space="preserve">-e a szanálási stratégia – </w:t>
            </w:r>
            <w:r w:rsidR="00E20681">
              <w:rPr>
                <w:szCs w:val="20"/>
              </w:rPr>
              <w:t>ideértve</w:t>
            </w:r>
            <w:r>
              <w:rPr>
                <w:szCs w:val="20"/>
              </w:rPr>
              <w:t xml:space="preserve"> a reorganizációs terv</w:t>
            </w:r>
            <w:r w:rsidR="00E20681">
              <w:rPr>
                <w:szCs w:val="20"/>
              </w:rPr>
              <w:t>et is</w:t>
            </w:r>
            <w:r>
              <w:rPr>
                <w:szCs w:val="20"/>
              </w:rPr>
              <w:t xml:space="preserve"> – végrehajtása során, </w:t>
            </w:r>
            <w:r>
              <w:t>az EBA/GL/2022/01 iránymutatással és a vonatkozó nemzeti jogszabályokkal összhangban.</w:t>
            </w:r>
          </w:p>
          <w:p w14:paraId="7FE1C5D3" w14:textId="77777777" w:rsidR="00896468" w:rsidRDefault="00896468">
            <w:pPr>
              <w:pStyle w:val="NormalWeb"/>
              <w:spacing w:before="0" w:beforeAutospacing="0" w:after="0" w:afterAutospacing="0"/>
              <w:rPr>
                <w:sz w:val="20"/>
              </w:rPr>
            </w:pPr>
          </w:p>
        </w:tc>
      </w:tr>
      <w:tr w:rsidR="00896468" w14:paraId="7FE1C5E4" w14:textId="77777777">
        <w:trPr>
          <w:trHeight w:val="463"/>
        </w:trPr>
        <w:tc>
          <w:tcPr>
            <w:tcW w:w="1418" w:type="dxa"/>
            <w:shd w:val="clear" w:color="auto" w:fill="FFFFFF" w:themeFill="background1"/>
          </w:tcPr>
          <w:p w14:paraId="7FE1C5D5" w14:textId="77777777" w:rsidR="00896468" w:rsidRDefault="00B31E50">
            <w:pPr>
              <w:pStyle w:val="P68B1DB1-Normal64"/>
              <w:spacing w:before="120" w:after="120" w:line="276" w:lineRule="auto"/>
              <w:rPr>
                <w:szCs w:val="20"/>
              </w:rPr>
            </w:pPr>
            <w:r>
              <w:t>0100</w:t>
            </w:r>
          </w:p>
        </w:tc>
        <w:tc>
          <w:tcPr>
            <w:tcW w:w="7791" w:type="dxa"/>
            <w:shd w:val="clear" w:color="auto" w:fill="FFFFFF" w:themeFill="background1"/>
          </w:tcPr>
          <w:p w14:paraId="7FE1C5D6" w14:textId="5182AAEE" w:rsidR="00896468" w:rsidRDefault="00B31E50">
            <w:pPr>
              <w:pStyle w:val="P68B1DB1-Normal65"/>
              <w:spacing w:line="276" w:lineRule="auto"/>
              <w:jc w:val="both"/>
              <w:rPr>
                <w:bCs/>
              </w:rPr>
            </w:pPr>
            <w:r>
              <w:rPr>
                <w:szCs w:val="20"/>
              </w:rPr>
              <w:t>A szanálás</w:t>
            </w:r>
            <w:r w:rsidR="00E20681">
              <w:rPr>
                <w:szCs w:val="20"/>
              </w:rPr>
              <w:t>biztosság</w:t>
            </w:r>
            <w:r>
              <w:rPr>
                <w:szCs w:val="20"/>
              </w:rPr>
              <w:t xml:space="preserve"> jellemzői</w:t>
            </w:r>
            <w:r>
              <w:t xml:space="preserve"> </w:t>
            </w:r>
          </w:p>
          <w:p w14:paraId="7FE1C5D7" w14:textId="737DCA59" w:rsidR="00896468" w:rsidRDefault="00B31E50">
            <w:pPr>
              <w:pStyle w:val="P68B1DB1-Normal62"/>
              <w:spacing w:line="276" w:lineRule="auto"/>
              <w:jc w:val="both"/>
              <w:rPr>
                <w:iCs/>
              </w:rPr>
            </w:pPr>
            <w:r>
              <w:t>A szanálás</w:t>
            </w:r>
            <w:r w:rsidR="00E20681">
              <w:t>biztosság</w:t>
            </w:r>
            <w:r>
              <w:t xml:space="preserve"> jellemző</w:t>
            </w:r>
            <w:r w:rsidR="00E20681">
              <w:t>i</w:t>
            </w:r>
            <w:r>
              <w:t xml:space="preserve"> olyan tulajdonságok, amelyekkel a vonatkozó szerződés várhatóan rendelkezik ahhoz, hogy szanálás</w:t>
            </w:r>
            <w:r w:rsidR="00E20681">
              <w:t>biztos</w:t>
            </w:r>
            <w:r>
              <w:t>nak minősüljön. Ezek közé tartoznak a következők, feltéve, hogy a szerződés szerinti érdemi kötelezettségeket továbbra is teljesítik:</w:t>
            </w:r>
          </w:p>
          <w:p w14:paraId="7FE1C5D8" w14:textId="3BC8A20E" w:rsidR="00896468" w:rsidRDefault="00B31E50">
            <w:pPr>
              <w:pStyle w:val="P68B1DB1-ListParagraph60"/>
              <w:numPr>
                <w:ilvl w:val="0"/>
                <w:numId w:val="263"/>
              </w:numPr>
              <w:spacing w:line="276" w:lineRule="auto"/>
              <w:contextualSpacing/>
              <w:jc w:val="both"/>
              <w:rPr>
                <w:iCs/>
              </w:rPr>
            </w:pPr>
            <w:r>
              <w:t xml:space="preserve">a szanálás miatt nem kerülhet sor felmondásra, felfüggesztésre vagy módosításra (beleértve a 2014/59/EU irányelv 51. cikke szerinti </w:t>
            </w:r>
            <w:r w:rsidR="00E20681">
              <w:t xml:space="preserve">szerkezetátalakítást </w:t>
            </w:r>
            <w:r>
              <w:t xml:space="preserve">is); </w:t>
            </w:r>
          </w:p>
          <w:p w14:paraId="7FE1C5D9" w14:textId="1AFDD851" w:rsidR="00896468" w:rsidRDefault="00B31E50">
            <w:pPr>
              <w:pStyle w:val="P68B1DB1-ListParagraph60"/>
              <w:numPr>
                <w:ilvl w:val="0"/>
                <w:numId w:val="263"/>
              </w:numPr>
              <w:spacing w:line="276" w:lineRule="auto"/>
              <w:contextualSpacing/>
              <w:jc w:val="both"/>
              <w:rPr>
                <w:iCs/>
              </w:rPr>
            </w:pPr>
            <w:r>
              <w:t xml:space="preserve">a szolgáltatásnyújtás átruházhatósága egy új igénybevevőre akár a szolgáltatás igénybevevője, akár a szanálási hatóság kezdeményezésére szanálás okán (ideértve a 2014/59/EU irányelv 51. cikke szerinti </w:t>
            </w:r>
            <w:r w:rsidR="00E20681">
              <w:t>szerkezetátalakítást</w:t>
            </w:r>
            <w:r>
              <w:t xml:space="preserve"> is); </w:t>
            </w:r>
          </w:p>
          <w:p w14:paraId="7FE1C5DA" w14:textId="17605E1D" w:rsidR="00896468" w:rsidRDefault="00B31E50">
            <w:pPr>
              <w:pStyle w:val="P68B1DB1-ListParagraph60"/>
              <w:numPr>
                <w:ilvl w:val="0"/>
                <w:numId w:val="263"/>
              </w:numPr>
              <w:spacing w:line="276" w:lineRule="auto"/>
              <w:contextualSpacing/>
              <w:jc w:val="both"/>
              <w:rPr>
                <w:iCs/>
              </w:rPr>
            </w:pPr>
            <w:r>
              <w:t xml:space="preserve">a szanálás (beleértve a 2014/59/EU irányelv 51. cikke szerinti </w:t>
            </w:r>
            <w:r w:rsidR="00E20681">
              <w:t>szerkezetátalakítást</w:t>
            </w:r>
            <w:r>
              <w:t xml:space="preserve"> is) során bekövetkező átruházás vagy megszüntetés esetén a jelenlegi szolgáltató által nyújtott támogatás egy észszerű időtartamra (például 24 hónapra), ugyanazon feltételek mellett; valamint</w:t>
            </w:r>
          </w:p>
          <w:p w14:paraId="7FE1C5DB" w14:textId="67074B56" w:rsidR="00896468" w:rsidRDefault="00B31E50">
            <w:pPr>
              <w:pStyle w:val="P68B1DB1-ListParagraph60"/>
              <w:numPr>
                <w:ilvl w:val="0"/>
                <w:numId w:val="263"/>
              </w:numPr>
              <w:spacing w:line="276" w:lineRule="auto"/>
              <w:contextualSpacing/>
              <w:jc w:val="both"/>
              <w:rPr>
                <w:iCs/>
              </w:rPr>
            </w:pPr>
            <w:r>
              <w:t xml:space="preserve">a csoport elidegenített szervezetének nyújtott szolgáltatás folytatása a szanálás során (beleértve a 2014/59/EU irányelv 51. cikke szerinti </w:t>
            </w:r>
            <w:r w:rsidR="00E20681">
              <w:t>szerkezetátalakítást</w:t>
            </w:r>
            <w:r>
              <w:t xml:space="preserve"> is), az elidegenítést követő észszerű időtartamig, például 24 hónapig.</w:t>
            </w:r>
          </w:p>
          <w:p w14:paraId="7FE1C5DC" w14:textId="77777777" w:rsidR="00896468" w:rsidRDefault="00B31E50">
            <w:pPr>
              <w:spacing w:line="276" w:lineRule="auto"/>
              <w:jc w:val="both"/>
              <w:rPr>
                <w:rFonts w:ascii="Times New Roman" w:hAnsi="Times New Roman"/>
                <w:iCs/>
                <w:sz w:val="20"/>
                <w:szCs w:val="20"/>
              </w:rPr>
            </w:pPr>
            <w:r>
              <w:rPr>
                <w:rFonts w:ascii="Times New Roman" w:hAnsi="Times New Roman"/>
                <w:sz w:val="20"/>
                <w:szCs w:val="20"/>
              </w:rPr>
              <w:t>Ez azokra a szerződésekre vonatkozik, amelyek esetében a szerződés irányadó joga és joghatósága valamely uniós tagállam joga és joghatósága (a</w:t>
            </w:r>
            <w:r>
              <w:rPr>
                <w:rStyle w:val="FootnoteReference"/>
                <w:rFonts w:ascii="Times New Roman" w:hAnsi="Times New Roman"/>
                <w:sz w:val="20"/>
                <w:szCs w:val="20"/>
              </w:rPr>
              <w:footnoteReference w:id="27"/>
            </w:r>
            <w:r>
              <w:rPr>
                <w:rFonts w:ascii="Times New Roman" w:hAnsi="Times New Roman"/>
                <w:sz w:val="20"/>
                <w:szCs w:val="20"/>
              </w:rPr>
              <w:t xml:space="preserve"> továbbiakban: uniós szerződések), valamint azokra a szerződésekre, amelyekre harmadik ország joga alkalmazandó.</w:t>
            </w:r>
          </w:p>
          <w:p w14:paraId="7FE1C5DD" w14:textId="77777777" w:rsidR="00896468" w:rsidRDefault="00896468">
            <w:pPr>
              <w:spacing w:line="276" w:lineRule="auto"/>
              <w:jc w:val="both"/>
              <w:rPr>
                <w:rFonts w:ascii="Times New Roman" w:hAnsi="Times New Roman"/>
                <w:sz w:val="20"/>
              </w:rPr>
            </w:pPr>
          </w:p>
          <w:p w14:paraId="7FE1C5DE" w14:textId="77777777" w:rsidR="00896468" w:rsidRDefault="00B31E50">
            <w:pPr>
              <w:pStyle w:val="P68B1DB1-Normal64"/>
              <w:spacing w:line="276" w:lineRule="auto"/>
              <w:jc w:val="both"/>
            </w:pPr>
            <w:r>
              <w:t>A következő értékek egyikét kell megadni:</w:t>
            </w:r>
          </w:p>
          <w:p w14:paraId="7FE1C5DF" w14:textId="77777777" w:rsidR="00896468" w:rsidRDefault="00B31E50">
            <w:pPr>
              <w:pStyle w:val="P68B1DB1-Normal62"/>
              <w:spacing w:line="276" w:lineRule="auto"/>
              <w:jc w:val="both"/>
            </w:pPr>
            <w:r>
              <w:t>„Igen” – ha a szerződés szanálásbiztos az értékelés alapján</w:t>
            </w:r>
          </w:p>
          <w:p w14:paraId="7FE1C5E0" w14:textId="77777777" w:rsidR="00896468" w:rsidRDefault="00B31E50">
            <w:pPr>
              <w:pStyle w:val="P68B1DB1-Normal62"/>
              <w:spacing w:line="276" w:lineRule="auto"/>
              <w:jc w:val="both"/>
            </w:pPr>
            <w:r>
              <w:t>„Nem” – ha a szerződés nem szanálásbiztos az értékelés alapján</w:t>
            </w:r>
          </w:p>
          <w:p w14:paraId="7FE1C5E1" w14:textId="77777777" w:rsidR="00896468" w:rsidRDefault="00B31E50">
            <w:pPr>
              <w:pStyle w:val="P68B1DB1-Normal62"/>
              <w:spacing w:line="276" w:lineRule="auto"/>
              <w:jc w:val="both"/>
            </w:pPr>
            <w:r>
              <w:lastRenderedPageBreak/>
              <w:t>„Nem készült értékelés” – ha nem készült értékelés</w:t>
            </w:r>
          </w:p>
          <w:p w14:paraId="7FE1C5E2" w14:textId="1DE2030D" w:rsidR="00896468" w:rsidRDefault="00B31E50">
            <w:pPr>
              <w:pStyle w:val="P68B1DB1-Normal62"/>
              <w:spacing w:line="276" w:lineRule="auto"/>
              <w:jc w:val="both"/>
            </w:pPr>
            <w:r>
              <w:t>„</w:t>
            </w:r>
            <w:r w:rsidR="00781B6B">
              <w:t>NEM ALKALMAZHATÓ</w:t>
            </w:r>
            <w:r>
              <w:t>” – szervezeten belüli szolgáltatások esetében</w:t>
            </w:r>
          </w:p>
          <w:p w14:paraId="7FE1C5E3" w14:textId="77777777" w:rsidR="00896468" w:rsidRDefault="00896468">
            <w:pPr>
              <w:spacing w:line="276" w:lineRule="auto"/>
              <w:jc w:val="both"/>
              <w:rPr>
                <w:rFonts w:ascii="Times New Roman" w:hAnsi="Times New Roman"/>
                <w:sz w:val="20"/>
              </w:rPr>
            </w:pPr>
          </w:p>
        </w:tc>
      </w:tr>
      <w:tr w:rsidR="00896468" w14:paraId="7FE1C5EF" w14:textId="77777777">
        <w:trPr>
          <w:trHeight w:val="463"/>
        </w:trPr>
        <w:tc>
          <w:tcPr>
            <w:tcW w:w="1418" w:type="dxa"/>
            <w:shd w:val="clear" w:color="auto" w:fill="FFFFFF" w:themeFill="background1"/>
          </w:tcPr>
          <w:p w14:paraId="7FE1C5E5" w14:textId="77777777" w:rsidR="00896468" w:rsidRDefault="00B31E50">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896468" w:rsidRDefault="00B31E50">
            <w:pPr>
              <w:pStyle w:val="P68B1DB1-Normal65"/>
              <w:spacing w:line="276" w:lineRule="auto"/>
              <w:jc w:val="both"/>
              <w:rPr>
                <w:bCs/>
                <w:iCs/>
              </w:rPr>
            </w:pPr>
            <w:r>
              <w:t>Üzleti reorganizációs terv (BRP)</w:t>
            </w:r>
          </w:p>
          <w:p w14:paraId="7FE1C5E7" w14:textId="5FCDE329" w:rsidR="00896468" w:rsidRDefault="00B31E50">
            <w:pPr>
              <w:pStyle w:val="P68B1DB1-Normal64"/>
              <w:spacing w:line="276" w:lineRule="auto"/>
              <w:jc w:val="both"/>
              <w:rPr>
                <w:iCs/>
              </w:rPr>
            </w:pPr>
            <w:r>
              <w:t>Ha a</w:t>
            </w:r>
            <w:r w:rsidR="001760C3">
              <w:t xml:space="preserve">(z előnyben részesített vagy variáns) </w:t>
            </w:r>
            <w:r>
              <w:t>szanálási stratégia reorganizációs tervet ír elő, az uniós szerződéseknek kifejezett záradékokat kell tartalmazniuk a szanálás</w:t>
            </w:r>
            <w:r w:rsidR="001760C3">
              <w:t>biztosságuk</w:t>
            </w:r>
            <w:r>
              <w:t xml:space="preserve"> </w:t>
            </w:r>
            <w:r w:rsidR="001760C3">
              <w:t xml:space="preserve">a reorganizációs tervek végrehajtása során történő </w:t>
            </w:r>
            <w:r>
              <w:t>biztosítása érdekében.</w:t>
            </w:r>
          </w:p>
          <w:p w14:paraId="7FE1C5E8" w14:textId="77777777" w:rsidR="00896468" w:rsidRDefault="00896468">
            <w:pPr>
              <w:spacing w:line="276" w:lineRule="auto"/>
              <w:jc w:val="both"/>
              <w:rPr>
                <w:rFonts w:ascii="Times New Roman" w:hAnsi="Times New Roman"/>
                <w:iCs/>
                <w:sz w:val="20"/>
              </w:rPr>
            </w:pPr>
          </w:p>
          <w:p w14:paraId="7FE1C5E9" w14:textId="77777777" w:rsidR="00896468" w:rsidRDefault="00B31E50">
            <w:pPr>
              <w:pStyle w:val="P68B1DB1-Normal64"/>
              <w:spacing w:line="276" w:lineRule="auto"/>
              <w:jc w:val="both"/>
              <w:rPr>
                <w:iCs/>
              </w:rPr>
            </w:pPr>
            <w:r>
              <w:t>A következő értékek egyikét kell megadni:</w:t>
            </w:r>
          </w:p>
          <w:p w14:paraId="7FE1C5EA" w14:textId="5B9C60F7" w:rsidR="00896468" w:rsidRDefault="00B31E50">
            <w:pPr>
              <w:pStyle w:val="P68B1DB1-Normal67"/>
              <w:spacing w:line="276" w:lineRule="auto"/>
              <w:jc w:val="both"/>
              <w:rPr>
                <w:iCs/>
                <w:sz w:val="20"/>
              </w:rPr>
            </w:pPr>
            <w:r>
              <w:t>„</w:t>
            </w:r>
            <w:r>
              <w:rPr>
                <w:sz w:val="20"/>
              </w:rPr>
              <w:t>Igen” – ha a szerződés olyan kifejezett</w:t>
            </w:r>
            <w:r w:rsidR="001760C3">
              <w:rPr>
                <w:sz w:val="20"/>
              </w:rPr>
              <w:t xml:space="preserve"> záradékokat</w:t>
            </w:r>
            <w:r>
              <w:rPr>
                <w:sz w:val="20"/>
              </w:rPr>
              <w:t xml:space="preserve"> tartalmaz, amelyek biztosítják a szanálás</w:t>
            </w:r>
            <w:r w:rsidR="001760C3">
              <w:rPr>
                <w:sz w:val="20"/>
              </w:rPr>
              <w:t>biztosságot</w:t>
            </w:r>
            <w:r>
              <w:rPr>
                <w:sz w:val="20"/>
              </w:rPr>
              <w:t xml:space="preserve"> a BRP végrehajtása során</w:t>
            </w:r>
          </w:p>
          <w:p w14:paraId="7FE1C5EB" w14:textId="641CD70E" w:rsidR="00896468" w:rsidRDefault="00B31E50">
            <w:pPr>
              <w:pStyle w:val="P68B1DB1-Normal67"/>
              <w:spacing w:line="276" w:lineRule="auto"/>
              <w:jc w:val="both"/>
              <w:rPr>
                <w:iCs/>
                <w:sz w:val="20"/>
              </w:rPr>
            </w:pPr>
            <w:r>
              <w:t>„</w:t>
            </w:r>
            <w:r>
              <w:rPr>
                <w:sz w:val="20"/>
              </w:rPr>
              <w:t xml:space="preserve">Nem” – ha a szerződés nem tartalmaz olyan kifejezett </w:t>
            </w:r>
            <w:r w:rsidR="001760C3">
              <w:rPr>
                <w:sz w:val="20"/>
              </w:rPr>
              <w:t>záradékokat</w:t>
            </w:r>
            <w:r>
              <w:rPr>
                <w:sz w:val="20"/>
              </w:rPr>
              <w:t>, amelyek biztosítanák a szanálás</w:t>
            </w:r>
            <w:r w:rsidR="001760C3">
              <w:rPr>
                <w:sz w:val="20"/>
              </w:rPr>
              <w:t>biztosságot</w:t>
            </w:r>
            <w:r>
              <w:rPr>
                <w:sz w:val="20"/>
              </w:rPr>
              <w:t xml:space="preserve"> a BRP végrehajtása során</w:t>
            </w:r>
          </w:p>
          <w:p w14:paraId="7FE1C5EC" w14:textId="77777777" w:rsidR="00896468" w:rsidRDefault="00B31E50">
            <w:pPr>
              <w:pStyle w:val="P68B1DB1-Normal67"/>
              <w:spacing w:line="276" w:lineRule="auto"/>
              <w:jc w:val="both"/>
              <w:rPr>
                <w:iCs/>
                <w:sz w:val="20"/>
              </w:rPr>
            </w:pPr>
            <w:r>
              <w:t>„</w:t>
            </w:r>
            <w:r>
              <w:rPr>
                <w:sz w:val="20"/>
              </w:rPr>
              <w:t>Nem készült értékelés” – ha nem készült értékelés</w:t>
            </w:r>
          </w:p>
          <w:p w14:paraId="7FE1C5ED" w14:textId="60F410EF" w:rsidR="00896468" w:rsidRDefault="00B31E50">
            <w:pPr>
              <w:pStyle w:val="P68B1DB1-Normal67"/>
              <w:spacing w:line="276" w:lineRule="auto"/>
              <w:jc w:val="both"/>
              <w:rPr>
                <w:iCs/>
                <w:sz w:val="20"/>
              </w:rPr>
            </w:pPr>
            <w:r>
              <w:t>„</w:t>
            </w:r>
            <w:r>
              <w:rPr>
                <w:sz w:val="20"/>
              </w:rPr>
              <w:t>N</w:t>
            </w:r>
            <w:r w:rsidR="00781B6B">
              <w:rPr>
                <w:sz w:val="20"/>
              </w:rPr>
              <w:t>EM</w:t>
            </w:r>
            <w:r>
              <w:rPr>
                <w:sz w:val="20"/>
              </w:rPr>
              <w:t xml:space="preserve"> </w:t>
            </w:r>
            <w:r w:rsidR="00781B6B">
              <w:rPr>
                <w:sz w:val="20"/>
              </w:rPr>
              <w:t>ALKALMAZHATÓ</w:t>
            </w:r>
            <w:r>
              <w:rPr>
                <w:sz w:val="20"/>
              </w:rPr>
              <w:t>” – szervezeten belüli vagy csoporton belüli és külső szolgáltatások esetében, ha a</w:t>
            </w:r>
            <w:r w:rsidR="001760C3">
              <w:rPr>
                <w:sz w:val="20"/>
              </w:rPr>
              <w:t>(z előnyben részesített vagy variáns)</w:t>
            </w:r>
            <w:r>
              <w:rPr>
                <w:sz w:val="20"/>
              </w:rPr>
              <w:t xml:space="preserve"> szanálási stratégia nem igényel reorganizációs tervet </w:t>
            </w:r>
          </w:p>
          <w:p w14:paraId="7FE1C5EE" w14:textId="77777777" w:rsidR="00896468" w:rsidRDefault="00896468">
            <w:pPr>
              <w:spacing w:line="276" w:lineRule="auto"/>
              <w:jc w:val="both"/>
              <w:rPr>
                <w:rFonts w:ascii="Times New Roman" w:hAnsi="Times New Roman"/>
                <w:i/>
                <w:sz w:val="20"/>
              </w:rPr>
            </w:pPr>
          </w:p>
        </w:tc>
      </w:tr>
      <w:tr w:rsidR="00896468" w14:paraId="7FE1C5F9" w14:textId="77777777">
        <w:trPr>
          <w:trHeight w:val="463"/>
        </w:trPr>
        <w:tc>
          <w:tcPr>
            <w:tcW w:w="1418" w:type="dxa"/>
            <w:shd w:val="clear" w:color="auto" w:fill="FFFFFF" w:themeFill="background1"/>
          </w:tcPr>
          <w:p w14:paraId="7FE1C5F0" w14:textId="77777777" w:rsidR="00896468" w:rsidRDefault="00B31E50">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896468" w:rsidRDefault="00B31E50">
            <w:pPr>
              <w:pStyle w:val="P68B1DB1-Normal64"/>
              <w:spacing w:line="276" w:lineRule="auto"/>
              <w:jc w:val="both"/>
            </w:pPr>
            <w:r>
              <w:rPr>
                <w:b/>
              </w:rPr>
              <w:t>Alternatív enyhítő intézkedések</w:t>
            </w:r>
            <w:r>
              <w:t xml:space="preserve"> </w:t>
            </w:r>
          </w:p>
          <w:p w14:paraId="7FE1C5F2" w14:textId="75D3CE2B" w:rsidR="00896468" w:rsidRDefault="00B31E50">
            <w:pPr>
              <w:pStyle w:val="P68B1DB1-Normal64"/>
              <w:spacing w:line="276" w:lineRule="auto"/>
              <w:jc w:val="both"/>
            </w:pPr>
            <w:r>
              <w:t>Amennyiben a szanálás</w:t>
            </w:r>
            <w:r w:rsidR="001760C3">
              <w:t>biztosságot szükséges biztosítani</w:t>
            </w:r>
            <w:r>
              <w:t xml:space="preserve">, de a bankok ezt nem tudták </w:t>
            </w:r>
            <w:r w:rsidR="001760C3">
              <w:t>megvalósítani</w:t>
            </w:r>
            <w:r>
              <w:t xml:space="preserve">, a bankoknak alternatív kockázatcsökkentő intézkedéseket kell mérlegelniük. </w:t>
            </w:r>
          </w:p>
          <w:p w14:paraId="7FE1C5F3" w14:textId="77777777" w:rsidR="00896468" w:rsidRDefault="00896468">
            <w:pPr>
              <w:spacing w:line="276" w:lineRule="auto"/>
              <w:jc w:val="both"/>
              <w:rPr>
                <w:rFonts w:ascii="Times New Roman" w:hAnsi="Times New Roman"/>
                <w:sz w:val="20"/>
              </w:rPr>
            </w:pPr>
          </w:p>
          <w:p w14:paraId="7FE1C5F4" w14:textId="77777777" w:rsidR="00896468" w:rsidRDefault="00B31E50">
            <w:pPr>
              <w:pStyle w:val="P68B1DB1-Normal64"/>
              <w:spacing w:line="276" w:lineRule="auto"/>
              <w:jc w:val="both"/>
              <w:rPr>
                <w:iCs/>
              </w:rPr>
            </w:pPr>
            <w:r>
              <w:t>A következő értékek egyikét kell megadni:</w:t>
            </w:r>
          </w:p>
          <w:p w14:paraId="7FE1C5F5" w14:textId="77777777" w:rsidR="00896468" w:rsidRDefault="00B31E50">
            <w:pPr>
              <w:pStyle w:val="P68B1DB1-Normal67"/>
              <w:spacing w:line="276" w:lineRule="auto"/>
              <w:jc w:val="both"/>
              <w:rPr>
                <w:iCs/>
                <w:sz w:val="20"/>
              </w:rPr>
            </w:pPr>
            <w:r>
              <w:t>„</w:t>
            </w:r>
            <w:r>
              <w:rPr>
                <w:sz w:val="20"/>
              </w:rPr>
              <w:t>Igen” – ha a bank alternatív kockázatcsökkentő intézkedéseket hajtott végre</w:t>
            </w:r>
          </w:p>
          <w:p w14:paraId="7FE1C5F6" w14:textId="77777777" w:rsidR="00896468" w:rsidRDefault="00B31E50">
            <w:pPr>
              <w:pStyle w:val="P68B1DB1-Normal67"/>
              <w:spacing w:line="276" w:lineRule="auto"/>
              <w:jc w:val="both"/>
              <w:rPr>
                <w:iCs/>
                <w:sz w:val="20"/>
              </w:rPr>
            </w:pPr>
            <w:r>
              <w:t>„</w:t>
            </w:r>
            <w:r>
              <w:rPr>
                <w:sz w:val="20"/>
              </w:rPr>
              <w:t>Nem” – ha a bank nem hajtott végre alternatív kockázatcsökkentő intézkedéseket</w:t>
            </w:r>
          </w:p>
          <w:p w14:paraId="7FE1C5F7" w14:textId="647168EB" w:rsidR="00896468" w:rsidRDefault="00B31E50">
            <w:pPr>
              <w:pStyle w:val="P68B1DB1-Normal67"/>
              <w:spacing w:line="276" w:lineRule="auto"/>
              <w:jc w:val="both"/>
              <w:rPr>
                <w:iCs/>
                <w:sz w:val="20"/>
              </w:rPr>
            </w:pPr>
            <w:r>
              <w:t>„</w:t>
            </w:r>
            <w:r w:rsidR="00781B6B">
              <w:t>NEM ALKALMAZHATÓ</w:t>
            </w:r>
            <w:r>
              <w:t>” – azokban az esetekben, amikor a 0150. és 0160. oszlopok bármelyike „igen” vagy „</w:t>
            </w:r>
            <w:r w:rsidR="00781B6B">
              <w:t>NEM ALKALMAZAHATÓ</w:t>
            </w:r>
            <w:r>
              <w:t>” jelöléssel van ellátva</w:t>
            </w:r>
          </w:p>
          <w:p w14:paraId="7FE1C5F8" w14:textId="77777777" w:rsidR="00896468" w:rsidRDefault="00896468">
            <w:pPr>
              <w:spacing w:line="276" w:lineRule="auto"/>
              <w:jc w:val="both"/>
              <w:rPr>
                <w:rFonts w:ascii="Times New Roman" w:hAnsi="Times New Roman"/>
                <w:sz w:val="20"/>
              </w:rPr>
            </w:pPr>
          </w:p>
        </w:tc>
      </w:tr>
    </w:tbl>
    <w:p w14:paraId="7FE1C5FA" w14:textId="77777777" w:rsidR="00896468" w:rsidRDefault="00896468">
      <w:pPr>
        <w:rPr>
          <w:rFonts w:ascii="Times New Roman" w:eastAsia="Times New Roman" w:hAnsi="Times New Roman" w:cs="Times New Roman"/>
          <w:sz w:val="20"/>
          <w:szCs w:val="20"/>
          <w:u w:val="single"/>
        </w:rPr>
      </w:pPr>
    </w:p>
    <w:p w14:paraId="7FE1C5FB" w14:textId="77777777" w:rsidR="00896468" w:rsidRDefault="00896468">
      <w:pPr>
        <w:rPr>
          <w:rFonts w:ascii="Times New Roman" w:hAnsi="Times New Roman" w:cs="Times New Roman"/>
        </w:rPr>
      </w:pPr>
    </w:p>
    <w:p w14:paraId="7FE1C5FC" w14:textId="52899D3D" w:rsidR="00896468" w:rsidRDefault="00B31E50">
      <w:pPr>
        <w:pStyle w:val="P68B1DB1-Instructionsberschrift25"/>
        <w:numPr>
          <w:ilvl w:val="1"/>
          <w:numId w:val="49"/>
        </w:numPr>
        <w:ind w:left="357" w:hanging="357"/>
        <w:rPr>
          <w:rFonts w:eastAsia="Calibri"/>
          <w:szCs w:val="20"/>
        </w:rPr>
      </w:pPr>
      <w:bookmarkStart w:id="132" w:name="_Toc210982888"/>
      <w:r>
        <w:t xml:space="preserve">Z 08.03 – </w:t>
      </w:r>
      <w:r w:rsidR="001760C3">
        <w:t xml:space="preserve">Releváns </w:t>
      </w:r>
      <w:r>
        <w:t xml:space="preserve">szolgáltatások – a szerepek </w:t>
      </w:r>
      <w:r w:rsidR="00D75732">
        <w:t xml:space="preserve">hozzárendelése </w:t>
      </w:r>
      <w:r>
        <w:t>(SERV 3)</w:t>
      </w:r>
      <w:bookmarkEnd w:id="132"/>
    </w:p>
    <w:p w14:paraId="7FE1C5FD" w14:textId="77777777" w:rsidR="00896468" w:rsidRDefault="00B31E50">
      <w:pPr>
        <w:pStyle w:val="P68B1DB1-Normal50"/>
        <w:spacing w:line="276" w:lineRule="auto"/>
        <w:jc w:val="both"/>
      </w:pPr>
      <w:r>
        <w:t>Általános útmutatások</w:t>
      </w:r>
    </w:p>
    <w:p w14:paraId="7FE1C5FE" w14:textId="1C2BE3E6" w:rsidR="00896468" w:rsidRDefault="00B31E50">
      <w:pPr>
        <w:pStyle w:val="P68B1DB1-Instructionsberschrift346"/>
        <w:numPr>
          <w:ilvl w:val="2"/>
          <w:numId w:val="211"/>
        </w:numPr>
        <w:ind w:left="993"/>
        <w:contextualSpacing/>
        <w:jc w:val="both"/>
      </w:pPr>
      <w:r>
        <w:rPr>
          <w:color w:val="auto"/>
          <w:szCs w:val="24"/>
        </w:rPr>
        <w:t xml:space="preserve">Az e táblában feltüntetendő információkat a csoport egészére vonatkozóan egyszer kell jelenteni.A tábla a csoporthoz tartozó bármely szervezet által igénybe vett </w:t>
      </w:r>
      <w:r w:rsidR="001760C3">
        <w:rPr>
          <w:color w:val="auto"/>
          <w:szCs w:val="24"/>
        </w:rPr>
        <w:t xml:space="preserve">releváns </w:t>
      </w:r>
      <w:r>
        <w:rPr>
          <w:color w:val="auto"/>
          <w:szCs w:val="24"/>
        </w:rPr>
        <w:t xml:space="preserve">szolgáltatásokat sorolja fel és kapcsolja a </w:t>
      </w:r>
      <w:r w:rsidR="001760C3">
        <w:rPr>
          <w:color w:val="auto"/>
          <w:szCs w:val="24"/>
        </w:rPr>
        <w:t>releváns szerepekhez</w:t>
      </w:r>
      <w:r>
        <w:t>.</w:t>
      </w:r>
    </w:p>
    <w:p w14:paraId="7FE1C5FF" w14:textId="77777777" w:rsidR="00896468" w:rsidRDefault="00B31E50">
      <w:pPr>
        <w:pStyle w:val="P68B1DB1-Instructionsberschrift368"/>
        <w:numPr>
          <w:ilvl w:val="2"/>
          <w:numId w:val="211"/>
        </w:numPr>
        <w:ind w:left="993"/>
        <w:contextualSpacing/>
        <w:jc w:val="both"/>
      </w:pPr>
      <w:r>
        <w:t>Az e tábla 0010., 0020. és 0030. oszlopában feltüntetett értékek kombinációja elsődleges kulcsot képez, amelynek a tábla minden sorát egyedileg kell azonosítania.</w:t>
      </w:r>
    </w:p>
    <w:p w14:paraId="7FE1C604" w14:textId="77777777" w:rsidR="00896468" w:rsidRDefault="00896468">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896468" w14:paraId="7FE1C607" w14:textId="77777777">
        <w:trPr>
          <w:trHeight w:val="519"/>
          <w:tblHeader/>
        </w:trPr>
        <w:tc>
          <w:tcPr>
            <w:tcW w:w="1418" w:type="dxa"/>
            <w:shd w:val="clear" w:color="auto" w:fill="D9D9D9" w:themeFill="background1" w:themeFillShade="D9"/>
          </w:tcPr>
          <w:p w14:paraId="7FE1C605" w14:textId="77777777" w:rsidR="00896468" w:rsidRDefault="00B31E50">
            <w:pPr>
              <w:pStyle w:val="P68B1DB1-Normal61"/>
              <w:spacing w:before="120" w:after="120" w:line="276" w:lineRule="auto"/>
            </w:pPr>
            <w:r>
              <w:t>Oszlopok</w:t>
            </w:r>
          </w:p>
        </w:tc>
        <w:tc>
          <w:tcPr>
            <w:tcW w:w="7649" w:type="dxa"/>
            <w:shd w:val="clear" w:color="auto" w:fill="D9D9D9" w:themeFill="background1" w:themeFillShade="D9"/>
          </w:tcPr>
          <w:p w14:paraId="7FE1C606" w14:textId="77777777" w:rsidR="00896468" w:rsidRDefault="00B31E50">
            <w:pPr>
              <w:pStyle w:val="P68B1DB1-Normal61"/>
              <w:spacing w:before="120" w:after="120" w:line="276" w:lineRule="auto"/>
            </w:pPr>
            <w:r>
              <w:t>Útmutató</w:t>
            </w:r>
          </w:p>
        </w:tc>
      </w:tr>
      <w:tr w:rsidR="00896468" w14:paraId="7FE1C60C" w14:textId="77777777">
        <w:trPr>
          <w:trHeight w:val="450"/>
        </w:trPr>
        <w:tc>
          <w:tcPr>
            <w:tcW w:w="1418" w:type="dxa"/>
          </w:tcPr>
          <w:p w14:paraId="7FE1C608" w14:textId="77777777" w:rsidR="00896468" w:rsidRDefault="00B31E50">
            <w:pPr>
              <w:pStyle w:val="P68B1DB1-Normal62"/>
              <w:spacing w:before="120" w:after="120" w:line="276" w:lineRule="auto"/>
            </w:pPr>
            <w:r>
              <w:t>0005</w:t>
            </w:r>
          </w:p>
        </w:tc>
        <w:tc>
          <w:tcPr>
            <w:tcW w:w="7649" w:type="dxa"/>
          </w:tcPr>
          <w:p w14:paraId="7FE1C609" w14:textId="5AD2BAAE" w:rsidR="00896468" w:rsidRDefault="00B31E50">
            <w:pPr>
              <w:pStyle w:val="P68B1DB1-Normal61"/>
              <w:spacing w:before="120" w:after="120" w:line="276" w:lineRule="auto"/>
              <w:rPr>
                <w:bCs/>
              </w:rPr>
            </w:pPr>
            <w:r>
              <w:t xml:space="preserve">Szolgáltatóazonosító </w:t>
            </w:r>
          </w:p>
          <w:p w14:paraId="7FE1C60A" w14:textId="77777777" w:rsidR="00896468" w:rsidRDefault="00B31E50">
            <w:pPr>
              <w:pStyle w:val="P68B1DB1-Normal62"/>
              <w:spacing w:before="120" w:after="120" w:line="276" w:lineRule="auto"/>
            </w:pPr>
            <w:r>
              <w:t>Használja a Z 08.01 (SERV 1) mezőben jelentett szolgáltatásazonosítót.</w:t>
            </w:r>
          </w:p>
          <w:p w14:paraId="7FE1C60B" w14:textId="77777777" w:rsidR="00896468" w:rsidRDefault="00B31E50">
            <w:pPr>
              <w:pStyle w:val="P68B1DB1-Normal62"/>
              <w:spacing w:before="120" w:after="120" w:line="276" w:lineRule="auto"/>
              <w:rPr>
                <w:iCs/>
              </w:rPr>
            </w:pPr>
            <w:r>
              <w:t>A szolgáltatásazonosító a c0020. rovatban jelentett szolgáltatásra vonatkozik.</w:t>
            </w:r>
          </w:p>
        </w:tc>
      </w:tr>
      <w:tr w:rsidR="00896468" w14:paraId="7FE1C650" w14:textId="77777777">
        <w:trPr>
          <w:trHeight w:val="450"/>
        </w:trPr>
        <w:tc>
          <w:tcPr>
            <w:tcW w:w="1418" w:type="dxa"/>
          </w:tcPr>
          <w:p w14:paraId="7FE1C60D" w14:textId="77777777" w:rsidR="00896468" w:rsidRDefault="00B31E50">
            <w:pPr>
              <w:pStyle w:val="P68B1DB1-Normal62"/>
              <w:spacing w:before="120" w:after="120" w:line="276" w:lineRule="auto"/>
            </w:pPr>
            <w:r>
              <w:lastRenderedPageBreak/>
              <w:t>0010</w:t>
            </w:r>
          </w:p>
        </w:tc>
        <w:tc>
          <w:tcPr>
            <w:tcW w:w="7649" w:type="dxa"/>
          </w:tcPr>
          <w:p w14:paraId="7FE1C60E" w14:textId="77777777" w:rsidR="00896468" w:rsidRDefault="00B31E50">
            <w:pPr>
              <w:pStyle w:val="P68B1DB1-Normal61"/>
              <w:autoSpaceDE w:val="0"/>
              <w:autoSpaceDN w:val="0"/>
              <w:adjustRightInd w:val="0"/>
              <w:rPr>
                <w:rFonts w:eastAsia="MS Mincho"/>
                <w:bCs/>
              </w:rPr>
            </w:pPr>
            <w:r>
              <w:t xml:space="preserve">A szolgáltatás típusa </w:t>
            </w:r>
          </w:p>
          <w:p w14:paraId="7FE1C645" w14:textId="6B4BC32E" w:rsidR="00896468" w:rsidRDefault="00B31E50">
            <w:pPr>
              <w:pStyle w:val="P68B1DB1-Normal63"/>
              <w:autoSpaceDE w:val="0"/>
              <w:autoSpaceDN w:val="0"/>
              <w:adjustRightInd w:val="0"/>
            </w:pPr>
            <w:r>
              <w:t>A szolgáltatás típusa a</w:t>
            </w:r>
            <w:r w:rsidR="00564A96">
              <w:t xml:space="preserve"> </w:t>
            </w:r>
            <w:r w:rsidR="00564A96" w:rsidRPr="00564A96">
              <w:t xml:space="preserve">Z 08.01 0010 </w:t>
            </w:r>
            <w:r w:rsidR="00564A96">
              <w:t>alatt</w:t>
            </w:r>
            <w:r>
              <w:t xml:space="preserve"> felsorolt szolgáltatástípusok egyike lehet. </w:t>
            </w:r>
          </w:p>
          <w:p w14:paraId="7FE1C64F" w14:textId="2C039B1C" w:rsidR="00896468" w:rsidRDefault="00896468">
            <w:pPr>
              <w:spacing w:before="120" w:after="120" w:line="276" w:lineRule="auto"/>
              <w:rPr>
                <w:rFonts w:ascii="Times New Roman" w:hAnsi="Times New Roman"/>
                <w:sz w:val="20"/>
                <w:szCs w:val="20"/>
              </w:rPr>
            </w:pPr>
          </w:p>
        </w:tc>
      </w:tr>
      <w:tr w:rsidR="00896468" w14:paraId="7FE1C655" w14:textId="77777777">
        <w:trPr>
          <w:trHeight w:val="450"/>
        </w:trPr>
        <w:tc>
          <w:tcPr>
            <w:tcW w:w="1418" w:type="dxa"/>
          </w:tcPr>
          <w:p w14:paraId="7FE1C651" w14:textId="77777777" w:rsidR="00896468" w:rsidRDefault="00B31E50">
            <w:pPr>
              <w:pStyle w:val="P68B1DB1-Normal62"/>
              <w:spacing w:before="120" w:after="120" w:line="276" w:lineRule="auto"/>
            </w:pPr>
            <w:r>
              <w:t>0020</w:t>
            </w:r>
          </w:p>
        </w:tc>
        <w:tc>
          <w:tcPr>
            <w:tcW w:w="7649" w:type="dxa"/>
          </w:tcPr>
          <w:p w14:paraId="7FE1C652" w14:textId="77777777" w:rsidR="00896468" w:rsidRDefault="00B31E50">
            <w:pPr>
              <w:pStyle w:val="P68B1DB1-Normal65"/>
              <w:spacing w:line="276" w:lineRule="auto"/>
              <w:jc w:val="both"/>
            </w:pPr>
            <w:r>
              <w:rPr>
                <w:szCs w:val="20"/>
              </w:rPr>
              <w:t>A banki taxonómia szerinti egyedi szolgáltatási cím</w:t>
            </w:r>
            <w:r>
              <w:t xml:space="preserve"> </w:t>
            </w:r>
          </w:p>
          <w:p w14:paraId="7FE1C653" w14:textId="61186926" w:rsidR="00896468" w:rsidRDefault="00B31E50">
            <w:pPr>
              <w:pStyle w:val="P68B1DB1-Normal64"/>
              <w:rPr>
                <w:rFonts w:eastAsiaTheme="minorHAnsi"/>
                <w:sz w:val="24"/>
              </w:rPr>
            </w:pPr>
            <w:r>
              <w:t>A szolgáltatás neve/rövid leírása a bank saját többszintű taxonómiája (3. szint) szerint, a Z 08.01 (SERV 1) 0020-as oszlopban megadottak szerint. A banknak a 2. szintre (c0010) vonatkozó jelentésnél részletesebb szinten kell jelentenie a szolgáltatásokat, hogy minden egyes szolgáltatást pontosan és célzottan határozzanak meg.</w:t>
            </w:r>
          </w:p>
          <w:p w14:paraId="7FE1C654" w14:textId="77777777" w:rsidR="00896468" w:rsidRDefault="00896468">
            <w:pPr>
              <w:spacing w:before="120" w:after="120" w:line="276" w:lineRule="auto"/>
              <w:rPr>
                <w:rFonts w:ascii="Times New Roman" w:hAnsi="Times New Roman"/>
                <w:sz w:val="20"/>
                <w:szCs w:val="20"/>
              </w:rPr>
            </w:pPr>
          </w:p>
        </w:tc>
      </w:tr>
      <w:tr w:rsidR="00896468" w14:paraId="7FE1C65A" w14:textId="77777777">
        <w:trPr>
          <w:trHeight w:val="450"/>
        </w:trPr>
        <w:tc>
          <w:tcPr>
            <w:tcW w:w="1418" w:type="dxa"/>
          </w:tcPr>
          <w:p w14:paraId="7FE1C656" w14:textId="77777777" w:rsidR="00896468" w:rsidRDefault="00B31E50">
            <w:pPr>
              <w:pStyle w:val="P68B1DB1-Normal62"/>
              <w:spacing w:before="120" w:after="120" w:line="276" w:lineRule="auto"/>
              <w:rPr>
                <w:b/>
              </w:rPr>
            </w:pPr>
            <w:r>
              <w:t>0030</w:t>
            </w:r>
          </w:p>
        </w:tc>
        <w:tc>
          <w:tcPr>
            <w:tcW w:w="7649" w:type="dxa"/>
          </w:tcPr>
          <w:p w14:paraId="7FE1C657" w14:textId="77777777" w:rsidR="00896468" w:rsidRDefault="00B31E50">
            <w:pPr>
              <w:pStyle w:val="P68B1DB1-Normal65"/>
              <w:spacing w:before="120" w:after="120" w:line="276" w:lineRule="auto"/>
              <w:rPr>
                <w:bCs/>
              </w:rPr>
            </w:pPr>
            <w:r>
              <w:rPr>
                <w:szCs w:val="20"/>
              </w:rPr>
              <w:t>Szerepkörazonosító</w:t>
            </w:r>
            <w:r>
              <w:t xml:space="preserve"> </w:t>
            </w:r>
          </w:p>
          <w:p w14:paraId="7FE1C658" w14:textId="77777777" w:rsidR="00896468" w:rsidRDefault="00B31E50">
            <w:pPr>
              <w:pStyle w:val="P68B1DB1-Normal64"/>
              <w:spacing w:before="120" w:after="120" w:line="276" w:lineRule="auto"/>
            </w:pPr>
            <w:r>
              <w:t>A szerepazonosító a c0040. pont alatt jelentett szerepre vonatkozik.</w:t>
            </w:r>
          </w:p>
          <w:p w14:paraId="7FE1C659" w14:textId="77777777" w:rsidR="00896468" w:rsidRDefault="00896468">
            <w:pPr>
              <w:spacing w:before="120" w:after="120" w:line="276" w:lineRule="auto"/>
              <w:rPr>
                <w:rFonts w:ascii="Times New Roman" w:hAnsi="Times New Roman"/>
                <w:sz w:val="20"/>
                <w:szCs w:val="20"/>
              </w:rPr>
            </w:pPr>
          </w:p>
        </w:tc>
      </w:tr>
      <w:tr w:rsidR="00896468" w14:paraId="7FE1C65F" w14:textId="77777777">
        <w:trPr>
          <w:trHeight w:val="450"/>
        </w:trPr>
        <w:tc>
          <w:tcPr>
            <w:tcW w:w="1418" w:type="dxa"/>
          </w:tcPr>
          <w:p w14:paraId="7FE1C65B" w14:textId="77777777" w:rsidR="00896468" w:rsidRDefault="00B31E50">
            <w:pPr>
              <w:pStyle w:val="P68B1DB1-Normal62"/>
              <w:spacing w:before="120" w:after="120" w:line="276" w:lineRule="auto"/>
            </w:pPr>
            <w:r>
              <w:t>0040</w:t>
            </w:r>
          </w:p>
        </w:tc>
        <w:tc>
          <w:tcPr>
            <w:tcW w:w="7649" w:type="dxa"/>
          </w:tcPr>
          <w:p w14:paraId="7FE1C65C" w14:textId="77777777" w:rsidR="00896468" w:rsidRDefault="00B31E50">
            <w:pPr>
              <w:pStyle w:val="P68B1DB1-Normal61"/>
              <w:spacing w:before="120" w:after="120" w:line="276" w:lineRule="auto"/>
              <w:rPr>
                <w:bCs/>
              </w:rPr>
            </w:pPr>
            <w:r>
              <w:t>Szerepkör</w:t>
            </w:r>
          </w:p>
          <w:p w14:paraId="7FE1C65D" w14:textId="77777777" w:rsidR="00896468" w:rsidRDefault="00B31E50">
            <w:pPr>
              <w:pStyle w:val="P68B1DB1-Normal64"/>
              <w:spacing w:line="276" w:lineRule="auto"/>
              <w:jc w:val="both"/>
            </w:pPr>
            <w:r>
              <w:t>Az adott szerephez használt belső név.</w:t>
            </w:r>
          </w:p>
          <w:p w14:paraId="7FE1C65E" w14:textId="77777777" w:rsidR="00896468" w:rsidRDefault="00896468">
            <w:pPr>
              <w:spacing w:before="120" w:after="120" w:line="276" w:lineRule="auto"/>
              <w:rPr>
                <w:rFonts w:ascii="Times New Roman" w:hAnsi="Times New Roman"/>
                <w:sz w:val="20"/>
                <w:szCs w:val="20"/>
              </w:rPr>
            </w:pPr>
          </w:p>
        </w:tc>
      </w:tr>
      <w:tr w:rsidR="00896468" w14:paraId="7FE1C664" w14:textId="77777777">
        <w:trPr>
          <w:trHeight w:val="450"/>
        </w:trPr>
        <w:tc>
          <w:tcPr>
            <w:tcW w:w="1418" w:type="dxa"/>
          </w:tcPr>
          <w:p w14:paraId="7FE1C660" w14:textId="77777777" w:rsidR="00896468" w:rsidRDefault="00B31E50">
            <w:pPr>
              <w:pStyle w:val="P68B1DB1-Normal62"/>
              <w:spacing w:before="120" w:after="120" w:line="276" w:lineRule="auto"/>
            </w:pPr>
            <w:r>
              <w:t>0050</w:t>
            </w:r>
          </w:p>
        </w:tc>
        <w:tc>
          <w:tcPr>
            <w:tcW w:w="7649" w:type="dxa"/>
          </w:tcPr>
          <w:p w14:paraId="7FE1C661" w14:textId="77777777" w:rsidR="00896468" w:rsidRDefault="00B31E50">
            <w:pPr>
              <w:pStyle w:val="P68B1DB1-Normal61"/>
              <w:spacing w:before="120" w:after="120" w:line="276" w:lineRule="auto"/>
              <w:rPr>
                <w:bCs/>
              </w:rPr>
            </w:pPr>
            <w:r>
              <w:t>Szervezeti egység</w:t>
            </w:r>
          </w:p>
          <w:p w14:paraId="7FE1C662" w14:textId="77777777" w:rsidR="00896468" w:rsidRDefault="00B31E50">
            <w:pPr>
              <w:pStyle w:val="P68B1DB1-Normal64"/>
              <w:spacing w:line="276" w:lineRule="auto"/>
              <w:jc w:val="both"/>
            </w:pPr>
            <w:r>
              <w:t>Annak a konkrét szervezeti egységnek a belső neve, amelyhez a c0040. pont szerinti szerepkörnév tartozik.</w:t>
            </w:r>
          </w:p>
          <w:p w14:paraId="7FE1C663" w14:textId="77777777" w:rsidR="00896468" w:rsidRDefault="00896468">
            <w:pPr>
              <w:spacing w:line="276" w:lineRule="auto"/>
              <w:jc w:val="both"/>
              <w:rPr>
                <w:rFonts w:ascii="Times New Roman" w:hAnsi="Times New Roman"/>
                <w:iCs/>
                <w:sz w:val="20"/>
              </w:rPr>
            </w:pPr>
          </w:p>
        </w:tc>
      </w:tr>
      <w:tr w:rsidR="00896468" w14:paraId="7FE1C66C" w14:textId="77777777">
        <w:trPr>
          <w:trHeight w:val="450"/>
        </w:trPr>
        <w:tc>
          <w:tcPr>
            <w:tcW w:w="1418" w:type="dxa"/>
          </w:tcPr>
          <w:p w14:paraId="7FE1C665" w14:textId="77777777" w:rsidR="00896468" w:rsidRDefault="00B31E50">
            <w:pPr>
              <w:pStyle w:val="P68B1DB1-Normal62"/>
              <w:spacing w:before="120" w:after="120" w:line="276" w:lineRule="auto"/>
            </w:pPr>
            <w:r>
              <w:t>0060</w:t>
            </w:r>
          </w:p>
        </w:tc>
        <w:tc>
          <w:tcPr>
            <w:tcW w:w="7649" w:type="dxa"/>
          </w:tcPr>
          <w:p w14:paraId="7FE1C666" w14:textId="548BB877" w:rsidR="00896468" w:rsidRDefault="00564A96">
            <w:pPr>
              <w:pStyle w:val="P68B1DB1-Normal61"/>
              <w:spacing w:before="120" w:after="120" w:line="276" w:lineRule="auto"/>
              <w:rPr>
                <w:bCs/>
              </w:rPr>
            </w:pPr>
            <w:r>
              <w:t>Kritikusság</w:t>
            </w:r>
          </w:p>
          <w:p w14:paraId="7FE1C667" w14:textId="77777777" w:rsidR="00896468" w:rsidRDefault="00B31E50">
            <w:pPr>
              <w:pStyle w:val="P68B1DB1-Normal64"/>
              <w:spacing w:line="276" w:lineRule="auto"/>
              <w:jc w:val="both"/>
              <w:rPr>
                <w:iCs/>
              </w:rPr>
            </w:pPr>
            <w:r>
              <w:t>A következő értékek egyikét kell megadni:</w:t>
            </w:r>
          </w:p>
          <w:p w14:paraId="7FE1C668" w14:textId="203A7578" w:rsidR="00896468" w:rsidRDefault="00B31E50">
            <w:pPr>
              <w:pStyle w:val="P68B1DB1-ListParagraph58"/>
              <w:numPr>
                <w:ilvl w:val="0"/>
                <w:numId w:val="236"/>
              </w:numPr>
              <w:spacing w:line="276" w:lineRule="auto"/>
              <w:contextualSpacing/>
              <w:jc w:val="both"/>
              <w:rPr>
                <w:iCs/>
              </w:rPr>
            </w:pPr>
            <w:r>
              <w:t xml:space="preserve">Kritikus: ha a szolgáltatás egy vagy több kritikus funkció ellátásához szükséges, amelynek megszakítása súlyosan akadályozná vagy </w:t>
            </w:r>
            <w:r w:rsidR="002A4A75">
              <w:t>meg</w:t>
            </w:r>
            <w:r>
              <w:t>akadályozná e kritikus funkciók ellátását.</w:t>
            </w:r>
          </w:p>
          <w:p w14:paraId="7FE1C669" w14:textId="0F3097B5" w:rsidR="00896468" w:rsidRDefault="00B31E50">
            <w:pPr>
              <w:pStyle w:val="P68B1DB1-ListParagraph58"/>
              <w:numPr>
                <w:ilvl w:val="0"/>
                <w:numId w:val="236"/>
              </w:numPr>
              <w:spacing w:line="276" w:lineRule="auto"/>
              <w:contextualSpacing/>
              <w:jc w:val="both"/>
              <w:rPr>
                <w:iCs/>
              </w:rPr>
            </w:pPr>
            <w:r>
              <w:t xml:space="preserve">Alapvető </w:t>
            </w:r>
            <w:r w:rsidR="00564A96">
              <w:t>fontosságú</w:t>
            </w:r>
            <w:r>
              <w:t>: ha a szolgáltatás olyan fő üzletágakhoz kapcsolódik, amelyek folytonossága szükséges a szanálási stratégia hatékony végrehajtásához és az azt követő szerkezetátalakításhoz.</w:t>
            </w:r>
          </w:p>
          <w:p w14:paraId="7FE1C66A" w14:textId="21623EFD" w:rsidR="00896468" w:rsidRDefault="00B31E50">
            <w:pPr>
              <w:pStyle w:val="P68B1DB1-ListParagraph58"/>
              <w:numPr>
                <w:ilvl w:val="0"/>
                <w:numId w:val="236"/>
              </w:numPr>
              <w:spacing w:line="276" w:lineRule="auto"/>
              <w:contextualSpacing/>
              <w:jc w:val="both"/>
              <w:rPr>
                <w:iCs/>
              </w:rPr>
            </w:pPr>
            <w:r>
              <w:t>Kritikus és alapvető fontosságú</w:t>
            </w:r>
          </w:p>
          <w:p w14:paraId="7FE1C66B" w14:textId="77777777" w:rsidR="00896468" w:rsidRDefault="00896468">
            <w:pPr>
              <w:spacing w:before="120" w:after="120" w:line="276" w:lineRule="auto"/>
              <w:rPr>
                <w:rFonts w:ascii="Times New Roman" w:hAnsi="Times New Roman"/>
                <w:sz w:val="20"/>
                <w:szCs w:val="20"/>
              </w:rPr>
            </w:pPr>
          </w:p>
        </w:tc>
      </w:tr>
    </w:tbl>
    <w:p w14:paraId="7FE1C6D5" w14:textId="77777777" w:rsidR="00896468" w:rsidRDefault="00896468">
      <w:pPr>
        <w:rPr>
          <w:rFonts w:ascii="Times New Roman" w:hAnsi="Times New Roman" w:cs="Times New Roman"/>
        </w:rPr>
      </w:pPr>
    </w:p>
    <w:p w14:paraId="7FE1C6D6" w14:textId="5638B280" w:rsidR="00896468" w:rsidRDefault="00B31E50">
      <w:pPr>
        <w:pStyle w:val="P68B1DB1-Instructionsberschrift25"/>
        <w:numPr>
          <w:ilvl w:val="1"/>
          <w:numId w:val="49"/>
        </w:numPr>
        <w:ind w:left="357" w:hanging="357"/>
        <w:rPr>
          <w:rFonts w:eastAsia="Calibri"/>
          <w:szCs w:val="20"/>
        </w:rPr>
      </w:pPr>
      <w:bookmarkStart w:id="133" w:name="_Toc210982889"/>
      <w:r>
        <w:t xml:space="preserve">Z 08.04 – </w:t>
      </w:r>
      <w:r w:rsidR="00BE227F">
        <w:t>Kritikus</w:t>
      </w:r>
      <w:r w:rsidR="00D75732">
        <w:t xml:space="preserve"> </w:t>
      </w:r>
      <w:r>
        <w:t>szolgáltatások – a kritikus funkciókhoz való hozzárendelés (SERV 4)</w:t>
      </w:r>
      <w:bookmarkEnd w:id="133"/>
    </w:p>
    <w:p w14:paraId="7FE1C6D7" w14:textId="77777777" w:rsidR="00896468" w:rsidRDefault="00B31E50">
      <w:pPr>
        <w:pStyle w:val="P68B1DB1-Instructionsberschrift269"/>
        <w:ind w:left="357"/>
      </w:pPr>
      <w:bookmarkStart w:id="134" w:name="_Toc164263859"/>
      <w:bookmarkStart w:id="135" w:name="_Toc210982890"/>
      <w:r>
        <w:t>Általános útmutatások</w:t>
      </w:r>
      <w:bookmarkEnd w:id="134"/>
      <w:bookmarkEnd w:id="135"/>
    </w:p>
    <w:p w14:paraId="7FE1C6D8" w14:textId="77777777" w:rsidR="00896468" w:rsidRDefault="00896468">
      <w:pPr>
        <w:spacing w:line="276" w:lineRule="auto"/>
        <w:jc w:val="both"/>
        <w:rPr>
          <w:rFonts w:ascii="Times New Roman" w:eastAsia="Calibri" w:hAnsi="Times New Roman" w:cs="Times New Roman"/>
          <w:sz w:val="20"/>
          <w:szCs w:val="20"/>
        </w:rPr>
      </w:pPr>
    </w:p>
    <w:p w14:paraId="7FE1C6D9" w14:textId="6F9CEF3F" w:rsidR="00896468" w:rsidRDefault="00B31E50">
      <w:pPr>
        <w:pStyle w:val="P68B1DB1-ListParagraph53"/>
        <w:numPr>
          <w:ilvl w:val="0"/>
          <w:numId w:val="267"/>
        </w:numPr>
        <w:ind w:left="1418"/>
        <w:contextualSpacing/>
        <w:jc w:val="both"/>
      </w:pPr>
      <w:r>
        <w:t>Az e táblában feltüntetendő információkat a csoport egészére vonatkozóan egyszer kell jelenteni.</w:t>
      </w:r>
      <w:r w:rsidR="000A56F6">
        <w:t xml:space="preserve"> </w:t>
      </w:r>
      <w:r>
        <w:t>A tábla a csoporthoz tartozó bármely szervezet által igénybe vett kritikus szolgáltatásokat sorolja fel és kapcsolja a csoport által biztosított kritikus funkciókhoz.</w:t>
      </w:r>
    </w:p>
    <w:p w14:paraId="7FE1C6DA" w14:textId="77777777" w:rsidR="00896468" w:rsidRDefault="00B31E50">
      <w:pPr>
        <w:pStyle w:val="P68B1DB1-ListParagraph53"/>
        <w:numPr>
          <w:ilvl w:val="0"/>
          <w:numId w:val="267"/>
        </w:numPr>
        <w:ind w:left="1418"/>
        <w:contextualSpacing/>
        <w:jc w:val="both"/>
      </w:pPr>
      <w:r>
        <w:t>Az e tábla 0010., 0020., 0030. és 0040. oszlopában feltüntetett értékek kombinációja elsődleges kulcsot képez, amelynek a tábla minden sorát egyedileg kell azonosítania.</w:t>
      </w:r>
    </w:p>
    <w:p w14:paraId="7FE1C6DB" w14:textId="77777777" w:rsidR="00896468" w:rsidRDefault="00896468">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896468" w14:paraId="7FE1C6DE" w14:textId="77777777">
        <w:trPr>
          <w:trHeight w:val="445"/>
          <w:tblHeader/>
        </w:trPr>
        <w:tc>
          <w:tcPr>
            <w:tcW w:w="1418" w:type="dxa"/>
            <w:shd w:val="clear" w:color="auto" w:fill="E7E6E6"/>
          </w:tcPr>
          <w:p w14:paraId="7FE1C6DC" w14:textId="77777777" w:rsidR="00896468" w:rsidRDefault="00B31E50">
            <w:pPr>
              <w:pStyle w:val="P68B1DB1-Normal61"/>
              <w:spacing w:before="120" w:after="120" w:line="276" w:lineRule="auto"/>
            </w:pPr>
            <w:r>
              <w:lastRenderedPageBreak/>
              <w:t>Oszlopok</w:t>
            </w:r>
          </w:p>
        </w:tc>
        <w:tc>
          <w:tcPr>
            <w:tcW w:w="7508" w:type="dxa"/>
            <w:shd w:val="clear" w:color="auto" w:fill="E7E6E6"/>
          </w:tcPr>
          <w:p w14:paraId="7FE1C6DD" w14:textId="77777777" w:rsidR="00896468" w:rsidRDefault="00B31E50">
            <w:pPr>
              <w:pStyle w:val="P68B1DB1-Normal61"/>
              <w:spacing w:before="120" w:after="120" w:line="276" w:lineRule="auto"/>
            </w:pPr>
            <w:r>
              <w:t>Útmutató</w:t>
            </w:r>
          </w:p>
        </w:tc>
      </w:tr>
      <w:tr w:rsidR="00896468" w14:paraId="7FE1C6E3" w14:textId="77777777">
        <w:trPr>
          <w:trHeight w:val="450"/>
        </w:trPr>
        <w:tc>
          <w:tcPr>
            <w:tcW w:w="1418" w:type="dxa"/>
            <w:shd w:val="clear" w:color="auto" w:fill="FFFFFF"/>
          </w:tcPr>
          <w:p w14:paraId="7FE1C6DF" w14:textId="77777777" w:rsidR="00896468" w:rsidRDefault="00B31E50">
            <w:pPr>
              <w:pStyle w:val="P68B1DB1-Normal62"/>
              <w:spacing w:before="120" w:after="120" w:line="276" w:lineRule="auto"/>
            </w:pPr>
            <w:r>
              <w:t>0005</w:t>
            </w:r>
          </w:p>
        </w:tc>
        <w:tc>
          <w:tcPr>
            <w:tcW w:w="7508" w:type="dxa"/>
            <w:shd w:val="clear" w:color="auto" w:fill="FFFFFF"/>
          </w:tcPr>
          <w:p w14:paraId="7FE1C6E0" w14:textId="690C12B0" w:rsidR="00896468" w:rsidRDefault="00B31E50">
            <w:pPr>
              <w:pStyle w:val="P68B1DB1-Normal61"/>
              <w:spacing w:before="120" w:after="120" w:line="276" w:lineRule="auto"/>
            </w:pPr>
            <w:r>
              <w:t xml:space="preserve">Szolgáltatóazonosító </w:t>
            </w:r>
          </w:p>
          <w:p w14:paraId="7FE1C6E1" w14:textId="77777777" w:rsidR="00896468" w:rsidRDefault="00B31E50">
            <w:pPr>
              <w:pStyle w:val="P68B1DB1-Normal62"/>
              <w:spacing w:before="120" w:after="120" w:line="276" w:lineRule="auto"/>
            </w:pPr>
            <w:r>
              <w:t>Használja a Z 08.01 (SERV 1) mezőben jelentett szolgáltatásazonosítót.</w:t>
            </w:r>
          </w:p>
          <w:p w14:paraId="7FE1C6E2" w14:textId="77777777" w:rsidR="00896468" w:rsidRDefault="00B31E50">
            <w:pPr>
              <w:pStyle w:val="P68B1DB1-Normal62"/>
              <w:spacing w:before="120" w:after="120" w:line="276" w:lineRule="auto"/>
              <w:rPr>
                <w:i/>
              </w:rPr>
            </w:pPr>
            <w:r>
              <w:t>A szolgáltatásazonosító a c0020. rovatban jelentett szolgáltatásra vonatkozik.</w:t>
            </w:r>
          </w:p>
        </w:tc>
      </w:tr>
      <w:tr w:rsidR="00896468" w14:paraId="7FE1C727" w14:textId="77777777">
        <w:trPr>
          <w:trHeight w:val="450"/>
        </w:trPr>
        <w:tc>
          <w:tcPr>
            <w:tcW w:w="1418" w:type="dxa"/>
            <w:shd w:val="clear" w:color="auto" w:fill="FFFFFF"/>
          </w:tcPr>
          <w:p w14:paraId="7FE1C6E4" w14:textId="77777777" w:rsidR="00896468" w:rsidRDefault="00B31E50">
            <w:pPr>
              <w:pStyle w:val="P68B1DB1-Normal62"/>
              <w:spacing w:before="120" w:after="120" w:line="276" w:lineRule="auto"/>
            </w:pPr>
            <w:r>
              <w:t>0010</w:t>
            </w:r>
          </w:p>
        </w:tc>
        <w:tc>
          <w:tcPr>
            <w:tcW w:w="7508" w:type="dxa"/>
            <w:shd w:val="clear" w:color="auto" w:fill="FFFFFF"/>
          </w:tcPr>
          <w:p w14:paraId="7FE1C6E5" w14:textId="77777777" w:rsidR="00896468" w:rsidRDefault="00B31E50">
            <w:pPr>
              <w:pStyle w:val="P68B1DB1-Normal61"/>
              <w:autoSpaceDE w:val="0"/>
              <w:autoSpaceDN w:val="0"/>
              <w:adjustRightInd w:val="0"/>
              <w:rPr>
                <w:rFonts w:eastAsia="MS Mincho"/>
                <w:bCs/>
              </w:rPr>
            </w:pPr>
            <w:r>
              <w:t xml:space="preserve">A szolgáltatás típusa </w:t>
            </w:r>
          </w:p>
          <w:p w14:paraId="7FE1C6E6" w14:textId="201CB301" w:rsidR="00896468" w:rsidRDefault="00B31E50">
            <w:pPr>
              <w:pStyle w:val="P68B1DB1-Normal63"/>
              <w:autoSpaceDE w:val="0"/>
              <w:autoSpaceDN w:val="0"/>
              <w:adjustRightInd w:val="0"/>
            </w:pPr>
            <w:r>
              <w:t xml:space="preserve">A szolgáltatás típusa a </w:t>
            </w:r>
            <w:r w:rsidR="000A56F6" w:rsidRPr="000A56F6">
              <w:t xml:space="preserve">Z 08.01 0010 </w:t>
            </w:r>
            <w:r w:rsidR="000A56F6">
              <w:t>alatt</w:t>
            </w:r>
            <w:r>
              <w:t xml:space="preserve"> felsorolt szolgáltatástípusok egyike lehet. </w:t>
            </w:r>
          </w:p>
          <w:p w14:paraId="7FE1C726" w14:textId="7C7FFCB5" w:rsidR="00896468" w:rsidRDefault="00896468">
            <w:pPr>
              <w:spacing w:before="120" w:after="120" w:line="276" w:lineRule="auto"/>
              <w:rPr>
                <w:rFonts w:ascii="Times New Roman" w:hAnsi="Times New Roman"/>
                <w:sz w:val="20"/>
                <w:szCs w:val="20"/>
              </w:rPr>
            </w:pPr>
          </w:p>
        </w:tc>
      </w:tr>
      <w:tr w:rsidR="00896468" w14:paraId="7FE1C72C" w14:textId="77777777">
        <w:trPr>
          <w:trHeight w:val="450"/>
        </w:trPr>
        <w:tc>
          <w:tcPr>
            <w:tcW w:w="1418" w:type="dxa"/>
            <w:shd w:val="clear" w:color="auto" w:fill="FFFFFF"/>
          </w:tcPr>
          <w:p w14:paraId="7FE1C728" w14:textId="77777777" w:rsidR="00896468" w:rsidRDefault="00B31E50">
            <w:pPr>
              <w:pStyle w:val="P68B1DB1-Normal62"/>
              <w:spacing w:before="120" w:after="120" w:line="276" w:lineRule="auto"/>
            </w:pPr>
            <w:r>
              <w:t>0020</w:t>
            </w:r>
          </w:p>
        </w:tc>
        <w:tc>
          <w:tcPr>
            <w:tcW w:w="7508" w:type="dxa"/>
            <w:shd w:val="clear" w:color="auto" w:fill="FFFFFF"/>
          </w:tcPr>
          <w:p w14:paraId="7FE1C729" w14:textId="77777777" w:rsidR="00896468" w:rsidRDefault="00B31E50">
            <w:pPr>
              <w:pStyle w:val="P68B1DB1-Normal65"/>
              <w:spacing w:line="276" w:lineRule="auto"/>
              <w:jc w:val="both"/>
            </w:pPr>
            <w:r>
              <w:rPr>
                <w:szCs w:val="20"/>
              </w:rPr>
              <w:t>A banki taxonómia szerinti egyedi szolgáltatási cím</w:t>
            </w:r>
            <w:r>
              <w:t xml:space="preserve"> </w:t>
            </w:r>
          </w:p>
          <w:p w14:paraId="7FE1C72A" w14:textId="14809522" w:rsidR="00896468" w:rsidRDefault="00B31E50">
            <w:pPr>
              <w:pStyle w:val="P68B1DB1-Normal64"/>
            </w:pPr>
            <w:r>
              <w:t>A szolgáltatás neve/rövid leírása a bank saját többszintű taxonómiája (3. szint) szerint, a Z 08.01 (SERV 1) 0020-as oszlopban megadottak szerint. A banknak a 2. szintre (c0010) vonatkozó jelentésnél részletesebb szinten kell jelentenie a szolgáltatásokat, hogy minden egyes szolgáltatást pontosan és célzottan határozzanak meg.</w:t>
            </w:r>
          </w:p>
          <w:p w14:paraId="7FE1C72B" w14:textId="77777777" w:rsidR="00896468" w:rsidRDefault="00896468">
            <w:pPr>
              <w:spacing w:before="120" w:after="120" w:line="276" w:lineRule="auto"/>
              <w:rPr>
                <w:rFonts w:ascii="Times New Roman" w:hAnsi="Times New Roman"/>
                <w:sz w:val="20"/>
                <w:szCs w:val="20"/>
              </w:rPr>
            </w:pPr>
          </w:p>
        </w:tc>
      </w:tr>
      <w:tr w:rsidR="00896468" w14:paraId="7FE1C731" w14:textId="77777777">
        <w:trPr>
          <w:trHeight w:val="450"/>
        </w:trPr>
        <w:tc>
          <w:tcPr>
            <w:tcW w:w="1418" w:type="dxa"/>
            <w:shd w:val="clear" w:color="auto" w:fill="FFFFFF"/>
          </w:tcPr>
          <w:p w14:paraId="7FE1C72D" w14:textId="77777777" w:rsidR="00896468" w:rsidRDefault="00B31E50">
            <w:pPr>
              <w:pStyle w:val="P68B1DB1-Normal62"/>
              <w:spacing w:before="120" w:after="120" w:line="276" w:lineRule="auto"/>
            </w:pPr>
            <w:r>
              <w:t>0030–0040</w:t>
            </w:r>
          </w:p>
        </w:tc>
        <w:tc>
          <w:tcPr>
            <w:tcW w:w="7508" w:type="dxa"/>
            <w:shd w:val="clear" w:color="auto" w:fill="FFFFFF"/>
          </w:tcPr>
          <w:p w14:paraId="7FE1C72E" w14:textId="77777777" w:rsidR="00896468" w:rsidRDefault="00B31E50">
            <w:pPr>
              <w:pStyle w:val="P68B1DB1-Normal65"/>
              <w:spacing w:line="276" w:lineRule="auto"/>
              <w:jc w:val="both"/>
              <w:rPr>
                <w:bCs/>
              </w:rPr>
            </w:pPr>
            <w:r>
              <w:rPr>
                <w:szCs w:val="20"/>
              </w:rPr>
              <w:t>Kritikus funkció</w:t>
            </w:r>
            <w:r>
              <w:t xml:space="preserve"> </w:t>
            </w:r>
          </w:p>
          <w:p w14:paraId="7FE1C72F" w14:textId="77777777" w:rsidR="00896468" w:rsidRDefault="00B31E50">
            <w:pPr>
              <w:pStyle w:val="P68B1DB1-Normal64"/>
              <w:spacing w:line="276" w:lineRule="auto"/>
              <w:jc w:val="both"/>
            </w:pPr>
            <w:r>
              <w:t>A kritikus funkció, amelynek ellátását súlyosan akadályozná vagy teljesen meggátolná a kritikus szolgáltatás zavara. A Z 07.01 (FUNC 1) táblában kritikusnak minősített funkciók egyike.</w:t>
            </w:r>
          </w:p>
          <w:p w14:paraId="7FE1C730" w14:textId="77777777" w:rsidR="00896468" w:rsidRDefault="00896468">
            <w:pPr>
              <w:spacing w:line="276" w:lineRule="auto"/>
              <w:jc w:val="both"/>
              <w:rPr>
                <w:rFonts w:ascii="Times New Roman" w:hAnsi="Times New Roman"/>
                <w:sz w:val="20"/>
              </w:rPr>
            </w:pPr>
          </w:p>
        </w:tc>
      </w:tr>
      <w:tr w:rsidR="00896468" w14:paraId="7FE1C736" w14:textId="77777777">
        <w:trPr>
          <w:trHeight w:val="450"/>
        </w:trPr>
        <w:tc>
          <w:tcPr>
            <w:tcW w:w="1418" w:type="dxa"/>
            <w:shd w:val="clear" w:color="auto" w:fill="FFFFFF"/>
          </w:tcPr>
          <w:p w14:paraId="7FE1C732" w14:textId="77777777" w:rsidR="00896468" w:rsidRDefault="00B31E50">
            <w:pPr>
              <w:pStyle w:val="P68B1DB1-Normal64"/>
              <w:spacing w:before="120" w:after="120" w:line="276" w:lineRule="auto"/>
              <w:rPr>
                <w:szCs w:val="20"/>
              </w:rPr>
            </w:pPr>
            <w:r>
              <w:t>0030</w:t>
            </w:r>
          </w:p>
        </w:tc>
        <w:tc>
          <w:tcPr>
            <w:tcW w:w="7508" w:type="dxa"/>
            <w:shd w:val="clear" w:color="auto" w:fill="FFFFFF"/>
          </w:tcPr>
          <w:p w14:paraId="7FE1C733" w14:textId="77777777" w:rsidR="00896468" w:rsidRDefault="00B31E50">
            <w:pPr>
              <w:pStyle w:val="P68B1DB1-Normal65"/>
              <w:spacing w:line="276" w:lineRule="auto"/>
              <w:jc w:val="both"/>
              <w:rPr>
                <w:bCs/>
              </w:rPr>
            </w:pPr>
            <w:r>
              <w:t>Ország</w:t>
            </w:r>
          </w:p>
          <w:p w14:paraId="7FE1C734" w14:textId="77777777" w:rsidR="00896468" w:rsidRDefault="00B31E50">
            <w:pPr>
              <w:pStyle w:val="P68B1DB1-Normal64"/>
              <w:spacing w:line="276" w:lineRule="auto"/>
              <w:jc w:val="both"/>
            </w:pPr>
            <w:r>
              <w:t>Az az uniós tagállam, amelynek tekintetében a Z 07.01 (FUNC 1) táblában megadottak szerint a funkció kritikus.</w:t>
            </w:r>
          </w:p>
          <w:p w14:paraId="7FE1C735" w14:textId="77777777" w:rsidR="00896468" w:rsidRDefault="00896468">
            <w:pPr>
              <w:spacing w:line="276" w:lineRule="auto"/>
              <w:jc w:val="both"/>
              <w:rPr>
                <w:rFonts w:ascii="Times New Roman" w:hAnsi="Times New Roman"/>
                <w:sz w:val="20"/>
              </w:rPr>
            </w:pPr>
          </w:p>
        </w:tc>
      </w:tr>
      <w:tr w:rsidR="00896468" w14:paraId="7FE1C73B" w14:textId="77777777">
        <w:trPr>
          <w:trHeight w:val="450"/>
        </w:trPr>
        <w:tc>
          <w:tcPr>
            <w:tcW w:w="1418" w:type="dxa"/>
            <w:shd w:val="clear" w:color="auto" w:fill="FFFFFF"/>
          </w:tcPr>
          <w:p w14:paraId="7FE1C737" w14:textId="77777777" w:rsidR="00896468" w:rsidRDefault="00B31E50">
            <w:pPr>
              <w:pStyle w:val="P68B1DB1-Normal64"/>
              <w:spacing w:before="120" w:after="120" w:line="276" w:lineRule="auto"/>
              <w:rPr>
                <w:szCs w:val="20"/>
              </w:rPr>
            </w:pPr>
            <w:r>
              <w:t>0040</w:t>
            </w:r>
          </w:p>
        </w:tc>
        <w:tc>
          <w:tcPr>
            <w:tcW w:w="7508" w:type="dxa"/>
            <w:shd w:val="clear" w:color="auto" w:fill="FFFFFF"/>
          </w:tcPr>
          <w:p w14:paraId="7FE1C738" w14:textId="77777777" w:rsidR="00896468" w:rsidRDefault="00B31E50">
            <w:pPr>
              <w:pStyle w:val="P68B1DB1-Normal65"/>
              <w:spacing w:line="276" w:lineRule="auto"/>
              <w:jc w:val="both"/>
              <w:rPr>
                <w:bCs/>
              </w:rPr>
            </w:pPr>
            <w:r>
              <w:t>﻿AZONOSÍTÓ﻿</w:t>
            </w:r>
          </w:p>
          <w:p w14:paraId="7FE1C739" w14:textId="77777777" w:rsidR="00896468" w:rsidRDefault="00B31E50">
            <w:pPr>
              <w:pStyle w:val="P68B1DB1-Normal64"/>
              <w:spacing w:line="276" w:lineRule="auto"/>
              <w:jc w:val="both"/>
            </w:pPr>
            <w:r>
              <w:t>A fenti 2.7.1.4. pontban meghatározott és a Z 07.01 (FUNC 1) táblában említett kritikus funkciók azonosítója.</w:t>
            </w:r>
          </w:p>
          <w:p w14:paraId="7FE1C73A" w14:textId="77777777" w:rsidR="00896468" w:rsidRDefault="00896468">
            <w:pPr>
              <w:spacing w:line="276" w:lineRule="auto"/>
              <w:jc w:val="both"/>
              <w:rPr>
                <w:rFonts w:ascii="Times New Roman" w:hAnsi="Times New Roman"/>
                <w:sz w:val="20"/>
              </w:rPr>
            </w:pPr>
          </w:p>
        </w:tc>
      </w:tr>
    </w:tbl>
    <w:p w14:paraId="7FE1C746" w14:textId="77777777" w:rsidR="00896468" w:rsidRDefault="00896468">
      <w:pPr>
        <w:rPr>
          <w:rFonts w:ascii="Times New Roman" w:hAnsi="Times New Roman" w:cs="Times New Roman"/>
        </w:rPr>
      </w:pPr>
    </w:p>
    <w:p w14:paraId="7FE1C747" w14:textId="77777777" w:rsidR="00896468" w:rsidRDefault="00896468">
      <w:pPr>
        <w:pStyle w:val="Instructionsberschrift2"/>
        <w:rPr>
          <w:rFonts w:ascii="Times New Roman" w:eastAsia="Calibri" w:hAnsi="Times New Roman" w:cs="Times New Roman"/>
          <w:szCs w:val="20"/>
        </w:rPr>
      </w:pPr>
    </w:p>
    <w:p w14:paraId="7FE1C748" w14:textId="080BFF57" w:rsidR="00896468" w:rsidRDefault="00B31E50">
      <w:pPr>
        <w:pStyle w:val="P68B1DB1-Instructionsberschrift25"/>
        <w:numPr>
          <w:ilvl w:val="1"/>
          <w:numId w:val="49"/>
        </w:numPr>
        <w:ind w:left="357" w:hanging="357"/>
        <w:rPr>
          <w:rFonts w:eastAsia="Calibri"/>
          <w:szCs w:val="20"/>
        </w:rPr>
      </w:pPr>
      <w:bookmarkStart w:id="136" w:name="_Toc210982891"/>
      <w:r>
        <w:t xml:space="preserve">Z 08.05 – </w:t>
      </w:r>
      <w:r w:rsidR="00BE227F">
        <w:t>Alapvető</w:t>
      </w:r>
      <w:r w:rsidR="00D75732">
        <w:t xml:space="preserve"> </w:t>
      </w:r>
      <w:r>
        <w:t>szolgáltatások – a fő üzletágakhoz való hozzárendelés (SERV 5)</w:t>
      </w:r>
      <w:bookmarkEnd w:id="136"/>
    </w:p>
    <w:p w14:paraId="7FE1C749" w14:textId="77777777" w:rsidR="00896468" w:rsidRDefault="00B31E50">
      <w:pPr>
        <w:pStyle w:val="P68B1DB1-Normal70"/>
        <w:spacing w:line="276" w:lineRule="auto"/>
        <w:jc w:val="both"/>
        <w:rPr>
          <w:sz w:val="20"/>
          <w:szCs w:val="20"/>
        </w:rPr>
      </w:pPr>
      <w:r>
        <w:t>A táblák egyes részeire vonatkozó útmutatások</w:t>
      </w:r>
    </w:p>
    <w:p w14:paraId="7FE1C74A" w14:textId="02BD9DA6" w:rsidR="00896468" w:rsidRDefault="00B31E50">
      <w:pPr>
        <w:pStyle w:val="P68B1DB1-Instructionsberschrift368"/>
        <w:numPr>
          <w:ilvl w:val="2"/>
          <w:numId w:val="210"/>
        </w:numPr>
        <w:ind w:left="1418"/>
        <w:contextualSpacing/>
        <w:jc w:val="both"/>
      </w:pPr>
      <w:r>
        <w:t>Az e táblában feltüntetendő információkat a csoport egészére vonatkozóan egyszer kell jelenteni.</w:t>
      </w:r>
      <w:r w:rsidR="002A4A75">
        <w:t xml:space="preserve"> </w:t>
      </w:r>
      <w:r>
        <w:t xml:space="preserve">A tábla a csoporthoz tartozó bármely szervezet által igénybe vett </w:t>
      </w:r>
      <w:r w:rsidR="00514D28">
        <w:t xml:space="preserve">alapvető </w:t>
      </w:r>
      <w:r>
        <w:t xml:space="preserve">szolgáltatásokat sorolja fel és kapcsolja a csoport által biztosított </w:t>
      </w:r>
      <w:r w:rsidR="00514D28">
        <w:t>fő üzletágakhoz</w:t>
      </w:r>
      <w:r>
        <w:t>.</w:t>
      </w:r>
    </w:p>
    <w:p w14:paraId="7FE1C74B" w14:textId="77777777" w:rsidR="00896468" w:rsidRDefault="00B31E50">
      <w:pPr>
        <w:pStyle w:val="P68B1DB1-Instructionsberschrift368"/>
        <w:numPr>
          <w:ilvl w:val="2"/>
          <w:numId w:val="210"/>
        </w:numPr>
        <w:ind w:left="1418"/>
        <w:contextualSpacing/>
        <w:jc w:val="both"/>
      </w:pPr>
      <w:r>
        <w:t>Az e tábla 0010., 0020. és 0040. oszlopában feltüntetett értékek kombinációja elsődleges kulcsot képez, amelynek a tábla minden sorát egyedileg kell azonosítania.</w:t>
      </w:r>
    </w:p>
    <w:p w14:paraId="7FE1C74C" w14:textId="77777777" w:rsidR="00896468" w:rsidRDefault="00896468">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896468" w14:paraId="7FE1C74F" w14:textId="77777777">
        <w:trPr>
          <w:trHeight w:val="644"/>
          <w:tblHeader/>
        </w:trPr>
        <w:tc>
          <w:tcPr>
            <w:tcW w:w="1418" w:type="dxa"/>
            <w:shd w:val="clear" w:color="auto" w:fill="E7E6E6"/>
          </w:tcPr>
          <w:p w14:paraId="7FE1C74D" w14:textId="77777777" w:rsidR="00896468" w:rsidRDefault="00B31E50">
            <w:pPr>
              <w:pStyle w:val="P68B1DB1-Normal61"/>
              <w:spacing w:before="120" w:after="120" w:line="276" w:lineRule="auto"/>
            </w:pPr>
            <w:r>
              <w:t>Oszlopok</w:t>
            </w:r>
          </w:p>
        </w:tc>
        <w:tc>
          <w:tcPr>
            <w:tcW w:w="7649" w:type="dxa"/>
            <w:shd w:val="clear" w:color="auto" w:fill="E7E6E6"/>
          </w:tcPr>
          <w:p w14:paraId="7FE1C74E" w14:textId="77777777" w:rsidR="00896468" w:rsidRDefault="00B31E50">
            <w:pPr>
              <w:pStyle w:val="P68B1DB1-Normal61"/>
              <w:spacing w:before="120" w:after="120" w:line="276" w:lineRule="auto"/>
            </w:pPr>
            <w:r>
              <w:t>Útmutató</w:t>
            </w:r>
          </w:p>
        </w:tc>
      </w:tr>
      <w:tr w:rsidR="00896468" w14:paraId="7FE1C754" w14:textId="77777777">
        <w:trPr>
          <w:trHeight w:val="450"/>
        </w:trPr>
        <w:tc>
          <w:tcPr>
            <w:tcW w:w="1418" w:type="dxa"/>
            <w:shd w:val="clear" w:color="auto" w:fill="FFFFFF"/>
          </w:tcPr>
          <w:p w14:paraId="7FE1C750" w14:textId="77777777" w:rsidR="00896468" w:rsidRDefault="00B31E50">
            <w:pPr>
              <w:pStyle w:val="P68B1DB1-Normal62"/>
              <w:spacing w:before="120" w:after="120" w:line="276" w:lineRule="auto"/>
            </w:pPr>
            <w:r>
              <w:t>0005</w:t>
            </w:r>
          </w:p>
        </w:tc>
        <w:tc>
          <w:tcPr>
            <w:tcW w:w="7649" w:type="dxa"/>
            <w:shd w:val="clear" w:color="auto" w:fill="FFFFFF"/>
          </w:tcPr>
          <w:p w14:paraId="7FE1C751" w14:textId="3F55A0FA" w:rsidR="00896468" w:rsidRDefault="00B31E50">
            <w:pPr>
              <w:pStyle w:val="P68B1DB1-Normal61"/>
              <w:spacing w:before="120" w:after="120" w:line="276" w:lineRule="auto"/>
            </w:pPr>
            <w:r>
              <w:t xml:space="preserve">Szolgáltatóazonosító </w:t>
            </w:r>
          </w:p>
          <w:p w14:paraId="7FE1C752" w14:textId="77777777" w:rsidR="00896468" w:rsidRDefault="00B31E50">
            <w:pPr>
              <w:pStyle w:val="P68B1DB1-Normal62"/>
              <w:spacing w:before="120" w:after="120" w:line="276" w:lineRule="auto"/>
            </w:pPr>
            <w:r>
              <w:t>Használja a Z 08.01 (SERV 1) mezőben jelentett szolgáltatásazonosítót.</w:t>
            </w:r>
          </w:p>
          <w:p w14:paraId="7FE1C753" w14:textId="77777777" w:rsidR="00896468" w:rsidRDefault="00B31E50">
            <w:pPr>
              <w:pStyle w:val="P68B1DB1-Normal62"/>
              <w:spacing w:before="120" w:after="120" w:line="276" w:lineRule="auto"/>
              <w:rPr>
                <w:i/>
              </w:rPr>
            </w:pPr>
            <w:r>
              <w:t>A szolgáltatásazonosító a c0020. rovatban jelentett szolgáltatásra vonatkozik.</w:t>
            </w:r>
          </w:p>
        </w:tc>
      </w:tr>
      <w:tr w:rsidR="00896468" w14:paraId="7FE1C798" w14:textId="77777777">
        <w:trPr>
          <w:trHeight w:val="450"/>
        </w:trPr>
        <w:tc>
          <w:tcPr>
            <w:tcW w:w="1418" w:type="dxa"/>
            <w:shd w:val="clear" w:color="auto" w:fill="FFFFFF"/>
          </w:tcPr>
          <w:p w14:paraId="7FE1C755" w14:textId="77777777" w:rsidR="00896468" w:rsidRDefault="00B31E50">
            <w:pPr>
              <w:pStyle w:val="P68B1DB1-Normal62"/>
              <w:spacing w:before="120" w:after="120" w:line="276" w:lineRule="auto"/>
            </w:pPr>
            <w:r>
              <w:lastRenderedPageBreak/>
              <w:t>0010</w:t>
            </w:r>
          </w:p>
        </w:tc>
        <w:tc>
          <w:tcPr>
            <w:tcW w:w="7649" w:type="dxa"/>
            <w:shd w:val="clear" w:color="auto" w:fill="FFFFFF"/>
          </w:tcPr>
          <w:p w14:paraId="7FE1C756" w14:textId="77777777" w:rsidR="00896468" w:rsidRDefault="00B31E50">
            <w:pPr>
              <w:pStyle w:val="P68B1DB1-Normal61"/>
              <w:autoSpaceDE w:val="0"/>
              <w:autoSpaceDN w:val="0"/>
              <w:adjustRightInd w:val="0"/>
              <w:rPr>
                <w:rFonts w:eastAsia="MS Mincho"/>
                <w:bCs/>
              </w:rPr>
            </w:pPr>
            <w:r>
              <w:t xml:space="preserve">A szolgáltatás típusa </w:t>
            </w:r>
          </w:p>
          <w:p w14:paraId="7FE1C757" w14:textId="456B8EC9" w:rsidR="00896468" w:rsidRDefault="00B31E50">
            <w:pPr>
              <w:pStyle w:val="P68B1DB1-Normal63"/>
              <w:autoSpaceDE w:val="0"/>
              <w:autoSpaceDN w:val="0"/>
              <w:adjustRightInd w:val="0"/>
            </w:pPr>
            <w:r>
              <w:t xml:space="preserve">A szolgáltatás típusa a </w:t>
            </w:r>
            <w:r w:rsidR="009C0750" w:rsidRPr="009C0750">
              <w:t xml:space="preserve">Z 08.01 0010 </w:t>
            </w:r>
            <w:r w:rsidR="009C0750">
              <w:t>alatt</w:t>
            </w:r>
            <w:r>
              <w:t xml:space="preserve"> felsorolt szolgáltatástípusok egyike lehet. </w:t>
            </w:r>
          </w:p>
          <w:p w14:paraId="7FE1C797" w14:textId="77777777" w:rsidR="00896468" w:rsidRDefault="00896468">
            <w:pPr>
              <w:autoSpaceDE w:val="0"/>
              <w:autoSpaceDN w:val="0"/>
              <w:adjustRightInd w:val="0"/>
              <w:rPr>
                <w:rFonts w:ascii="Times New Roman" w:hAnsi="Times New Roman"/>
                <w:sz w:val="20"/>
                <w:szCs w:val="20"/>
              </w:rPr>
            </w:pPr>
          </w:p>
        </w:tc>
      </w:tr>
      <w:tr w:rsidR="00896468" w14:paraId="7FE1C79D" w14:textId="77777777">
        <w:trPr>
          <w:trHeight w:val="450"/>
        </w:trPr>
        <w:tc>
          <w:tcPr>
            <w:tcW w:w="1418" w:type="dxa"/>
            <w:shd w:val="clear" w:color="auto" w:fill="FFFFFF"/>
          </w:tcPr>
          <w:p w14:paraId="7FE1C799" w14:textId="77777777" w:rsidR="00896468" w:rsidRDefault="00B31E50">
            <w:pPr>
              <w:pStyle w:val="P68B1DB1-Normal62"/>
              <w:spacing w:before="120" w:after="120" w:line="276" w:lineRule="auto"/>
            </w:pPr>
            <w:r>
              <w:t>0020</w:t>
            </w:r>
          </w:p>
        </w:tc>
        <w:tc>
          <w:tcPr>
            <w:tcW w:w="7649" w:type="dxa"/>
            <w:shd w:val="clear" w:color="auto" w:fill="FFFFFF"/>
          </w:tcPr>
          <w:p w14:paraId="7FE1C79A" w14:textId="77777777" w:rsidR="00896468" w:rsidRDefault="00B31E50">
            <w:pPr>
              <w:pStyle w:val="P68B1DB1-Normal65"/>
              <w:spacing w:line="276" w:lineRule="auto"/>
              <w:jc w:val="both"/>
            </w:pPr>
            <w:r>
              <w:rPr>
                <w:szCs w:val="20"/>
              </w:rPr>
              <w:t>A banki taxonómia szerinti egyedi szolgáltatási cím</w:t>
            </w:r>
            <w:r>
              <w:t xml:space="preserve"> </w:t>
            </w:r>
          </w:p>
          <w:p w14:paraId="7FE1C79B" w14:textId="18F1A227" w:rsidR="00896468" w:rsidRDefault="00B31E50">
            <w:pPr>
              <w:pStyle w:val="P68B1DB1-Normal64"/>
            </w:pPr>
            <w:r>
              <w:t>A szolgáltatás neve/rövid leírása a bank saját többszintű taxonómiája (3. szint) szerint, a Z 08.01 (SERV 1) 0020-as oszlopban megadottak szerint. A banknak a 2. szintre (c0010) vonatkozó jelentésnél részletesebb szinten kell jelentenie a szolgáltatásokat, hogy minden egyes szolgáltatást pontosan és célzottan határozzanak meg.</w:t>
            </w:r>
          </w:p>
          <w:p w14:paraId="7FE1C79C" w14:textId="77777777" w:rsidR="00896468" w:rsidRDefault="00896468">
            <w:pPr>
              <w:spacing w:before="120" w:after="120" w:line="276" w:lineRule="auto"/>
              <w:rPr>
                <w:rFonts w:ascii="Times New Roman" w:hAnsi="Times New Roman"/>
                <w:sz w:val="20"/>
                <w:szCs w:val="20"/>
              </w:rPr>
            </w:pPr>
          </w:p>
        </w:tc>
      </w:tr>
      <w:tr w:rsidR="00896468" w14:paraId="7FE1C7A2" w14:textId="77777777">
        <w:trPr>
          <w:trHeight w:val="450"/>
        </w:trPr>
        <w:tc>
          <w:tcPr>
            <w:tcW w:w="1418" w:type="dxa"/>
            <w:shd w:val="clear" w:color="auto" w:fill="FFFFFF"/>
          </w:tcPr>
          <w:p w14:paraId="7FE1C79E" w14:textId="77777777" w:rsidR="00896468" w:rsidRDefault="00B31E50">
            <w:pPr>
              <w:pStyle w:val="P68B1DB1-Normal64"/>
              <w:spacing w:before="120" w:after="120" w:line="276" w:lineRule="auto"/>
              <w:rPr>
                <w:szCs w:val="20"/>
              </w:rPr>
            </w:pPr>
            <w:r>
              <w:t>0030–0040</w:t>
            </w:r>
          </w:p>
        </w:tc>
        <w:tc>
          <w:tcPr>
            <w:tcW w:w="7649" w:type="dxa"/>
            <w:shd w:val="clear" w:color="auto" w:fill="FFFFFF"/>
          </w:tcPr>
          <w:p w14:paraId="7FE1C79F" w14:textId="77777777" w:rsidR="00896468" w:rsidRDefault="00B31E50">
            <w:pPr>
              <w:pStyle w:val="P68B1DB1-Normal65"/>
              <w:spacing w:line="276" w:lineRule="auto"/>
              <w:jc w:val="both"/>
            </w:pPr>
            <w:r>
              <w:rPr>
                <w:szCs w:val="20"/>
              </w:rPr>
              <w:t>Fő üzletág</w:t>
            </w:r>
            <w:r>
              <w:t xml:space="preserve"> </w:t>
            </w:r>
          </w:p>
          <w:p w14:paraId="7FE1C7A0" w14:textId="69CF44DD" w:rsidR="00896468" w:rsidRDefault="00B31E50">
            <w:pPr>
              <w:pStyle w:val="P68B1DB1-Normal67"/>
              <w:spacing w:line="276" w:lineRule="auto"/>
              <w:jc w:val="both"/>
              <w:rPr>
                <w:sz w:val="20"/>
              </w:rPr>
            </w:pPr>
            <w:r>
              <w:rPr>
                <w:sz w:val="20"/>
              </w:rPr>
              <w:t>A 2016/778 irányelv 2. cikke (1) bekezdésének 36. pontja és (2) bekezdése szerinti fő üzletágak.</w:t>
            </w:r>
            <w:r>
              <w:t xml:space="preserve"> </w:t>
            </w:r>
          </w:p>
          <w:p w14:paraId="7FE1C7A1" w14:textId="77777777" w:rsidR="00896468" w:rsidRDefault="00896468">
            <w:pPr>
              <w:spacing w:line="276" w:lineRule="auto"/>
              <w:jc w:val="both"/>
              <w:rPr>
                <w:rFonts w:ascii="Times New Roman" w:hAnsi="Times New Roman"/>
                <w:sz w:val="20"/>
              </w:rPr>
            </w:pPr>
          </w:p>
        </w:tc>
      </w:tr>
      <w:tr w:rsidR="00896468" w14:paraId="7FE1C7A7" w14:textId="77777777">
        <w:trPr>
          <w:trHeight w:val="450"/>
        </w:trPr>
        <w:tc>
          <w:tcPr>
            <w:tcW w:w="1418" w:type="dxa"/>
            <w:shd w:val="clear" w:color="auto" w:fill="FFFFFF"/>
          </w:tcPr>
          <w:p w14:paraId="7FE1C7A3" w14:textId="77777777" w:rsidR="00896468" w:rsidRDefault="00B31E50">
            <w:pPr>
              <w:pStyle w:val="P68B1DB1-Normal64"/>
              <w:spacing w:before="120" w:after="120" w:line="276" w:lineRule="auto"/>
              <w:rPr>
                <w:szCs w:val="20"/>
              </w:rPr>
            </w:pPr>
            <w:r>
              <w:t>0030</w:t>
            </w:r>
          </w:p>
        </w:tc>
        <w:tc>
          <w:tcPr>
            <w:tcW w:w="7649" w:type="dxa"/>
            <w:shd w:val="clear" w:color="auto" w:fill="FFFFFF"/>
          </w:tcPr>
          <w:p w14:paraId="7FE1C7A4" w14:textId="77777777" w:rsidR="00896468" w:rsidRDefault="00B31E50">
            <w:pPr>
              <w:pStyle w:val="P68B1DB1-Normal65"/>
              <w:spacing w:line="276" w:lineRule="auto"/>
              <w:jc w:val="both"/>
              <w:rPr>
                <w:bCs/>
              </w:rPr>
            </w:pPr>
            <w:r>
              <w:t>Megnevezés</w:t>
            </w:r>
          </w:p>
          <w:p w14:paraId="7FE1C7A5" w14:textId="77777777" w:rsidR="00896468" w:rsidRDefault="00B31E50">
            <w:pPr>
              <w:pStyle w:val="P68B1DB1-Normal64"/>
              <w:jc w:val="both"/>
            </w:pPr>
            <w:r>
              <w:t>A Z 07.03 0010. táblában feltüntetett fő üzletágak egyike.</w:t>
            </w:r>
          </w:p>
          <w:p w14:paraId="7FE1C7A6" w14:textId="77777777" w:rsidR="00896468" w:rsidRDefault="00896468">
            <w:pPr>
              <w:spacing w:line="276" w:lineRule="auto"/>
              <w:jc w:val="both"/>
              <w:rPr>
                <w:rFonts w:ascii="Times New Roman" w:hAnsi="Times New Roman"/>
                <w:sz w:val="20"/>
              </w:rPr>
            </w:pPr>
          </w:p>
        </w:tc>
      </w:tr>
      <w:tr w:rsidR="00896468" w14:paraId="7FE1C7AD" w14:textId="77777777">
        <w:trPr>
          <w:trHeight w:val="450"/>
        </w:trPr>
        <w:tc>
          <w:tcPr>
            <w:tcW w:w="1418" w:type="dxa"/>
            <w:shd w:val="clear" w:color="auto" w:fill="FFFFFF"/>
          </w:tcPr>
          <w:p w14:paraId="7FE1C7A8" w14:textId="77777777" w:rsidR="00896468" w:rsidRDefault="00B31E50">
            <w:pPr>
              <w:pStyle w:val="P68B1DB1-Normal64"/>
              <w:spacing w:before="120" w:after="120" w:line="276" w:lineRule="auto"/>
              <w:rPr>
                <w:szCs w:val="20"/>
              </w:rPr>
            </w:pPr>
            <w:r>
              <w:t>0040</w:t>
            </w:r>
          </w:p>
        </w:tc>
        <w:tc>
          <w:tcPr>
            <w:tcW w:w="7649" w:type="dxa"/>
            <w:shd w:val="clear" w:color="auto" w:fill="FFFFFF"/>
          </w:tcPr>
          <w:p w14:paraId="7FE1C7A9" w14:textId="77777777" w:rsidR="00896468" w:rsidRDefault="00B31E50">
            <w:pPr>
              <w:pStyle w:val="P68B1DB1-Normal65"/>
              <w:spacing w:line="276" w:lineRule="auto"/>
              <w:jc w:val="both"/>
              <w:rPr>
                <w:bCs/>
              </w:rPr>
            </w:pPr>
            <w:r>
              <w:t>﻿AZONOSÍTÓ﻿</w:t>
            </w:r>
          </w:p>
          <w:p w14:paraId="7FE1C7AA" w14:textId="77777777" w:rsidR="00896468" w:rsidRDefault="00B31E50">
            <w:pPr>
              <w:pStyle w:val="P68B1DB1-Normal64"/>
              <w:spacing w:line="276" w:lineRule="auto"/>
              <w:jc w:val="both"/>
            </w:pPr>
            <w:r>
              <w:t xml:space="preserve">Azon fő üzletágak azonosítója, amelyek folytonossága szükséges a szanálási stratégia és az azt követő szerkezetátalakítás hatékony végrehajtásához. A Z 07.03 0020 táblában megadott azonosítók egyike </w:t>
            </w:r>
          </w:p>
          <w:p w14:paraId="7FE1C7AB" w14:textId="77777777" w:rsidR="00896468" w:rsidRDefault="00896468">
            <w:pPr>
              <w:spacing w:line="276" w:lineRule="auto"/>
              <w:jc w:val="both"/>
              <w:rPr>
                <w:rFonts w:ascii="Times New Roman" w:hAnsi="Times New Roman"/>
                <w:sz w:val="20"/>
              </w:rPr>
            </w:pPr>
          </w:p>
          <w:p w14:paraId="7FE1C7AC" w14:textId="77777777" w:rsidR="00896468" w:rsidRDefault="00896468">
            <w:pPr>
              <w:spacing w:line="276" w:lineRule="auto"/>
              <w:jc w:val="both"/>
              <w:rPr>
                <w:rFonts w:ascii="Times New Roman" w:hAnsi="Times New Roman"/>
                <w:sz w:val="20"/>
              </w:rPr>
            </w:pPr>
          </w:p>
        </w:tc>
      </w:tr>
    </w:tbl>
    <w:p w14:paraId="7FE1C7B8" w14:textId="77777777" w:rsidR="00896468" w:rsidRDefault="00896468">
      <w:pPr>
        <w:rPr>
          <w:rFonts w:ascii="Times New Roman" w:hAnsi="Times New Roman" w:cs="Times New Roman"/>
        </w:rPr>
      </w:pPr>
    </w:p>
    <w:p w14:paraId="7FE1C7B9" w14:textId="77777777" w:rsidR="00896468" w:rsidRDefault="00896468">
      <w:pPr>
        <w:pStyle w:val="Instructionsberschrift2"/>
        <w:rPr>
          <w:rFonts w:ascii="Times New Roman" w:eastAsia="Calibri" w:hAnsi="Times New Roman" w:cs="Times New Roman"/>
          <w:szCs w:val="20"/>
        </w:rPr>
      </w:pPr>
    </w:p>
    <w:p w14:paraId="7FE1C7BA" w14:textId="4A518F28" w:rsidR="00896468" w:rsidRDefault="009C0750">
      <w:pPr>
        <w:pStyle w:val="P68B1DB1-Instructionsberschrift271"/>
        <w:numPr>
          <w:ilvl w:val="1"/>
          <w:numId w:val="49"/>
        </w:numPr>
        <w:ind w:left="357" w:hanging="357"/>
      </w:pPr>
      <w:bookmarkStart w:id="137" w:name="_Toc210982892"/>
      <w:r w:rsidRPr="009C0750">
        <w:t xml:space="preserve">Pénzügyi piaci infrastrukturális </w:t>
      </w:r>
      <w:r w:rsidR="00B31E50">
        <w:t>szolgáltatások</w:t>
      </w:r>
      <w:bookmarkEnd w:id="137"/>
    </w:p>
    <w:p w14:paraId="7FE1C7BC" w14:textId="227D5127" w:rsidR="00896468" w:rsidRDefault="00B31E50">
      <w:pPr>
        <w:pStyle w:val="P68B1DB1-Numberedtitlelevel372"/>
      </w:pPr>
      <w:r>
        <w:t>Általános megjegyzések</w:t>
      </w:r>
    </w:p>
    <w:p w14:paraId="7FE1C7BD" w14:textId="77777777" w:rsidR="00896468" w:rsidRDefault="00B31E50">
      <w:pPr>
        <w:pStyle w:val="P68B1DB1-InstructionsText26"/>
        <w:numPr>
          <w:ilvl w:val="2"/>
          <w:numId w:val="209"/>
        </w:numPr>
        <w:spacing w:before="0"/>
        <w:ind w:left="1276"/>
      </w:pPr>
      <w:r>
        <w:t>Adja meg az alábbi 0040. oszlopban említett pénzügyi piaci infrastruktúrákhoz és rendszerekhez való valamennyi közvetlen és közvetett hozzáférést. Ezt a táblát a teljes intézményre vagy csoportra vonatkozóan egyszer kell kitölteni.</w:t>
      </w:r>
    </w:p>
    <w:p w14:paraId="7FE1C7BE" w14:textId="58CC219D" w:rsidR="00896468" w:rsidRDefault="00B31E50">
      <w:pPr>
        <w:pStyle w:val="P68B1DB1-InstructionsText26"/>
        <w:numPr>
          <w:ilvl w:val="2"/>
          <w:numId w:val="209"/>
        </w:numPr>
        <w:spacing w:before="0"/>
        <w:ind w:left="1276"/>
      </w:pPr>
      <w:r>
        <w:t xml:space="preserve">Egy táblát kell kitölteni az intézményre vagy csoportra vonatkozóan. Minden olyan érintett </w:t>
      </w:r>
      <w:r w:rsidR="009C0750">
        <w:t>szervezetet</w:t>
      </w:r>
      <w:r>
        <w:t>, amely közvetlenül vagy közvetve hozzáfér egy FMI-hez, felhasználóként kell feltüntetni. A csoporton belüli és a harmadik felek közötti kapcsolatot egyaránt jelenteni kell.</w:t>
      </w:r>
    </w:p>
    <w:p w14:paraId="7FE1C7BF" w14:textId="5CCDA51A" w:rsidR="00896468" w:rsidRDefault="00B31E50">
      <w:pPr>
        <w:pStyle w:val="P68B1DB1-ListParagraph32"/>
        <w:numPr>
          <w:ilvl w:val="2"/>
          <w:numId w:val="209"/>
        </w:numPr>
        <w:ind w:left="1276"/>
      </w:pPr>
      <w:r>
        <w:t>Az e tábla 0030., 0040., 0070. és 0110. oszlopában feltüntetett értékek kombinációja elsődleges kulcsot képez, amely a tábla minden sora tekintetében egyedi és a tábla első oszlopában kerül feltüntetésre.</w:t>
      </w:r>
    </w:p>
    <w:p w14:paraId="7FE1C7C0" w14:textId="77777777" w:rsidR="00896468" w:rsidRDefault="00896468">
      <w:pPr>
        <w:pStyle w:val="ListParagraph"/>
        <w:ind w:left="1276"/>
        <w:rPr>
          <w:rFonts w:ascii="Times New Roman" w:eastAsia="Times New Roman" w:hAnsi="Times New Roman"/>
          <w:sz w:val="20"/>
          <w:szCs w:val="20"/>
        </w:rPr>
      </w:pPr>
    </w:p>
    <w:p w14:paraId="7FE1C7C1" w14:textId="22CBF074" w:rsidR="00896468" w:rsidRDefault="00B31E50">
      <w:pPr>
        <w:pStyle w:val="P68B1DB1-InstructionsText26"/>
        <w:numPr>
          <w:ilvl w:val="2"/>
          <w:numId w:val="209"/>
        </w:numPr>
        <w:spacing w:before="0"/>
        <w:ind w:left="1276"/>
      </w:pPr>
      <w:r>
        <w:t xml:space="preserve">Ha egynél több tételt kell szabad </w:t>
      </w:r>
      <w:r w:rsidR="009123EF">
        <w:t xml:space="preserve">szöveges </w:t>
      </w:r>
      <w:r>
        <w:t>formában jelenteni, minden tételt pontosvesszővel kell elválasztani (;).</w:t>
      </w:r>
    </w:p>
    <w:p w14:paraId="7FE1C7C2" w14:textId="77777777" w:rsidR="00896468" w:rsidRDefault="00896468">
      <w:pPr>
        <w:pStyle w:val="Instructionsberschrift2"/>
        <w:ind w:left="357"/>
        <w:rPr>
          <w:rFonts w:ascii="Times New Roman" w:eastAsia="Calibri" w:hAnsi="Times New Roman" w:cs="Times New Roman"/>
          <w:szCs w:val="20"/>
        </w:rPr>
      </w:pPr>
    </w:p>
    <w:p w14:paraId="7FE1C7C3" w14:textId="77777777" w:rsidR="00896468" w:rsidRDefault="00B31E50">
      <w:pPr>
        <w:pStyle w:val="P68B1DB1-Instructionsberschrift271"/>
        <w:numPr>
          <w:ilvl w:val="1"/>
          <w:numId w:val="49"/>
        </w:numPr>
        <w:ind w:left="357" w:hanging="357"/>
      </w:pPr>
      <w:bookmarkStart w:id="138" w:name="_Toc210982893"/>
      <w:r>
        <w:t>Z 09.01 – Pénzügyi piaci infrastrukturális szolgáltatások – Szolgáltatók és felhasználók (FMI 1)</w:t>
      </w:r>
      <w:bookmarkEnd w:id="138"/>
    </w:p>
    <w:p w14:paraId="7FE1C7C5" w14:textId="6BE08ACD" w:rsidR="00896468" w:rsidRDefault="00896468">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896468"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896468" w:rsidRDefault="00B31E50">
            <w:pPr>
              <w:pStyle w:val="P68B1DB1-TableParagraph17"/>
              <w:spacing w:before="108"/>
              <w:ind w:left="85"/>
            </w:pPr>
            <w:r>
              <w:lastRenderedPageBreak/>
              <w:t xml:space="preserve">Oszlopok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896468" w:rsidRDefault="00B31E50">
            <w:pPr>
              <w:pStyle w:val="P68B1DB1-TableParagraph17"/>
              <w:spacing w:before="108"/>
              <w:ind w:left="85"/>
            </w:pPr>
            <w:r>
              <w:t xml:space="preserve">Útmutató </w:t>
            </w:r>
          </w:p>
        </w:tc>
      </w:tr>
      <w:tr w:rsidR="00896468"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896468" w:rsidRDefault="00B31E50">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896468" w:rsidRDefault="00B31E50">
            <w:pPr>
              <w:pStyle w:val="P68B1DB1-TableParagraph73"/>
              <w:spacing w:before="108"/>
              <w:jc w:val="both"/>
            </w:pPr>
            <w:r>
              <w:t>A felhasználó, az FMI, a rendszer típusa és a közvetítő kombinációját jelölő azonosító</w:t>
            </w:r>
          </w:p>
          <w:p w14:paraId="7FE1C7CB" w14:textId="2039C9E5" w:rsidR="00896468" w:rsidRDefault="00B31E50">
            <w:pPr>
              <w:pStyle w:val="P68B1DB1-Normal31"/>
            </w:pPr>
            <w:r>
              <w:t xml:space="preserve">Használjon soronként egyetlen azonosítót, amely a felhasználó, az FMI, a rendszertípus és a közvetítő egyedi kombinációjának felel meg. Adott esetben ugyanazt a kombinációnak megfelelő azonosítót kell használni a Z 09.01–Z 09.04 táblákban. </w:t>
            </w:r>
          </w:p>
          <w:p w14:paraId="7FE1C7CC" w14:textId="77777777" w:rsidR="00896468" w:rsidRDefault="00896468">
            <w:pPr>
              <w:rPr>
                <w:rFonts w:ascii="Times New Roman" w:eastAsia="Times New Roman" w:hAnsi="Times New Roman" w:cs="Times New Roman"/>
                <w:sz w:val="20"/>
                <w:szCs w:val="20"/>
              </w:rPr>
            </w:pPr>
          </w:p>
        </w:tc>
      </w:tr>
      <w:tr w:rsidR="00896468"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896468" w:rsidRDefault="00B31E50">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2A32757A" w:rsidR="00896468" w:rsidRDefault="00B31E50">
            <w:pPr>
              <w:pStyle w:val="P68B1DB1-TableParagraph75"/>
              <w:spacing w:before="108"/>
              <w:ind w:left="85"/>
              <w:jc w:val="both"/>
              <w:rPr>
                <w:color w:val="D13438"/>
                <w:u w:val="single"/>
              </w:rPr>
            </w:pPr>
            <w:r>
              <w:t>Felhasználók</w:t>
            </w:r>
          </w:p>
        </w:tc>
      </w:tr>
      <w:tr w:rsidR="00896468"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896468" w:rsidRDefault="00B31E50">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896468" w:rsidRDefault="00B31E50">
            <w:pPr>
              <w:pStyle w:val="P68B1DB1-TableParagraph73"/>
              <w:spacing w:before="108" w:after="120"/>
              <w:jc w:val="both"/>
            </w:pPr>
            <w:r>
              <w:t>Szervezet neve</w:t>
            </w:r>
          </w:p>
          <w:p w14:paraId="7FE1C7D3" w14:textId="6CD1A34F" w:rsidR="00896468" w:rsidRDefault="00B31E50">
            <w:pPr>
              <w:pStyle w:val="P68B1DB1-TableParagraph40"/>
              <w:spacing w:before="108"/>
              <w:ind w:left="85"/>
              <w:jc w:val="both"/>
              <w:rPr>
                <w:b/>
                <w:bCs/>
                <w:i/>
                <w:iCs/>
                <w:color w:val="D13438"/>
                <w:u w:val="single"/>
              </w:rPr>
            </w:pPr>
            <w:r>
              <w:t xml:space="preserve">A pénzforgalmi, letéti őrzési, kiegyenlítési, elszámolási vagy kereskedési adattári szolgáltatásokat igénybe vevő jogi személy neve a Z 01.01 – </w:t>
            </w:r>
            <w:r w:rsidR="00CB320E">
              <w:t xml:space="preserve">Jogi </w:t>
            </w:r>
            <w:r>
              <w:t xml:space="preserve">személyek (ORG 1) táblában megadott adatok szerint. A társasági jogi aktusokban szereplő hivatalos név, beleértve a jogi forma megjelölését is. </w:t>
            </w:r>
          </w:p>
        </w:tc>
      </w:tr>
      <w:tr w:rsidR="00896468"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896468" w:rsidRDefault="00B31E50">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106C0D8" w:rsidR="00896468" w:rsidRDefault="00B31E50">
            <w:pPr>
              <w:pStyle w:val="P68B1DB1-TableParagraph73"/>
              <w:spacing w:before="108"/>
              <w:jc w:val="both"/>
            </w:pPr>
            <w:r>
              <w:t xml:space="preserve">A </w:t>
            </w:r>
            <w:r w:rsidR="00CB320E">
              <w:t xml:space="preserve">szervezet </w:t>
            </w:r>
            <w:r>
              <w:t>kódja</w:t>
            </w:r>
          </w:p>
          <w:p w14:paraId="7FE1C7D7" w14:textId="6EF26383" w:rsidR="00896468" w:rsidRDefault="00B31E50">
            <w:pPr>
              <w:pStyle w:val="P68B1DB1-TableParagraph40"/>
              <w:spacing w:before="108"/>
              <w:jc w:val="both"/>
            </w:pPr>
            <w:r>
              <w:t xml:space="preserve">A pénzforgalmi, letéti őrzési, kiegyenlítési, elszámolási vagy kereskedési adattári szolgáltatásokat igénybe vevő jogi személy 20 jegyű, </w:t>
            </w:r>
            <w:r w:rsidR="008A42B0">
              <w:t>alfanumerikus</w:t>
            </w:r>
            <w:r w:rsidR="008A42B0" w:rsidDel="008A42B0">
              <w:t xml:space="preserve"> </w:t>
            </w:r>
            <w:r>
              <w:t xml:space="preserve">LEI kódja a Z 01.01 – Jogi személyek (ORG 1) sablonban megadott adatok szerint. </w:t>
            </w:r>
          </w:p>
          <w:p w14:paraId="7FE1C7D8" w14:textId="63E09B56" w:rsidR="00896468" w:rsidRDefault="00B31E50">
            <w:pPr>
              <w:pStyle w:val="P68B1DB1-Normal31"/>
            </w:pPr>
            <w:r>
              <w:t xml:space="preserve">Jogalany-azonosító hiányában a </w:t>
            </w:r>
            <w:r w:rsidR="00CB320E">
              <w:t xml:space="preserve">szervezet </w:t>
            </w:r>
            <w:r>
              <w:t xml:space="preserve">RIAD-ban való használatához az EKB monetáris pénzügyi intézményeinek egyedi azonosítóját (MPI-azonosító) kell használni. </w:t>
            </w:r>
          </w:p>
        </w:tc>
      </w:tr>
      <w:tr w:rsidR="00896468"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896468" w:rsidRDefault="00B31E50">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896468" w:rsidRDefault="00B31E50">
            <w:pPr>
              <w:pStyle w:val="P68B1DB1-TableParagraph75"/>
              <w:spacing w:before="108"/>
              <w:ind w:left="85"/>
              <w:jc w:val="both"/>
            </w:pPr>
            <w:r>
              <w:t>Szolgáltató</w:t>
            </w:r>
          </w:p>
        </w:tc>
      </w:tr>
      <w:tr w:rsidR="00896468"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896468" w:rsidRDefault="00B31E50">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896468" w:rsidRDefault="00B31E50">
            <w:pPr>
              <w:pStyle w:val="P68B1DB1-TableParagraph75"/>
              <w:spacing w:before="108"/>
              <w:ind w:left="85"/>
              <w:jc w:val="both"/>
            </w:pPr>
            <w:r>
              <w:t>FMI</w:t>
            </w:r>
          </w:p>
        </w:tc>
      </w:tr>
      <w:tr w:rsidR="00896468"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896468" w:rsidRDefault="00B31E50">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896468" w:rsidRDefault="00B31E50">
            <w:pPr>
              <w:pStyle w:val="P68B1DB1-TableParagraph73"/>
              <w:spacing w:before="108"/>
              <w:ind w:left="85"/>
              <w:jc w:val="both"/>
            </w:pPr>
            <w:r>
              <w:t>Rendszer típusa</w:t>
            </w:r>
          </w:p>
          <w:p w14:paraId="7FE1C7E2" w14:textId="77777777" w:rsidR="00896468" w:rsidRDefault="00B31E50">
            <w:pPr>
              <w:pStyle w:val="P68B1DB1-TableParagraph40"/>
              <w:spacing w:before="108"/>
              <w:ind w:left="85"/>
              <w:jc w:val="both"/>
            </w:pPr>
            <w:r>
              <w:t>A felhasználó számára szolgáltatásokat nyújtó rendszer típusa. Válasszon a következő típusok közül:</w:t>
            </w:r>
          </w:p>
          <w:p w14:paraId="7FE1C7E3" w14:textId="64030D90" w:rsidR="00896468" w:rsidRDefault="00B31E50">
            <w:pPr>
              <w:pStyle w:val="P68B1DB1-TableParagraph40"/>
              <w:spacing w:before="108"/>
              <w:ind w:left="85"/>
              <w:jc w:val="both"/>
            </w:pPr>
            <w:r>
              <w:t xml:space="preserve">Fizetési rendszerek </w:t>
            </w:r>
          </w:p>
          <w:p w14:paraId="7FE1C7E4" w14:textId="12A8E05A" w:rsidR="00896468" w:rsidRDefault="00B31E50">
            <w:pPr>
              <w:pStyle w:val="P68B1DB1-TableParagraph40"/>
              <w:spacing w:before="108"/>
              <w:ind w:left="85"/>
              <w:jc w:val="both"/>
            </w:pPr>
            <w:r>
              <w:t>„</w:t>
            </w:r>
            <w:r w:rsidR="00CB320E">
              <w:t>Központi értéktárak</w:t>
            </w:r>
            <w:r>
              <w:t xml:space="preserve"> és </w:t>
            </w:r>
            <w:r w:rsidR="00CB320E">
              <w:t>Nemzetközi Központi Értéktárak</w:t>
            </w:r>
            <w:r>
              <w:t>”</w:t>
            </w:r>
          </w:p>
          <w:p w14:paraId="7FE1C7E5" w14:textId="73B3A42D" w:rsidR="00896468" w:rsidRDefault="00B31E50">
            <w:pPr>
              <w:pStyle w:val="P68B1DB1-TableParagraph40"/>
              <w:spacing w:before="108"/>
              <w:ind w:left="85"/>
              <w:jc w:val="both"/>
            </w:pPr>
            <w:r>
              <w:t>„</w:t>
            </w:r>
            <w:r w:rsidR="007239AC">
              <w:t>Értékpapír-elszámolási</w:t>
            </w:r>
            <w:r>
              <w:t xml:space="preserve"> rendszer”:</w:t>
            </w:r>
          </w:p>
          <w:p w14:paraId="7FE1C7E6" w14:textId="61451372" w:rsidR="00896468" w:rsidRDefault="00B31E5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 értékpapír-elszámolás központi szerződő felei”</w:t>
            </w:r>
            <w:r>
              <w:rPr>
                <w:rStyle w:val="FootnoteReference"/>
                <w:rFonts w:ascii="Times New Roman" w:eastAsia="Times New Roman" w:hAnsi="Times New Roman" w:cs="Times New Roman"/>
              </w:rPr>
              <w:footnoteReference w:id="28"/>
            </w:r>
          </w:p>
          <w:p w14:paraId="7FE1C7E7" w14:textId="75E09D2C" w:rsidR="00896468" w:rsidRDefault="00B31E50">
            <w:pPr>
              <w:pStyle w:val="P68B1DB1-TableParagraph40"/>
              <w:spacing w:before="108"/>
              <w:ind w:left="85"/>
              <w:jc w:val="both"/>
            </w:pPr>
            <w:r>
              <w:t>„A származtatott ügyletek elszámolásának központi szerződő felei”</w:t>
            </w:r>
          </w:p>
          <w:p w14:paraId="7FE1C7E8" w14:textId="44FAA23C" w:rsidR="00896468" w:rsidRDefault="00B31E50">
            <w:pPr>
              <w:pStyle w:val="P68B1DB1-TableParagraph40"/>
              <w:spacing w:before="108"/>
              <w:ind w:left="85"/>
              <w:jc w:val="both"/>
            </w:pPr>
            <w:r>
              <w:t>„Nyilvántartásba vett kereskedési adattárak.”</w:t>
            </w:r>
          </w:p>
          <w:p w14:paraId="7FE1C7E9" w14:textId="424A35E7" w:rsidR="00896468" w:rsidRDefault="00B31E5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„Multilaterális kereskedési rendszerek”</w:t>
            </w:r>
            <w:r>
              <w:rPr>
                <w:rStyle w:val="FootnoteReference"/>
                <w:rFonts w:ascii="Times New Roman" w:eastAsia="Times New Roman" w:hAnsi="Times New Roman" w:cs="Times New Roman"/>
                <w:sz w:val="20"/>
                <w:szCs w:val="20"/>
              </w:rPr>
              <w:footnoteReference w:id="29"/>
            </w:r>
          </w:p>
          <w:p w14:paraId="7FE1C7EB" w14:textId="51093740" w:rsidR="00896468" w:rsidRDefault="00B31E50">
            <w:pPr>
              <w:pStyle w:val="P68B1DB1-TableParagraph40"/>
              <w:spacing w:before="108"/>
              <w:ind w:left="85"/>
              <w:jc w:val="both"/>
            </w:pPr>
            <w:r>
              <w:t>„Kis értékű fizetésekhez használt kártyarendszerek”</w:t>
            </w:r>
          </w:p>
          <w:p w14:paraId="7FE1C7EC" w14:textId="69997621" w:rsidR="00896468" w:rsidRDefault="00B31E50">
            <w:pPr>
              <w:pStyle w:val="P68B1DB1-TableParagraph40"/>
              <w:spacing w:before="108"/>
              <w:ind w:left="85"/>
              <w:jc w:val="both"/>
            </w:pPr>
            <w:r>
              <w:t>„Nem alkalmazandó” – A fenti kategóriák egyikébe sem tartozó szervezet által nyújtott egyéb fizetési, klíring-, kiegyenlítési vagy letéti szolgáltatások esetében, pl. levelező bankok és/vagy letétkezelő bankok, amelyek esetében az intézmény nem tudja azonosítani a végső FMI-ket. A 0110. oszlopban a nyújtott szolgáltatást kell feltüntetni.</w:t>
            </w:r>
          </w:p>
        </w:tc>
      </w:tr>
      <w:tr w:rsidR="00896468"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896468" w:rsidRDefault="00B31E50">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896468" w:rsidRDefault="00B31E50">
            <w:pPr>
              <w:pStyle w:val="P68B1DB1-TableParagraph73"/>
              <w:spacing w:before="108"/>
              <w:ind w:left="85"/>
              <w:jc w:val="both"/>
            </w:pPr>
            <w:r>
              <w:t>FMI neve</w:t>
            </w:r>
          </w:p>
          <w:p w14:paraId="7FE1C7F0" w14:textId="77777777" w:rsidR="00896468" w:rsidRDefault="00B31E50">
            <w:pPr>
              <w:pStyle w:val="P68B1DB1-TableParagraph40"/>
              <w:spacing w:before="108"/>
              <w:ind w:left="85"/>
              <w:jc w:val="both"/>
            </w:pPr>
            <w:r>
              <w:t xml:space="preserve">A pénzügyi piaci infrastruktúra kereskedelmi megnevezése. </w:t>
            </w:r>
          </w:p>
          <w:p w14:paraId="7FE1C7F1" w14:textId="6A71A5BE" w:rsidR="00896468" w:rsidRDefault="00B31E50">
            <w:pPr>
              <w:pStyle w:val="P68B1DB1-TableParagraph40"/>
              <w:numPr>
                <w:ilvl w:val="0"/>
                <w:numId w:val="246"/>
              </w:numPr>
              <w:spacing w:before="108"/>
              <w:jc w:val="both"/>
            </w:pPr>
            <w:r>
              <w:t>Ha a 0050. oszlopban szerepel, az ezen útmutató I. mellékletében felsorolt, előre meghatározott FMI-név;</w:t>
            </w:r>
          </w:p>
          <w:p w14:paraId="7FE1C7F2" w14:textId="77777777" w:rsidR="00896468" w:rsidRDefault="00B31E50">
            <w:pPr>
              <w:pStyle w:val="P68B1DB1-TableParagraph40"/>
              <w:numPr>
                <w:ilvl w:val="0"/>
                <w:numId w:val="246"/>
              </w:numPr>
              <w:spacing w:before="108" w:after="120"/>
              <w:ind w:left="442" w:hanging="357"/>
              <w:jc w:val="both"/>
            </w:pPr>
            <w:r>
              <w:t xml:space="preserve">Ha a 0050. oszlopban nem szerepel, a szabad szöveges oszlopban szereplő név. </w:t>
            </w:r>
          </w:p>
          <w:p w14:paraId="7FE1C7F3" w14:textId="77777777" w:rsidR="00896468" w:rsidRDefault="00B31E50">
            <w:pPr>
              <w:pStyle w:val="P68B1DB1-Normal31"/>
            </w:pPr>
            <w:r>
              <w:lastRenderedPageBreak/>
              <w:t xml:space="preserve">Ha a 0040. oszlopban „N/A” szerepel, ezt az oszlopot üresen kell hagyni. </w:t>
            </w:r>
          </w:p>
        </w:tc>
      </w:tr>
      <w:tr w:rsidR="00896468"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896468" w:rsidRDefault="00B31E50">
            <w:pPr>
              <w:pStyle w:val="P68B1DB1-Normal31"/>
            </w:pPr>
            <w:r>
              <w:lastRenderedPageBreak/>
              <w:t>0070</w:t>
            </w:r>
          </w:p>
        </w:tc>
        <w:tc>
          <w:tcPr>
            <w:tcW w:w="7832" w:type="dxa"/>
            <w:tcBorders>
              <w:top w:val="single" w:sz="8" w:space="0" w:color="auto"/>
              <w:left w:val="single" w:sz="8" w:space="0" w:color="auto"/>
              <w:bottom w:val="single" w:sz="8" w:space="0" w:color="auto"/>
            </w:tcBorders>
            <w:vAlign w:val="bottom"/>
          </w:tcPr>
          <w:p w14:paraId="7FE1C7F6" w14:textId="77777777" w:rsidR="00896468" w:rsidRDefault="00B31E50">
            <w:pPr>
              <w:pStyle w:val="P68B1DB1-TableParagraph73"/>
              <w:spacing w:before="108"/>
              <w:ind w:left="85"/>
              <w:jc w:val="both"/>
            </w:pPr>
            <w:r>
              <w:t>FMI kód</w:t>
            </w:r>
          </w:p>
          <w:p w14:paraId="7FE1C7F7" w14:textId="77777777" w:rsidR="00896468" w:rsidRDefault="00B31E50">
            <w:pPr>
              <w:pStyle w:val="P68B1DB1-TableParagraph40"/>
              <w:spacing w:before="108"/>
              <w:ind w:left="85"/>
              <w:jc w:val="both"/>
            </w:pPr>
            <w:r>
              <w:t xml:space="preserve">Az FMI 20 jegyű alfanumerikus LEI-kódja. </w:t>
            </w:r>
          </w:p>
          <w:p w14:paraId="7FE1C7F8" w14:textId="77777777" w:rsidR="00896468" w:rsidRDefault="00B31E50">
            <w:pPr>
              <w:pStyle w:val="P68B1DB1-TableParagraph40"/>
              <w:spacing w:before="108"/>
              <w:ind w:left="85"/>
              <w:jc w:val="both"/>
            </w:pPr>
            <w:r>
              <w:t xml:space="preserve">Ha az FMI nem rendelkezik jogalany-azonosítóval, használja az üzemeltető LEI-kódját. </w:t>
            </w:r>
          </w:p>
          <w:p w14:paraId="7FE1C7F9" w14:textId="77777777" w:rsidR="00896468" w:rsidRDefault="00B31E50">
            <w:pPr>
              <w:pStyle w:val="P68B1DB1-TableParagraph40"/>
              <w:spacing w:before="108"/>
              <w:ind w:left="85"/>
              <w:jc w:val="both"/>
            </w:pPr>
            <w:r>
              <w:t>Ha a 0040. oszlopban „Nem alkalmazandó (FMI-rendszer típusa)” szerepel, vagy ha az FMI nem rendelkezik kóddal, ebben az oszlopban „NA” szerepel.</w:t>
            </w:r>
          </w:p>
          <w:p w14:paraId="7FE1C7FA" w14:textId="77777777" w:rsidR="00896468" w:rsidRDefault="00896468">
            <w:pPr>
              <w:rPr>
                <w:rFonts w:ascii="Times New Roman" w:eastAsia="Times New Roman" w:hAnsi="Times New Roman" w:cs="Times New Roman"/>
                <w:color w:val="D13438"/>
                <w:sz w:val="20"/>
                <w:szCs w:val="20"/>
                <w:u w:val="single"/>
              </w:rPr>
            </w:pPr>
          </w:p>
        </w:tc>
      </w:tr>
      <w:tr w:rsidR="00896468"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896468" w:rsidRDefault="00B31E50">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896468" w:rsidRDefault="00B31E50">
            <w:pPr>
              <w:pStyle w:val="P68B1DB1-Normal76"/>
              <w:spacing w:after="120"/>
            </w:pPr>
            <w:r>
              <w:t>Az FMI üzemeltetője</w:t>
            </w:r>
          </w:p>
          <w:p w14:paraId="7FE1C7FE" w14:textId="77777777" w:rsidR="00896468" w:rsidRDefault="00B31E50">
            <w:pPr>
              <w:pStyle w:val="P68B1DB1-Normal31"/>
              <w:rPr>
                <w:b/>
              </w:rPr>
            </w:pPr>
            <w:r>
              <w:t xml:space="preserve">Az FMI üzemeltetőjének neve. </w:t>
            </w:r>
          </w:p>
          <w:p w14:paraId="7FE1C7FF" w14:textId="77777777" w:rsidR="00896468" w:rsidRDefault="00896468">
            <w:pPr>
              <w:rPr>
                <w:rFonts w:ascii="Times New Roman" w:hAnsi="Times New Roman" w:cs="Times New Roman"/>
                <w:color w:val="D13438"/>
                <w:sz w:val="20"/>
                <w:szCs w:val="20"/>
                <w:highlight w:val="yellow"/>
                <w:u w:val="single"/>
              </w:rPr>
            </w:pPr>
          </w:p>
        </w:tc>
      </w:tr>
      <w:tr w:rsidR="00896468"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896468" w:rsidRDefault="00B31E50">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896468" w:rsidRDefault="00B31E50">
            <w:pPr>
              <w:pStyle w:val="P68B1DB1-Normal76"/>
            </w:pPr>
            <w:r>
              <w:t>Részvétel módja</w:t>
            </w:r>
          </w:p>
          <w:p w14:paraId="7FE1C803" w14:textId="77777777" w:rsidR="00896468" w:rsidRDefault="00B31E5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következő értékek egyikét kell megadni</w:t>
            </w:r>
            <w:r>
              <w:rPr>
                <w:rStyle w:val="FootnoteReference"/>
                <w:rFonts w:ascii="Times New Roman" w:eastAsia="Times New Roman" w:hAnsi="Times New Roman" w:cs="Times New Roman"/>
              </w:rPr>
              <w:footnoteReference w:id="30"/>
            </w:r>
            <w:r>
              <w:rPr>
                <w:rFonts w:ascii="Times New Roman" w:eastAsia="Times New Roman" w:hAnsi="Times New Roman" w:cs="Times New Roman"/>
                <w:sz w:val="20"/>
                <w:szCs w:val="20"/>
              </w:rPr>
              <w:t>:</w:t>
            </w:r>
          </w:p>
          <w:p w14:paraId="7FE1C804" w14:textId="77777777" w:rsidR="00896468" w:rsidRDefault="00B31E50">
            <w:pPr>
              <w:pStyle w:val="P68B1DB1-TableParagraph40"/>
              <w:numPr>
                <w:ilvl w:val="0"/>
                <w:numId w:val="181"/>
              </w:numPr>
              <w:spacing w:before="108"/>
              <w:jc w:val="both"/>
            </w:pPr>
            <w:r>
              <w:t xml:space="preserve">„Közvetlen” az FMI-ben való közvetlen részvétel/tagság esetén. </w:t>
            </w:r>
          </w:p>
          <w:p w14:paraId="7FE1C805" w14:textId="77777777" w:rsidR="00896468" w:rsidRDefault="00B31E50">
            <w:pPr>
              <w:pStyle w:val="P68B1DB1-TableParagraph40"/>
              <w:numPr>
                <w:ilvl w:val="0"/>
                <w:numId w:val="181"/>
              </w:numPr>
              <w:spacing w:before="108"/>
              <w:jc w:val="both"/>
            </w:pPr>
            <w:r>
              <w:t xml:space="preserve">„Közvetett” az FMI-ben való közvetett részvétel/tagság esetén. </w:t>
            </w:r>
          </w:p>
          <w:p w14:paraId="7FE1C806" w14:textId="77777777" w:rsidR="00896468" w:rsidRDefault="00B31E50">
            <w:pPr>
              <w:pStyle w:val="P68B1DB1-TableParagraph40"/>
              <w:numPr>
                <w:ilvl w:val="0"/>
                <w:numId w:val="181"/>
              </w:numPr>
              <w:spacing w:before="108"/>
              <w:jc w:val="both"/>
              <w:rPr>
                <w:b/>
              </w:rPr>
            </w:pPr>
            <w:r>
              <w:t>„Nem alkalmazandó (az FMI-ben való részvételi mód)”, ha a 0040-es oszlopban „Nem alkalmazandó (FMI-rendszertípus)” szerepel.</w:t>
            </w:r>
          </w:p>
          <w:p w14:paraId="7FE1C807" w14:textId="77777777" w:rsidR="00896468" w:rsidRDefault="00896468">
            <w:pPr>
              <w:pStyle w:val="TableParagraph"/>
              <w:spacing w:before="108"/>
              <w:ind w:left="85"/>
              <w:jc w:val="both"/>
              <w:rPr>
                <w:rFonts w:ascii="Times New Roman" w:eastAsia="Times New Roman" w:hAnsi="Times New Roman" w:cs="Times New Roman"/>
                <w:b/>
                <w:sz w:val="20"/>
                <w:szCs w:val="20"/>
              </w:rPr>
            </w:pPr>
          </w:p>
        </w:tc>
      </w:tr>
      <w:tr w:rsidR="00896468"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896468" w:rsidRDefault="00B31E50">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896468" w:rsidRDefault="00B31E50">
            <w:pPr>
              <w:pStyle w:val="P68B1DB1-TableParagraph75"/>
              <w:spacing w:before="108"/>
              <w:ind w:left="85"/>
              <w:jc w:val="both"/>
            </w:pPr>
            <w:r>
              <w:t>Közvetítő</w:t>
            </w:r>
          </w:p>
        </w:tc>
      </w:tr>
      <w:tr w:rsidR="00896468"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896468" w:rsidRDefault="00B31E50">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896468" w:rsidRDefault="00B31E50">
            <w:pPr>
              <w:pStyle w:val="P68B1DB1-Normal76"/>
            </w:pPr>
            <w:r>
              <w:t>Közvetítő neve</w:t>
            </w:r>
          </w:p>
          <w:p w14:paraId="7FE1C80E" w14:textId="362FF278" w:rsidR="00896468" w:rsidRDefault="00B31E50">
            <w:pPr>
              <w:pStyle w:val="P68B1DB1-TableParagraph40"/>
              <w:spacing w:before="108"/>
              <w:ind w:left="85"/>
              <w:jc w:val="both"/>
            </w:pPr>
            <w:r>
              <w:t xml:space="preserve">Annak a közvetítőnek a kereskedelmi neve, amellyel a felhasználó szerződéses kapcsolatban áll, és amely </w:t>
            </w:r>
            <w:r w:rsidR="003726AF">
              <w:t xml:space="preserve">hozzáférést biztosít </w:t>
            </w:r>
            <w:r>
              <w:t>az FMI-hez. Akkor kell jelenteni, ha a 0100. oszlopban („Részvétel mód</w:t>
            </w:r>
            <w:r w:rsidR="003726AF">
              <w:t>ja</w:t>
            </w:r>
            <w:r>
              <w:t xml:space="preserve">”) a „közvetett” vagy „Nem alkalmazandó (az FMI-ben való részvételi mód)” szerepel. </w:t>
            </w:r>
          </w:p>
          <w:p w14:paraId="7FE1C80F" w14:textId="39A11D27" w:rsidR="00896468" w:rsidRDefault="00B31E50">
            <w:pPr>
              <w:pStyle w:val="P68B1DB1-TableParagraph40"/>
              <w:spacing w:before="108"/>
              <w:ind w:left="85"/>
              <w:jc w:val="both"/>
            </w:pPr>
            <w:r>
              <w:t>Amennyiben a közvetítő közvetett hozzáférést kínál több FMI-hez, minden olyan FMI</w:t>
            </w:r>
            <w:r w:rsidR="003726AF">
              <w:t xml:space="preserve"> kapcsán szükséges egy külön sort</w:t>
            </w:r>
            <w:r>
              <w:t xml:space="preserve"> kitölteni, amelyhez a közvetítő közvetett hozzáférést kínál.</w:t>
            </w:r>
          </w:p>
          <w:p w14:paraId="7FE1C810" w14:textId="74E83263" w:rsidR="00896468" w:rsidRDefault="00B31E50">
            <w:pPr>
              <w:pStyle w:val="P68B1DB1-TableParagraph40"/>
              <w:spacing w:before="108"/>
              <w:ind w:left="85"/>
              <w:jc w:val="both"/>
              <w:rPr>
                <w:b/>
              </w:rPr>
            </w:pPr>
            <w:r>
              <w:t>Ha a 0090. oszlopban „</w:t>
            </w:r>
            <w:r w:rsidR="00B1347D">
              <w:t>Közvetlen</w:t>
            </w:r>
            <w:r>
              <w:t>” szerepel, ezt az oszlopot üresen kell hagyni.</w:t>
            </w:r>
          </w:p>
        </w:tc>
      </w:tr>
      <w:tr w:rsidR="00896468"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896468" w:rsidRDefault="00B31E50">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896468" w:rsidRDefault="00B31E50">
            <w:pPr>
              <w:pStyle w:val="P68B1DB1-Normal76"/>
            </w:pPr>
            <w:r>
              <w:t>Közvetítő kódja</w:t>
            </w:r>
          </w:p>
          <w:p w14:paraId="7FE1C814" w14:textId="77777777" w:rsidR="00896468" w:rsidRDefault="00B31E50">
            <w:pPr>
              <w:pStyle w:val="P68B1DB1-TableParagraph40"/>
              <w:spacing w:before="108"/>
              <w:ind w:left="85"/>
              <w:jc w:val="both"/>
            </w:pPr>
            <w:r>
              <w:t xml:space="preserve">A közvetítő 20 jegyű alfanumerikus LEI-kódja. </w:t>
            </w:r>
          </w:p>
          <w:p w14:paraId="7FE1C815" w14:textId="77777777" w:rsidR="00896468" w:rsidRDefault="00B31E50">
            <w:pPr>
              <w:pStyle w:val="P68B1DB1-TableParagraph13"/>
              <w:spacing w:before="108"/>
              <w:ind w:left="85"/>
              <w:jc w:val="both"/>
              <w:rPr>
                <w:rFonts w:eastAsia="Cambria"/>
              </w:rPr>
            </w:pPr>
            <w:r>
              <w:t>A kódtípusnak lehetőleg a LEI-kódnak kell lennie.</w:t>
            </w:r>
          </w:p>
          <w:p w14:paraId="7FE1C817" w14:textId="3E684FD2" w:rsidR="00896468" w:rsidRDefault="009123EF">
            <w:pPr>
              <w:pStyle w:val="P68B1DB1-TableParagraph41"/>
              <w:spacing w:before="108"/>
              <w:ind w:left="85"/>
              <w:jc w:val="both"/>
              <w:rPr>
                <w:rFonts w:ascii="Times New Roman" w:eastAsia="Times New Roman" w:hAnsi="Times New Roman" w:cs="Times New Roman"/>
              </w:rPr>
            </w:pPr>
            <w:r>
              <w:t xml:space="preserve"> Amennyiben a LEI-kód nem áll rendelkezésre, jelentse az MPI azonosítót, vagy ha ez sem áll rendelkezésre, akkor a nemzeti kódot.</w:t>
            </w:r>
            <w:r w:rsidR="00B1347D">
              <w:t xml:space="preserve"> </w:t>
            </w:r>
            <w:r w:rsidR="00B31E50">
              <w:rPr>
                <w:rFonts w:ascii="Times New Roman" w:hAnsi="Times New Roman" w:cs="Times New Roman"/>
                <w:color w:val="000000" w:themeColor="text1"/>
              </w:rPr>
              <w:t xml:space="preserve">A </w:t>
            </w:r>
            <w:r w:rsidR="00B1347D">
              <w:rPr>
                <w:rFonts w:ascii="Times New Roman" w:hAnsi="Times New Roman" w:cs="Times New Roman"/>
                <w:color w:val="000000" w:themeColor="text1"/>
              </w:rPr>
              <w:t>szervezet</w:t>
            </w:r>
            <w:r w:rsidR="00B31E50">
              <w:rPr>
                <w:rFonts w:ascii="Times New Roman" w:hAnsi="Times New Roman" w:cs="Times New Roman"/>
                <w:color w:val="000000" w:themeColor="text1"/>
              </w:rPr>
              <w:t>ek azonosítását adott esetben a Z 09.01–Z 09.05 táblában következetesen kell elvégezni.</w:t>
            </w:r>
            <w:r w:rsidR="00B31E50">
              <w:rPr>
                <w:rFonts w:ascii="Times New Roman" w:eastAsia="Times New Roman" w:hAnsi="Times New Roman" w:cs="Times New Roman"/>
              </w:rPr>
              <w:t xml:space="preserve"> </w:t>
            </w:r>
          </w:p>
          <w:p w14:paraId="7FE1C818" w14:textId="42CAF10C" w:rsidR="00896468" w:rsidRDefault="00B31E50">
            <w:pPr>
              <w:pStyle w:val="P68B1DB1-TableParagraph40"/>
              <w:spacing w:before="108"/>
              <w:ind w:left="85"/>
              <w:jc w:val="both"/>
              <w:rPr>
                <w:b/>
              </w:rPr>
            </w:pPr>
            <w:r>
              <w:t>Ha a 0090. oszlopban „</w:t>
            </w:r>
            <w:r w:rsidR="00B1347D">
              <w:t>Közvetlen</w:t>
            </w:r>
            <w:r>
              <w:t>” szerepel, ezt az oszlopot üresen kell hagyni.</w:t>
            </w:r>
          </w:p>
        </w:tc>
      </w:tr>
      <w:tr w:rsidR="00896468"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896468" w:rsidRDefault="00B31E50">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896468" w:rsidRDefault="00B31E50">
            <w:pPr>
              <w:pStyle w:val="P68B1DB1-Normal77"/>
              <w:rPr>
                <w:color w:val="D13438"/>
                <w:u w:val="single"/>
              </w:rPr>
            </w:pPr>
            <w:r>
              <w:t>Szerződések és szolgáltatások</w:t>
            </w:r>
          </w:p>
        </w:tc>
      </w:tr>
      <w:tr w:rsidR="00896468"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896468" w:rsidRDefault="00B31E50">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896468" w:rsidRDefault="00B31E50">
            <w:pPr>
              <w:pStyle w:val="P68B1DB1-TableParagraph73"/>
              <w:spacing w:before="108"/>
              <w:ind w:left="85"/>
              <w:jc w:val="both"/>
            </w:pPr>
            <w:r>
              <w:t>Szerződésazonosító</w:t>
            </w:r>
          </w:p>
          <w:p w14:paraId="7FE1C81F" w14:textId="77777777" w:rsidR="00896468" w:rsidRDefault="00B31E50">
            <w:pPr>
              <w:pStyle w:val="P68B1DB1-TableParagraph40"/>
              <w:spacing w:before="108"/>
              <w:jc w:val="both"/>
              <w:rPr>
                <w:b/>
              </w:rPr>
            </w:pPr>
            <w:r>
              <w:t>A szerződés felhasználójának belső azonosítója, amely a szolgáltatást nyújtó FMI-vel/közvetítővel való kapcsolatot szabályozza.</w:t>
            </w:r>
          </w:p>
        </w:tc>
      </w:tr>
      <w:tr w:rsidR="00896468"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896468" w:rsidRDefault="00B31E50">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896468" w:rsidRDefault="00B31E50">
            <w:pPr>
              <w:pStyle w:val="P68B1DB1-TableParagraph73"/>
              <w:spacing w:before="108"/>
              <w:ind w:left="85"/>
              <w:jc w:val="both"/>
              <w:rPr>
                <w:bCs/>
              </w:rPr>
            </w:pPr>
            <w:r>
              <w:t>Irányadó jog</w:t>
            </w:r>
          </w:p>
          <w:p w14:paraId="7FE1C823" w14:textId="77777777" w:rsidR="00896468" w:rsidRDefault="00B31E50">
            <w:pPr>
              <w:pStyle w:val="P68B1DB1-TableParagraph40"/>
              <w:spacing w:before="108"/>
              <w:ind w:left="85"/>
              <w:jc w:val="both"/>
            </w:pPr>
            <w:r>
              <w:t xml:space="preserve">Annak az országnak az ISO 3166–1 alpha-2 azonosítója, amelynek joga irányadó a szerződéses </w:t>
            </w:r>
            <w:r>
              <w:lastRenderedPageBreak/>
              <w:t xml:space="preserve">viszonyra a pénzügyi piaci infrastruktúrával. </w:t>
            </w:r>
          </w:p>
          <w:p w14:paraId="7FE1C824" w14:textId="77777777" w:rsidR="00896468" w:rsidRDefault="00B31E50">
            <w:pPr>
              <w:pStyle w:val="P68B1DB1-TableParagraph40"/>
              <w:numPr>
                <w:ilvl w:val="0"/>
                <w:numId w:val="247"/>
              </w:numPr>
              <w:spacing w:before="108"/>
              <w:jc w:val="both"/>
              <w:rPr>
                <w:b/>
                <w:bCs/>
              </w:rPr>
            </w:pPr>
            <w:r>
              <w:t>Közvetlen hozzáférések esetében az FMI és a felhasználó közötti szerződésre irányadó jog</w:t>
            </w:r>
          </w:p>
          <w:p w14:paraId="7FE1C825" w14:textId="77777777" w:rsidR="00896468" w:rsidRDefault="00B31E50">
            <w:pPr>
              <w:pStyle w:val="P68B1DB1-TableParagraph40"/>
              <w:numPr>
                <w:ilvl w:val="0"/>
                <w:numId w:val="247"/>
              </w:numPr>
              <w:spacing w:before="108"/>
              <w:jc w:val="both"/>
            </w:pPr>
            <w:r>
              <w:t>Közvetett hozzáférések esetében a közvetítő és a felhasználó közötti szerződésre irányadó jog.</w:t>
            </w:r>
          </w:p>
        </w:tc>
      </w:tr>
      <w:tr w:rsidR="00896468"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896468" w:rsidRDefault="00B31E50">
            <w:pPr>
              <w:pStyle w:val="P68B1DB1-Normal31"/>
            </w:pPr>
            <w:r>
              <w:lastRenderedPageBreak/>
              <w:t>0140</w:t>
            </w:r>
          </w:p>
        </w:tc>
        <w:tc>
          <w:tcPr>
            <w:tcW w:w="7832" w:type="dxa"/>
            <w:tcBorders>
              <w:top w:val="single" w:sz="8" w:space="0" w:color="auto"/>
              <w:left w:val="single" w:sz="8" w:space="0" w:color="auto"/>
              <w:bottom w:val="single" w:sz="8" w:space="0" w:color="auto"/>
            </w:tcBorders>
            <w:vAlign w:val="bottom"/>
          </w:tcPr>
          <w:p w14:paraId="7FE1C828" w14:textId="7E8E3751" w:rsidR="00896468" w:rsidRDefault="00B31E50">
            <w:pPr>
              <w:pStyle w:val="P68B1DB1-TableParagraph73"/>
              <w:spacing w:before="108"/>
              <w:ind w:left="85"/>
              <w:jc w:val="both"/>
              <w:rPr>
                <w:bCs/>
              </w:rPr>
            </w:pPr>
            <w:r>
              <w:t>Szanálás</w:t>
            </w:r>
            <w:r w:rsidR="00B1347D">
              <w:t>biztos</w:t>
            </w:r>
            <w:r>
              <w:t xml:space="preserve"> szerződés </w:t>
            </w:r>
          </w:p>
          <w:p w14:paraId="7FE1C829" w14:textId="77777777" w:rsidR="00896468" w:rsidRDefault="00B31E50">
            <w:pPr>
              <w:pStyle w:val="P68B1DB1-TableParagraph40"/>
              <w:spacing w:before="108"/>
              <w:ind w:left="85"/>
              <w:jc w:val="both"/>
            </w:pPr>
            <w:r>
              <w:t>A következő értékek egyikét kell megadni:</w:t>
            </w:r>
          </w:p>
          <w:p w14:paraId="7FE1C82A" w14:textId="127526FB" w:rsidR="00896468" w:rsidRDefault="00B31E5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„Igen” – ha a</w:t>
            </w:r>
            <w:r w:rsidR="00B1347D">
              <w:rPr>
                <w:rFonts w:ascii="Times New Roman" w:eastAsia="Times New Roman" w:hAnsi="Times New Roman" w:cs="Times New Roman"/>
                <w:sz w:val="20"/>
                <w:szCs w:val="20"/>
              </w:rPr>
              <w:t xml:space="preserve">z adatszolgáltató szervezet </w:t>
            </w:r>
            <w:r>
              <w:rPr>
                <w:rFonts w:ascii="Times New Roman" w:eastAsia="Times New Roman" w:hAnsi="Times New Roman" w:cs="Times New Roman"/>
                <w:sz w:val="20"/>
                <w:szCs w:val="20"/>
              </w:rPr>
              <w:t>a szerződést szanálás</w:t>
            </w:r>
            <w:r w:rsidR="00B1347D">
              <w:rPr>
                <w:rFonts w:ascii="Times New Roman" w:eastAsia="Times New Roman" w:hAnsi="Times New Roman" w:cs="Times New Roman"/>
                <w:sz w:val="20"/>
                <w:szCs w:val="20"/>
              </w:rPr>
              <w:t>biztos</w:t>
            </w:r>
            <w:r>
              <w:rPr>
                <w:rFonts w:ascii="Times New Roman" w:eastAsia="Times New Roman" w:hAnsi="Times New Roman" w:cs="Times New Roman"/>
                <w:sz w:val="20"/>
                <w:szCs w:val="20"/>
              </w:rPr>
              <w:t>nak értékelte</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2B" w14:textId="33652E9F" w:rsidR="00896468" w:rsidRDefault="00B31E50">
            <w:pPr>
              <w:pStyle w:val="P68B1DB1-TableParagraph40"/>
              <w:spacing w:before="108"/>
              <w:ind w:left="85"/>
              <w:jc w:val="both"/>
            </w:pPr>
            <w:r>
              <w:t>„Nem” – ha az adatszolgáltató szervezet a szerződést nem értékelte</w:t>
            </w:r>
            <w:r w:rsidR="00B1347D">
              <w:t xml:space="preserve"> szanálásbiztosnak</w:t>
            </w:r>
            <w:r>
              <w:t>.</w:t>
            </w:r>
          </w:p>
          <w:p w14:paraId="7FE1C82C" w14:textId="77777777" w:rsidR="00896468" w:rsidRDefault="00B31E50">
            <w:pPr>
              <w:pStyle w:val="P68B1DB1-TableParagraph40"/>
              <w:spacing w:before="108"/>
              <w:ind w:left="85"/>
              <w:jc w:val="both"/>
            </w:pPr>
            <w:r>
              <w:t>„Nem értékelt” – ha az információ nem áll rendelkezésre.</w:t>
            </w:r>
          </w:p>
          <w:p w14:paraId="7FE1C82D" w14:textId="46E49817" w:rsidR="00896468" w:rsidRDefault="00B31E50">
            <w:pPr>
              <w:pStyle w:val="P68B1DB1-TableParagraph40"/>
              <w:spacing w:before="108"/>
              <w:ind w:left="85"/>
              <w:jc w:val="both"/>
              <w:rPr>
                <w:b/>
                <w:bCs/>
                <w:i/>
                <w:iCs/>
                <w:u w:val="single"/>
              </w:rPr>
            </w:pPr>
            <w:r>
              <w:t xml:space="preserve">Csak közvetítőknek kell </w:t>
            </w:r>
            <w:r w:rsidR="00B1347D">
              <w:t>kitölteni</w:t>
            </w:r>
            <w:r>
              <w:t>. „</w:t>
            </w:r>
            <w:r w:rsidR="00B1347D">
              <w:t>I</w:t>
            </w:r>
            <w:r>
              <w:t xml:space="preserve">”-t kell megadni az EGT-jog hatálya alá tartozó valamennyi szerződés esetében.  </w:t>
            </w:r>
          </w:p>
        </w:tc>
      </w:tr>
      <w:tr w:rsidR="00896468"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896468" w:rsidRDefault="00B31E50">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896468" w:rsidRDefault="00B31E50">
            <w:pPr>
              <w:pStyle w:val="P68B1DB1-TableParagraph73"/>
              <w:spacing w:before="108"/>
              <w:ind w:left="85"/>
              <w:jc w:val="both"/>
            </w:pPr>
            <w:r>
              <w:t>Az adatszolgáltató szervezet szempontjából releváns pénznemek</w:t>
            </w:r>
          </w:p>
          <w:p w14:paraId="7FE1C831" w14:textId="31711E89" w:rsidR="00896468" w:rsidRDefault="00B31E50">
            <w:pPr>
              <w:pStyle w:val="P68B1DB1-TableParagraph40"/>
              <w:spacing w:before="108"/>
              <w:ind w:left="85"/>
              <w:jc w:val="both"/>
            </w:pPr>
            <w:r>
              <w:t>Azok a pénznemek, amelyekben a</w:t>
            </w:r>
            <w:r w:rsidR="00B1347D">
              <w:t xml:space="preserve">z adatszolgáltató szervezet </w:t>
            </w:r>
            <w:r>
              <w:t xml:space="preserve">ügyleteit elfogadják és kiegyenlítik a rendszerben. Csak azokat a pénznemeket kell jelenteni, amelyek az adatszolgáltató </w:t>
            </w:r>
            <w:r w:rsidR="00B1347D">
              <w:t xml:space="preserve">szervezet </w:t>
            </w:r>
            <w:r>
              <w:t>FMI-vel/közvetítővel folytatott összes tevékenységének legalább 5%-át teszik ki.</w:t>
            </w:r>
          </w:p>
          <w:p w14:paraId="7FE1C832" w14:textId="77777777" w:rsidR="00896468" w:rsidRDefault="00B31E50">
            <w:pPr>
              <w:pStyle w:val="P68B1DB1-TableParagraph40"/>
              <w:spacing w:before="108"/>
              <w:ind w:left="85"/>
              <w:jc w:val="both"/>
              <w:rPr>
                <w:b/>
              </w:rPr>
            </w:pPr>
            <w:r>
              <w:t>A 150–200 oszlop nem zárja ki egymást. Az „egyéb pénznemek” esetében (0170-es oszlop): ISO 4217 – A pénznem(ek) hárombetűs kódja.</w:t>
            </w:r>
          </w:p>
        </w:tc>
      </w:tr>
      <w:tr w:rsidR="00896468"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896468" w:rsidRDefault="00B31E50">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896468" w:rsidRDefault="00B31E50">
            <w:pPr>
              <w:pStyle w:val="P68B1DB1-TableParagraph73"/>
              <w:spacing w:before="108"/>
              <w:ind w:left="85"/>
              <w:jc w:val="both"/>
            </w:pPr>
            <w:r>
              <w:t>Az FMI-nek/közvetítőnek nyújtott szolgáltatások</w:t>
            </w:r>
          </w:p>
          <w:p w14:paraId="7FE1C836" w14:textId="778DD7A5" w:rsidR="00896468" w:rsidRDefault="00B31E50">
            <w:pPr>
              <w:pStyle w:val="P68B1DB1-TableParagraph40"/>
              <w:spacing w:before="108"/>
              <w:ind w:left="85"/>
              <w:jc w:val="both"/>
            </w:pPr>
            <w:r>
              <w:t>Csak akkor kell adatot szolgáltatni, ha a felhasználó szolgáltatásokat nyújt az FMI-nek/közvetítőnek, például árszolgáltat</w:t>
            </w:r>
            <w:r w:rsidR="00DF5AD7">
              <w:t>ás</w:t>
            </w:r>
            <w:r>
              <w:t xml:space="preserve">, </w:t>
            </w:r>
            <w:r w:rsidR="00DF5AD7">
              <w:t>likviditásszolgáltatás</w:t>
            </w:r>
            <w:r>
              <w:t xml:space="preserve">, készpénzkiegyenlítés (adja meg a pénznemet), letétkezelés, (külföldi) központi értéktárakhoz való közvetett hozzáférés, befektetési partner, egyéb. </w:t>
            </w:r>
          </w:p>
        </w:tc>
      </w:tr>
      <w:tr w:rsidR="00896468"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896468" w:rsidRDefault="00B31E50">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896468" w:rsidRDefault="00B31E50">
            <w:pPr>
              <w:pStyle w:val="P68B1DB1-TableParagraph73"/>
              <w:spacing w:before="108"/>
              <w:ind w:left="85"/>
              <w:jc w:val="both"/>
            </w:pPr>
            <w:r>
              <w:t>Az FMI/közvetítő által nyújtott szolgáltatás</w:t>
            </w:r>
          </w:p>
          <w:p w14:paraId="7FE1C83A" w14:textId="1796C676" w:rsidR="00896468" w:rsidRDefault="00B31E50">
            <w:pPr>
              <w:pStyle w:val="P68B1DB1-TableParagraph40"/>
              <w:spacing w:before="108"/>
              <w:ind w:left="85"/>
              <w:jc w:val="both"/>
            </w:pPr>
            <w:r>
              <w:t>Az FMI/közvetítő által a</w:t>
            </w:r>
            <w:r w:rsidR="00DF5AD7">
              <w:t>z adatszolgáltató szervezet</w:t>
            </w:r>
            <w:r>
              <w:t>nek nyújtott szolgáltatások. Akkor kell megadni, ha a 0040 „NA”.</w:t>
            </w:r>
          </w:p>
        </w:tc>
      </w:tr>
      <w:tr w:rsidR="00896468"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896468" w:rsidRDefault="00B31E50">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896468" w:rsidRDefault="00B31E50">
            <w:pPr>
              <w:pStyle w:val="P68B1DB1-TableParagraph75"/>
              <w:spacing w:before="108"/>
              <w:ind w:left="85"/>
              <w:jc w:val="both"/>
            </w:pPr>
            <w:r>
              <w:t>Szolgáltatók</w:t>
            </w:r>
          </w:p>
        </w:tc>
      </w:tr>
      <w:tr w:rsidR="00896468"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896468" w:rsidRDefault="00B31E50">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896468" w:rsidRDefault="00B31E50">
            <w:pPr>
              <w:pStyle w:val="P68B1DB1-TableParagraph73"/>
              <w:spacing w:before="108"/>
              <w:ind w:left="85"/>
              <w:jc w:val="both"/>
            </w:pPr>
            <w:r>
              <w:t>Kommunikációs szolgáltatások nyújtói,</w:t>
            </w:r>
          </w:p>
          <w:p w14:paraId="7FE1C841" w14:textId="0E48578A" w:rsidR="00896468" w:rsidRDefault="00B31E50">
            <w:pPr>
              <w:pStyle w:val="P68B1DB1-TableParagraph40"/>
              <w:spacing w:before="108"/>
              <w:ind w:left="85"/>
              <w:jc w:val="both"/>
            </w:pPr>
            <w:r>
              <w:t>Az intézmény által az FMI-hez való hozzáféréshez igénybe vett kommunikációs szolgáltat</w:t>
            </w:r>
            <w:r w:rsidR="00DF5AD7">
              <w:t>ások nyújtói</w:t>
            </w:r>
            <w:r>
              <w:t xml:space="preserve">. A 230–250. oszlopok nem zárják ki egymást. </w:t>
            </w:r>
          </w:p>
          <w:p w14:paraId="32DB4B00" w14:textId="3747D290" w:rsidR="00896468" w:rsidRDefault="00B31E50">
            <w:pPr>
              <w:pStyle w:val="P68B1DB1-TableParagraph40"/>
              <w:spacing w:before="108"/>
              <w:ind w:left="85"/>
              <w:jc w:val="both"/>
            </w:pPr>
            <w:r>
              <w:t>A „FMI szabályszerűsége”-c0230 és a „SWIFT” – c0240 esetében:</w:t>
            </w:r>
          </w:p>
          <w:p w14:paraId="1D0FFCBE" w14:textId="373924D7" w:rsidR="00896468" w:rsidRDefault="00B31E50">
            <w:pPr>
              <w:pStyle w:val="P68B1DB1-TableParagraph40"/>
              <w:numPr>
                <w:ilvl w:val="0"/>
                <w:numId w:val="181"/>
              </w:numPr>
              <w:spacing w:before="108"/>
              <w:jc w:val="both"/>
            </w:pPr>
            <w:r>
              <w:t>Igen</w:t>
            </w:r>
          </w:p>
          <w:p w14:paraId="26472FE9" w14:textId="0853053B" w:rsidR="00896468" w:rsidRDefault="00C85B2A">
            <w:pPr>
              <w:pStyle w:val="P68B1DB1-TableParagraph40"/>
              <w:numPr>
                <w:ilvl w:val="0"/>
                <w:numId w:val="181"/>
              </w:numPr>
              <w:spacing w:before="108"/>
              <w:jc w:val="both"/>
            </w:pPr>
            <w:r>
              <w:t>Nem</w:t>
            </w:r>
          </w:p>
          <w:p w14:paraId="7FE1C842" w14:textId="0C70DB31" w:rsidR="00896468" w:rsidRDefault="00B31E50">
            <w:pPr>
              <w:pStyle w:val="P68B1DB1-TableParagraph40"/>
              <w:spacing w:before="108"/>
              <w:ind w:left="85"/>
              <w:jc w:val="both"/>
            </w:pPr>
            <w:r>
              <w:t>Az „Egyéb kommunikációs szolgáltatók” esetében – c0250: jelenteni kell a szolgáltató kereskedelmi nevét.</w:t>
            </w:r>
          </w:p>
        </w:tc>
      </w:tr>
      <w:tr w:rsidR="00896468"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896468" w:rsidRDefault="00B31E50">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896468" w:rsidRDefault="00B31E50">
            <w:pPr>
              <w:pStyle w:val="P68B1DB1-TableParagraph75"/>
              <w:spacing w:before="108"/>
              <w:ind w:left="85"/>
              <w:jc w:val="both"/>
            </w:pPr>
            <w:r>
              <w:t>Az FMI-hez való hozzáférést lehetővé tevő egyéb szolgáltatók</w:t>
            </w:r>
          </w:p>
        </w:tc>
      </w:tr>
      <w:tr w:rsidR="00896468"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896468" w:rsidRDefault="00B31E50">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896468" w:rsidRDefault="00B31E50">
            <w:pPr>
              <w:pStyle w:val="P68B1DB1-TableParagraph73"/>
              <w:spacing w:before="108"/>
              <w:ind w:left="85"/>
            </w:pPr>
            <w:r>
              <w:t xml:space="preserve">További szolgáltatók neve </w:t>
            </w:r>
          </w:p>
          <w:p w14:paraId="7FE1C849" w14:textId="77777777" w:rsidR="00896468" w:rsidRDefault="00B31E50">
            <w:pPr>
              <w:pStyle w:val="P68B1DB1-TableParagraph40"/>
              <w:spacing w:before="108"/>
              <w:ind w:left="85"/>
              <w:jc w:val="both"/>
              <w:rPr>
                <w:b/>
              </w:rPr>
            </w:pPr>
            <w:r>
              <w:t xml:space="preserve">Adott esetben a közvetítőtől eltérő, a felhasználó számára feltétlenül szükséges szolgáltatók: elszámoló bank, készpénzes levelező bank/nostroügynök, likviditásszolgáltató.  </w:t>
            </w:r>
            <w:r>
              <w:br/>
              <w:t>A szolgáltatók kereskedelmi neve.</w:t>
            </w:r>
          </w:p>
        </w:tc>
      </w:tr>
      <w:tr w:rsidR="00896468"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896468" w:rsidRDefault="00B31E50">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896468" w:rsidRDefault="00B31E50">
            <w:pPr>
              <w:pStyle w:val="P68B1DB1-TableParagraph73"/>
              <w:spacing w:before="108"/>
              <w:ind w:left="85"/>
              <w:jc w:val="both"/>
            </w:pPr>
            <w:r>
              <w:t xml:space="preserve">Kiegészítő szolgáltatások </w:t>
            </w:r>
          </w:p>
          <w:p w14:paraId="7FE1C84D" w14:textId="550211F7" w:rsidR="00896468" w:rsidRDefault="00C85B2A">
            <w:pPr>
              <w:pStyle w:val="P68B1DB1-TableParagraph40"/>
              <w:spacing w:before="108"/>
              <w:ind w:left="85"/>
              <w:jc w:val="both"/>
              <w:rPr>
                <w:b/>
              </w:rPr>
            </w:pPr>
            <w:r>
              <w:lastRenderedPageBreak/>
              <w:t>A 0260-ban jelentett s</w:t>
            </w:r>
            <w:r w:rsidR="00B31E50">
              <w:t xml:space="preserve">zolgáltatók által </w:t>
            </w:r>
            <w:r>
              <w:t xml:space="preserve">nyújtott </w:t>
            </w:r>
            <w:r w:rsidR="00B31E50">
              <w:t xml:space="preserve">szolgáltatások. </w:t>
            </w:r>
          </w:p>
        </w:tc>
      </w:tr>
      <w:tr w:rsidR="00896468"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896468" w:rsidRDefault="00B31E50">
            <w:pPr>
              <w:pStyle w:val="P68B1DB1-Normal31"/>
            </w:pPr>
            <w:r>
              <w:lastRenderedPageBreak/>
              <w:t>0280</w:t>
            </w:r>
          </w:p>
        </w:tc>
        <w:tc>
          <w:tcPr>
            <w:tcW w:w="7832" w:type="dxa"/>
            <w:tcBorders>
              <w:top w:val="single" w:sz="8" w:space="0" w:color="auto"/>
              <w:left w:val="single" w:sz="8" w:space="0" w:color="auto"/>
              <w:bottom w:val="single" w:sz="8" w:space="0" w:color="auto"/>
            </w:tcBorders>
            <w:vAlign w:val="bottom"/>
          </w:tcPr>
          <w:p w14:paraId="7FE1C850" w14:textId="4B780D7E" w:rsidR="00896468" w:rsidRDefault="00B31E50">
            <w:pPr>
              <w:pStyle w:val="P68B1DB1-TableParagraph73"/>
              <w:spacing w:before="108"/>
              <w:ind w:left="85"/>
              <w:jc w:val="both"/>
            </w:pPr>
            <w:r>
              <w:t>Kapcsolattartó az FMI-nél/közvetítőnél</w:t>
            </w:r>
          </w:p>
          <w:p w14:paraId="7FE1C851" w14:textId="57AA6FAB" w:rsidR="00896468" w:rsidRDefault="00B31E50">
            <w:pPr>
              <w:pStyle w:val="P68B1DB1-TableParagraph40"/>
              <w:spacing w:before="108"/>
              <w:ind w:left="85"/>
              <w:jc w:val="both"/>
            </w:pPr>
            <w:r>
              <w:t>Kapcsolattartó az FMI-nél az adatszolgáltató szervezet szanálása esetén. Jelentés:</w:t>
            </w:r>
          </w:p>
          <w:p w14:paraId="7FE1C852" w14:textId="77777777" w:rsidR="00896468" w:rsidRDefault="00B31E50">
            <w:pPr>
              <w:pStyle w:val="P68B1DB1-TableParagraph40"/>
              <w:numPr>
                <w:ilvl w:val="0"/>
                <w:numId w:val="181"/>
              </w:numPr>
              <w:ind w:left="799" w:hanging="357"/>
              <w:jc w:val="both"/>
            </w:pPr>
            <w:r>
              <w:t>Megnevezés</w:t>
            </w:r>
          </w:p>
          <w:p w14:paraId="7FE1C853" w14:textId="77777777" w:rsidR="00896468" w:rsidRDefault="00B31E50">
            <w:pPr>
              <w:pStyle w:val="P68B1DB1-TableParagraph40"/>
              <w:numPr>
                <w:ilvl w:val="0"/>
                <w:numId w:val="181"/>
              </w:numPr>
              <w:ind w:left="799" w:hanging="357"/>
              <w:jc w:val="both"/>
            </w:pPr>
            <w:r>
              <w:t>Munkakör megnevezése</w:t>
            </w:r>
          </w:p>
          <w:p w14:paraId="7FE1C854" w14:textId="5FE95CD9" w:rsidR="00896468" w:rsidRDefault="00B31E50">
            <w:pPr>
              <w:pStyle w:val="P68B1DB1-TableParagraph40"/>
              <w:numPr>
                <w:ilvl w:val="0"/>
                <w:numId w:val="181"/>
              </w:numPr>
              <w:ind w:left="799" w:hanging="357"/>
              <w:jc w:val="both"/>
            </w:pPr>
            <w:r>
              <w:t>E-mail-cím</w:t>
            </w:r>
          </w:p>
        </w:tc>
      </w:tr>
    </w:tbl>
    <w:p w14:paraId="7FE1C856" w14:textId="77777777" w:rsidR="00896468" w:rsidRDefault="00B31E50">
      <w:pPr>
        <w:pStyle w:val="P68B1DB1-Normal78"/>
      </w:pPr>
      <w:r>
        <w:br/>
      </w:r>
      <w:r>
        <w:br/>
      </w:r>
    </w:p>
    <w:p w14:paraId="7FE1C857" w14:textId="77777777" w:rsidR="00896468" w:rsidRDefault="00B31E50">
      <w:pPr>
        <w:spacing w:line="257" w:lineRule="auto"/>
        <w:jc w:val="both"/>
        <w:rPr>
          <w:rFonts w:ascii="Times New Roman" w:eastAsia="Verdana" w:hAnsi="Times New Roman" w:cs="Times New Roman"/>
          <w:sz w:val="20"/>
          <w:szCs w:val="20"/>
        </w:rPr>
      </w:pPr>
      <w:hyperlink r:id="rId11"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Például az EKB monetáris pénzügyi intézményeinek egyedi azonosítója (MPI-azonosító), amelyet a RIAD-ban használnak.</w:t>
      </w:r>
    </w:p>
    <w:p w14:paraId="7FE1C858" w14:textId="77777777" w:rsidR="00896468" w:rsidRDefault="00B31E50">
      <w:pPr>
        <w:spacing w:line="257" w:lineRule="auto"/>
        <w:jc w:val="both"/>
        <w:rPr>
          <w:rFonts w:ascii="Times New Roman" w:eastAsia="Verdana" w:hAnsi="Times New Roman" w:cs="Times New Roman"/>
          <w:sz w:val="20"/>
          <w:szCs w:val="20"/>
        </w:rPr>
      </w:pPr>
      <w:hyperlink r:id="rId12"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EKB Glosszárium a fizetési, klíring- és elszámolási rendszerekhez kapcsolódó feltételekről, 2009. december.</w:t>
      </w:r>
    </w:p>
    <w:p w14:paraId="7FE1C859" w14:textId="77777777" w:rsidR="00896468" w:rsidRDefault="00B31E50">
      <w:pPr>
        <w:spacing w:line="257" w:lineRule="auto"/>
        <w:jc w:val="both"/>
        <w:rPr>
          <w:rFonts w:ascii="Times New Roman" w:eastAsia="Verdana" w:hAnsi="Times New Roman" w:cs="Times New Roman"/>
          <w:sz w:val="20"/>
          <w:szCs w:val="20"/>
        </w:rPr>
      </w:pPr>
      <w:hyperlink r:id="rId13"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Ugyanott.</w:t>
      </w:r>
    </w:p>
    <w:p w14:paraId="7FE1C85A" w14:textId="77777777" w:rsidR="00896468" w:rsidRDefault="00B31E50">
      <w:pPr>
        <w:spacing w:line="257" w:lineRule="auto"/>
        <w:jc w:val="both"/>
        <w:rPr>
          <w:rFonts w:ascii="Times New Roman" w:hAnsi="Times New Roman" w:cs="Times New Roman"/>
        </w:rPr>
      </w:pPr>
      <w:hyperlink r:id="rId14"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Például az EKB monetáris pénzügyi intézményeinek egyedi azonosítója (MPI-azonosító), amelyet a RIAD-ban használnak.</w:t>
      </w:r>
    </w:p>
    <w:p w14:paraId="7FE1C8BF" w14:textId="77777777" w:rsidR="00896468" w:rsidRDefault="00896468">
      <w:pPr>
        <w:rPr>
          <w:rFonts w:ascii="Times New Roman" w:hAnsi="Times New Roman" w:cs="Times New Roman"/>
        </w:rPr>
      </w:pPr>
    </w:p>
    <w:p w14:paraId="7FE1C8C0" w14:textId="77777777" w:rsidR="00896468" w:rsidRDefault="00896468">
      <w:pPr>
        <w:rPr>
          <w:rFonts w:ascii="Times New Roman" w:hAnsi="Times New Roman"/>
          <w:sz w:val="20"/>
          <w:szCs w:val="20"/>
          <w:u w:val="single"/>
        </w:rPr>
      </w:pPr>
    </w:p>
    <w:p w14:paraId="7FE1C8C1" w14:textId="26BDB85D" w:rsidR="00896468" w:rsidRDefault="00B31E50">
      <w:pPr>
        <w:pStyle w:val="P68B1DB1-Instructionsberschrift25"/>
        <w:numPr>
          <w:ilvl w:val="1"/>
          <w:numId w:val="49"/>
        </w:numPr>
        <w:ind w:left="357" w:hanging="357"/>
        <w:rPr>
          <w:rFonts w:eastAsia="Calibri"/>
          <w:szCs w:val="20"/>
        </w:rPr>
      </w:pPr>
      <w:bookmarkStart w:id="139" w:name="_Toc210982894"/>
      <w:r>
        <w:t>Z 09.02 –</w:t>
      </w:r>
      <w:r w:rsidR="00D75732">
        <w:t xml:space="preserve"> </w:t>
      </w:r>
      <w:r>
        <w:t xml:space="preserve">A kritikus és alapvető </w:t>
      </w:r>
      <w:r w:rsidR="00D75732" w:rsidRPr="00D75732">
        <w:t>pénzügyi piaci infrastruktúrák</w:t>
      </w:r>
      <w:r>
        <w:t xml:space="preserve"> feltérképezése (2. FMI)</w:t>
      </w:r>
      <w:bookmarkEnd w:id="139"/>
    </w:p>
    <w:p w14:paraId="7FE1C8C3" w14:textId="2EAC7AAF" w:rsidR="00896468" w:rsidRDefault="00B31E50">
      <w:pPr>
        <w:pStyle w:val="P68B1DB1-InstructionsText279"/>
        <w:numPr>
          <w:ilvl w:val="2"/>
          <w:numId w:val="209"/>
        </w:numPr>
        <w:spacing w:before="0"/>
        <w:ind w:left="1276"/>
      </w:pPr>
      <w:r>
        <w:t xml:space="preserve">A kritikus és alapvető FMI-szolgáltatók azok az FMI-szolgáltatások, amelyekhez közvetlenül vagy közvetve férnek hozzá, és amelyek megszüntetése súlyosan akadályozhatja vagy </w:t>
      </w:r>
      <w:r w:rsidR="00B775EA">
        <w:t>meg</w:t>
      </w:r>
      <w:r>
        <w:t>akadályozhatja a felhasználó egy vagy több kritikus funkciójának vagy fő üzletágának ellátását.</w:t>
      </w:r>
    </w:p>
    <w:p w14:paraId="7FE1C8C4" w14:textId="40351BC2" w:rsidR="00896468" w:rsidRDefault="00B31E50">
      <w:pPr>
        <w:pStyle w:val="P68B1DB1-ListParagraph80"/>
        <w:numPr>
          <w:ilvl w:val="2"/>
          <w:numId w:val="209"/>
        </w:numPr>
        <w:ind w:left="1276"/>
      </w:pPr>
      <w:r>
        <w:t xml:space="preserve">Ezen a lapon csak azokat az FMI-ket </w:t>
      </w:r>
      <w:r w:rsidR="00C85B2A">
        <w:t>szükséges fel</w:t>
      </w:r>
      <w:r>
        <w:t>tünte</w:t>
      </w:r>
      <w:r w:rsidR="00C85B2A">
        <w:t>ni</w:t>
      </w:r>
      <w:r>
        <w:t xml:space="preserve"> minden olyan rendszertípusra vonatkozóan, amelyeket az adatszolgáltató szervezet kritikusnak vagy alapvető fontosságúnak tart. Ne tartalmazzanak más olyan FMI-t, amely nem kritikus és nem is alapvető fontosságú.</w:t>
      </w:r>
    </w:p>
    <w:p w14:paraId="7FE1C8C5" w14:textId="77777777" w:rsidR="00896468" w:rsidRDefault="00896468">
      <w:pPr>
        <w:pStyle w:val="ListParagraph"/>
        <w:ind w:left="1276"/>
        <w:rPr>
          <w:rFonts w:ascii="Times New Roman" w:eastAsiaTheme="majorEastAsia" w:hAnsi="Times New Roman"/>
          <w:sz w:val="20"/>
          <w:szCs w:val="20"/>
        </w:rPr>
      </w:pPr>
    </w:p>
    <w:p w14:paraId="7FE1C8C6" w14:textId="5076B193" w:rsidR="00896468" w:rsidRDefault="00B31E50">
      <w:pPr>
        <w:pStyle w:val="P68B1DB1-InstructionsText279"/>
        <w:numPr>
          <w:ilvl w:val="2"/>
          <w:numId w:val="209"/>
        </w:numPr>
        <w:spacing w:before="0"/>
        <w:ind w:left="1276"/>
      </w:pPr>
      <w:r>
        <w:t xml:space="preserve">A kritikus és alapvető FMI-k </w:t>
      </w:r>
      <w:r w:rsidR="007762E2">
        <w:t xml:space="preserve">megállapítása </w:t>
      </w:r>
      <w:r>
        <w:t xml:space="preserve">céljából figyelembe kell venni a részvétel egyidejű megszüntetésének lehetőségét.  </w:t>
      </w:r>
    </w:p>
    <w:p w14:paraId="7FE1C8C7" w14:textId="77777777" w:rsidR="00896468" w:rsidRDefault="00896468">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896468"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896468" w:rsidRDefault="00B31E50">
            <w:pPr>
              <w:pStyle w:val="P68B1DB1-TableParagraph17"/>
              <w:spacing w:before="108"/>
              <w:ind w:left="85"/>
            </w:pPr>
            <w:r>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896468" w:rsidRDefault="00B31E50">
            <w:pPr>
              <w:pStyle w:val="P68B1DB1-TableParagraph17"/>
              <w:spacing w:before="108"/>
              <w:ind w:left="85"/>
            </w:pPr>
            <w:r>
              <w:t xml:space="preserve">Útmutató </w:t>
            </w:r>
          </w:p>
        </w:tc>
      </w:tr>
      <w:tr w:rsidR="00896468"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896468" w:rsidRDefault="00B31E50">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896468" w:rsidRDefault="00B31E50">
            <w:pPr>
              <w:pStyle w:val="P68B1DB1-TableParagraph73"/>
              <w:spacing w:before="108"/>
              <w:ind w:left="85"/>
              <w:jc w:val="both"/>
            </w:pPr>
            <w:r>
              <w:t>A felhasználó, az FMI, a rendszer típusa és a közvetítő kombinációját jelölő azonosító</w:t>
            </w:r>
          </w:p>
          <w:p w14:paraId="7FE1C8CD" w14:textId="389563D7" w:rsidR="00896468" w:rsidRDefault="00B31E50">
            <w:pPr>
              <w:pStyle w:val="P68B1DB1-TableParagraph40"/>
              <w:spacing w:before="108"/>
              <w:ind w:left="85"/>
              <w:jc w:val="both"/>
              <w:rPr>
                <w:b/>
              </w:rPr>
            </w:pPr>
            <w:r>
              <w:t>Használjon soronként egyetlen azonosítót, amely a felhasználó, az FMI, a rendszertípus és a közvetítő egyedi kombinációjának felel meg. Adott esetben ugyanazt a kombinációnak megfelelő azonosítót kell használni a Z 09.01–Z 09.05 táblákban.</w:t>
            </w:r>
          </w:p>
        </w:tc>
      </w:tr>
      <w:tr w:rsidR="00896468"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896468" w:rsidRDefault="00B31E50">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896468" w:rsidRDefault="00B31E50">
            <w:pPr>
              <w:pStyle w:val="P68B1DB1-TableParagraph75"/>
              <w:spacing w:before="108"/>
              <w:ind w:left="85"/>
              <w:jc w:val="both"/>
              <w:rPr>
                <w:bCs/>
                <w:iCs/>
              </w:rPr>
            </w:pPr>
            <w:r>
              <w:t>Kritikus FMI-k</w:t>
            </w:r>
          </w:p>
        </w:tc>
      </w:tr>
      <w:tr w:rsidR="00896468"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896468" w:rsidRDefault="00B31E50">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896468" w:rsidRDefault="00B31E50">
            <w:pPr>
              <w:pStyle w:val="P68B1DB1-TableParagraph73"/>
              <w:spacing w:before="108"/>
              <w:ind w:left="85"/>
              <w:jc w:val="both"/>
            </w:pPr>
            <w:r>
              <w:t>Kritikus FMI: I/N</w:t>
            </w:r>
          </w:p>
          <w:p w14:paraId="7FE1C8D4" w14:textId="4439D1A6" w:rsidR="00896468" w:rsidRDefault="00B31E50">
            <w:pPr>
              <w:pStyle w:val="P68B1DB1-TableParagraph40"/>
              <w:numPr>
                <w:ilvl w:val="0"/>
                <w:numId w:val="248"/>
              </w:numPr>
              <w:spacing w:before="108"/>
              <w:jc w:val="both"/>
            </w:pPr>
            <w:r>
              <w:t>„Igen”, ha az FMI kritikus fontosságú</w:t>
            </w:r>
          </w:p>
          <w:p w14:paraId="7FE1C8D5" w14:textId="704CF278" w:rsidR="00896468" w:rsidRDefault="00B31E50">
            <w:pPr>
              <w:pStyle w:val="P68B1DB1-TableParagraph40"/>
              <w:numPr>
                <w:ilvl w:val="0"/>
                <w:numId w:val="248"/>
              </w:numPr>
              <w:spacing w:before="108"/>
              <w:jc w:val="both"/>
              <w:rPr>
                <w:b/>
                <w:bCs/>
              </w:rPr>
            </w:pPr>
            <w:r>
              <w:t>„Nem”, ha az FMI nem kritikus</w:t>
            </w:r>
            <w:r w:rsidR="007762E2">
              <w:t xml:space="preserve"> fontosságú</w:t>
            </w:r>
            <w:r>
              <w:rPr>
                <w:b/>
              </w:rPr>
              <w:t xml:space="preserve"> </w:t>
            </w:r>
          </w:p>
          <w:p w14:paraId="7FE1C8D6" w14:textId="77777777" w:rsidR="00896468" w:rsidRDefault="00B31E50">
            <w:pPr>
              <w:pStyle w:val="P68B1DB1-TableParagraph40"/>
              <w:spacing w:before="108"/>
              <w:ind w:left="85"/>
              <w:jc w:val="both"/>
            </w:pPr>
            <w:r>
              <w:t>A 0020. oszlop és a 0050. oszlop nem zárják ki egymást.</w:t>
            </w:r>
          </w:p>
        </w:tc>
      </w:tr>
      <w:tr w:rsidR="00896468"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896468" w:rsidRDefault="00B31E50">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896468" w:rsidRDefault="00B31E50">
            <w:pPr>
              <w:pStyle w:val="P68B1DB1-TableParagraph73"/>
              <w:spacing w:before="108"/>
              <w:ind w:left="85"/>
              <w:jc w:val="both"/>
            </w:pPr>
            <w:r>
              <w:t>Ország</w:t>
            </w:r>
          </w:p>
          <w:p w14:paraId="7FE1C8DA" w14:textId="0205A6B0" w:rsidR="00896468" w:rsidRDefault="00B31E50">
            <w:pPr>
              <w:pStyle w:val="P68B1DB1-TableParagraph40"/>
              <w:spacing w:before="108"/>
              <w:ind w:left="85"/>
              <w:jc w:val="both"/>
            </w:pPr>
            <w:r>
              <w:t>Az ország, amely</w:t>
            </w:r>
            <w:r w:rsidR="007762E2">
              <w:t>ben</w:t>
            </w:r>
            <w:r>
              <w:t xml:space="preserve"> </w:t>
            </w:r>
            <w:r w:rsidR="007762E2">
              <w:t xml:space="preserve">a </w:t>
            </w:r>
            <w:r>
              <w:t>kritikus</w:t>
            </w:r>
            <w:r w:rsidR="007762E2">
              <w:t xml:space="preserve"> funkciót nyújtják</w:t>
            </w:r>
            <w:r>
              <w:t xml:space="preserve">, a Z 07.01 (FUNC 1) táblában megadottak szerint. </w:t>
            </w:r>
          </w:p>
        </w:tc>
      </w:tr>
      <w:tr w:rsidR="00896468"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896468" w:rsidRDefault="00B31E50">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896468" w:rsidRDefault="00B31E50">
            <w:pPr>
              <w:pStyle w:val="P68B1DB1-TableParagraph73"/>
              <w:spacing w:before="108"/>
              <w:ind w:left="85"/>
              <w:jc w:val="both"/>
            </w:pPr>
            <w:r>
              <w:t>Kritikus funkció azonosítója</w:t>
            </w:r>
          </w:p>
          <w:p w14:paraId="7FE1C8DE" w14:textId="77777777" w:rsidR="00896468" w:rsidRDefault="00B31E50">
            <w:pPr>
              <w:pStyle w:val="P68B1DB1-TableParagraph40"/>
              <w:spacing w:before="108"/>
              <w:ind w:left="85"/>
              <w:jc w:val="both"/>
            </w:pPr>
            <w:r>
              <w:t xml:space="preserve">A szervezet által ellátott kritikus funkció(k), amelynek ellátását akadályozná vagy </w:t>
            </w:r>
            <w:r>
              <w:lastRenderedPageBreak/>
              <w:t>megakadályozná az FMI-szolgáltatóhoz való hozzáférés zavara.</w:t>
            </w:r>
          </w:p>
          <w:p w14:paraId="79796B83" w14:textId="298E6F56" w:rsidR="00896468" w:rsidRDefault="00B31E50">
            <w:pPr>
              <w:pStyle w:val="P68B1DB1-TableParagraph40"/>
              <w:spacing w:before="108"/>
              <w:ind w:left="85"/>
              <w:jc w:val="both"/>
              <w:rPr>
                <w:b/>
                <w:bCs/>
              </w:rPr>
            </w:pPr>
            <w:r>
              <w:t>A kritikus funkciók Z07.01 mezőben jelentett azonosítója</w:t>
            </w:r>
            <w:r>
              <w:rPr>
                <w:b/>
              </w:rPr>
              <w:t>:</w:t>
            </w:r>
          </w:p>
          <w:p w14:paraId="58520404" w14:textId="77777777" w:rsidR="00896468" w:rsidRDefault="00896468">
            <w:pPr>
              <w:pStyle w:val="TableParagraph"/>
              <w:spacing w:before="108"/>
              <w:ind w:left="85"/>
              <w:jc w:val="both"/>
              <w:rPr>
                <w:rFonts w:ascii="Times New Roman" w:eastAsia="Times New Roman" w:hAnsi="Times New Roman" w:cs="Times New Roman"/>
                <w:b/>
                <w:bCs/>
                <w:sz w:val="20"/>
                <w:szCs w:val="20"/>
              </w:rPr>
            </w:pPr>
          </w:p>
          <w:p w14:paraId="0E718D7B" w14:textId="77777777" w:rsidR="00896468" w:rsidRDefault="00B31E50">
            <w:pPr>
              <w:pStyle w:val="P68B1DB1-Normal19"/>
              <w:rPr>
                <w:rFonts w:eastAsiaTheme="minorHAnsi"/>
              </w:rPr>
            </w:pPr>
            <w:r>
              <w:t>Betétek</w:t>
            </w:r>
          </w:p>
          <w:p w14:paraId="354D6B7F" w14:textId="77777777" w:rsidR="00896468" w:rsidRDefault="00B31E50">
            <w:pPr>
              <w:pStyle w:val="P68B1DB1-Normal19"/>
              <w:ind w:left="708"/>
            </w:pPr>
            <w:r>
              <w:t>Háztartások betétei</w:t>
            </w:r>
          </w:p>
          <w:p w14:paraId="71C89914" w14:textId="77777777" w:rsidR="00896468" w:rsidRDefault="00B31E50">
            <w:pPr>
              <w:pStyle w:val="P68B1DB1-Normal19"/>
              <w:ind w:left="708"/>
            </w:pPr>
            <w:r>
              <w:t xml:space="preserve">Nem pénzügyi vállalatok betétei </w:t>
            </w:r>
          </w:p>
          <w:p w14:paraId="7621A95F" w14:textId="639654BA" w:rsidR="00896468" w:rsidRDefault="00B31E50">
            <w:pPr>
              <w:pStyle w:val="P68B1DB1-Normal19"/>
              <w:ind w:left="1405"/>
            </w:pPr>
            <w:r>
              <w:t>Nem pénzügyi vállalatok</w:t>
            </w:r>
            <w:r w:rsidR="003E5193">
              <w:t xml:space="preserve"> (</w:t>
            </w:r>
            <w:r>
              <w:t>kkv-k</w:t>
            </w:r>
            <w:r w:rsidR="003E5193">
              <w:t>)</w:t>
            </w:r>
            <w:r>
              <w:t xml:space="preserve"> </w:t>
            </w:r>
            <w:r w:rsidR="0082315D">
              <w:t>betétei</w:t>
            </w:r>
          </w:p>
          <w:p w14:paraId="046B913C" w14:textId="41E413DC" w:rsidR="00896468" w:rsidRDefault="0082315D">
            <w:pPr>
              <w:pStyle w:val="P68B1DB1-Normal19"/>
              <w:ind w:left="1405"/>
            </w:pPr>
            <w:r>
              <w:t>N</w:t>
            </w:r>
            <w:r w:rsidR="00B31E50">
              <w:t>em pénzügyi vállalatok</w:t>
            </w:r>
            <w:r w:rsidR="003E5193">
              <w:t xml:space="preserve"> (</w:t>
            </w:r>
            <w:r w:rsidR="00B31E50">
              <w:t>nem kkv-k</w:t>
            </w:r>
            <w:r w:rsidR="003E5193">
              <w:t>)</w:t>
            </w:r>
            <w:r>
              <w:t xml:space="preserve"> betétei</w:t>
            </w:r>
          </w:p>
          <w:p w14:paraId="2DAF57AE" w14:textId="77777777" w:rsidR="00896468" w:rsidRDefault="00B31E50">
            <w:pPr>
              <w:pStyle w:val="P68B1DB1-Normal19"/>
              <w:ind w:left="708"/>
            </w:pPr>
            <w:r>
              <w:t>Az államháztartások betétei</w:t>
            </w:r>
          </w:p>
          <w:p w14:paraId="3AC3807C" w14:textId="77777777" w:rsidR="00896468" w:rsidRDefault="00B31E50">
            <w:pPr>
              <w:pStyle w:val="P68B1DB1-Normal19"/>
              <w:ind w:left="708"/>
            </w:pPr>
            <w:r>
              <w:t>Más szektorokból/partnerekből származó betétek (1)</w:t>
            </w:r>
          </w:p>
          <w:p w14:paraId="7924D974" w14:textId="65DAB876" w:rsidR="00896468" w:rsidRDefault="003E5193">
            <w:pPr>
              <w:pStyle w:val="P68B1DB1-Normal19"/>
              <w:ind w:left="708"/>
            </w:pPr>
            <w:r w:rsidRPr="003E5193">
              <w:t xml:space="preserve">Más szektorokból/partnerekből származó betétek </w:t>
            </w:r>
            <w:r w:rsidR="00B31E50">
              <w:t>(2)</w:t>
            </w:r>
          </w:p>
          <w:p w14:paraId="15B73120" w14:textId="12E37A09" w:rsidR="00896468" w:rsidRDefault="003E5193">
            <w:pPr>
              <w:pStyle w:val="P68B1DB1-Normal19"/>
              <w:ind w:left="708"/>
            </w:pPr>
            <w:r w:rsidRPr="003E5193">
              <w:t xml:space="preserve">Más szektorokból/partnerekből származó betétek </w:t>
            </w:r>
            <w:r w:rsidR="00B31E50">
              <w:t>(3)</w:t>
            </w:r>
          </w:p>
          <w:p w14:paraId="2FE46760" w14:textId="77777777" w:rsidR="00896468" w:rsidRDefault="00896468">
            <w:pPr>
              <w:rPr>
                <w:rFonts w:ascii="Times New Roman" w:hAnsi="Times New Roman" w:cs="Times New Roman"/>
                <w:sz w:val="20"/>
                <w:szCs w:val="20"/>
              </w:rPr>
            </w:pPr>
          </w:p>
          <w:p w14:paraId="685EA40A" w14:textId="77777777" w:rsidR="00896468" w:rsidRDefault="00B31E50">
            <w:pPr>
              <w:pStyle w:val="P68B1DB1-Normal19"/>
            </w:pPr>
            <w:r>
              <w:t>Hitelezés</w:t>
            </w:r>
          </w:p>
          <w:p w14:paraId="11C80F7E" w14:textId="77777777" w:rsidR="00896468" w:rsidRDefault="00B31E50">
            <w:pPr>
              <w:pStyle w:val="P68B1DB1-Normal19"/>
              <w:ind w:left="708"/>
            </w:pPr>
            <w:r>
              <w:t>Háztartásoknak nyújtott hitelek</w:t>
            </w:r>
          </w:p>
          <w:p w14:paraId="430711EA" w14:textId="4FE6B4EE" w:rsidR="00896468" w:rsidRDefault="00B31E50">
            <w:pPr>
              <w:pStyle w:val="P68B1DB1-Normal19"/>
              <w:ind w:left="1416"/>
            </w:pPr>
            <w:r>
              <w:t>Lakáscélú hitel</w:t>
            </w:r>
            <w:r w:rsidR="0082315D">
              <w:t>ek</w:t>
            </w:r>
            <w:r w:rsidR="003E5193">
              <w:t xml:space="preserve"> háztartásoknak</w:t>
            </w:r>
          </w:p>
          <w:p w14:paraId="0147203E" w14:textId="3BCD65B7" w:rsidR="00896468" w:rsidRDefault="00B31E50">
            <w:pPr>
              <w:pStyle w:val="P68B1DB1-Normal19"/>
              <w:ind w:left="1416"/>
            </w:pPr>
            <w:r>
              <w:t>Nem lakáscélú hitele</w:t>
            </w:r>
            <w:r w:rsidR="0082315D">
              <w:t>k</w:t>
            </w:r>
            <w:r>
              <w:t xml:space="preserve"> háztartásoknak</w:t>
            </w:r>
          </w:p>
          <w:p w14:paraId="20ACA306" w14:textId="77777777" w:rsidR="00896468" w:rsidRDefault="00B31E50">
            <w:pPr>
              <w:pStyle w:val="P68B1DB1-Normal19"/>
              <w:ind w:left="708"/>
            </w:pPr>
            <w:r>
              <w:t>Nem pénzügyi vállalatoknak nyújtott hitelek</w:t>
            </w:r>
          </w:p>
          <w:p w14:paraId="21CD7AE7" w14:textId="1BEBBEF3" w:rsidR="0082315D" w:rsidRDefault="0082315D" w:rsidP="0082315D">
            <w:pPr>
              <w:pStyle w:val="P68B1DB1-Normal19"/>
              <w:ind w:left="1405"/>
            </w:pPr>
            <w:r>
              <w:t>Nem pénzügyi vállalatok</w:t>
            </w:r>
            <w:r w:rsidR="003E5193">
              <w:t>nak</w:t>
            </w:r>
            <w:r>
              <w:t xml:space="preserve"> </w:t>
            </w:r>
            <w:r w:rsidR="003E5193">
              <w:t>(</w:t>
            </w:r>
            <w:r>
              <w:t>kkv-k</w:t>
            </w:r>
            <w:r w:rsidR="003E5193">
              <w:t>) nyújtott</w:t>
            </w:r>
            <w:r>
              <w:t xml:space="preserve"> hitele</w:t>
            </w:r>
            <w:r w:rsidR="003E5193">
              <w:t>k</w:t>
            </w:r>
          </w:p>
          <w:p w14:paraId="54389B41" w14:textId="5D37B5EC" w:rsidR="0082315D" w:rsidRDefault="0082315D" w:rsidP="00C46908">
            <w:pPr>
              <w:pStyle w:val="P68B1DB1-Normal19"/>
              <w:ind w:left="1405"/>
            </w:pPr>
            <w:r>
              <w:t>Nem pénzügyi vállalatok</w:t>
            </w:r>
            <w:r w:rsidR="003E5193">
              <w:t>nak</w:t>
            </w:r>
            <w:r w:rsidR="00A62E4E">
              <w:t xml:space="preserve"> </w:t>
            </w:r>
            <w:r w:rsidR="003E5193">
              <w:t>(</w:t>
            </w:r>
            <w:r>
              <w:t>nem kkv-k</w:t>
            </w:r>
            <w:r w:rsidR="003E5193">
              <w:t>) nyújtott</w:t>
            </w:r>
            <w:r>
              <w:t xml:space="preserve"> hitele</w:t>
            </w:r>
            <w:r w:rsidR="003E5193">
              <w:t>k</w:t>
            </w:r>
          </w:p>
          <w:p w14:paraId="6DAE8B55" w14:textId="77777777" w:rsidR="00896468" w:rsidRDefault="00B31E50">
            <w:pPr>
              <w:pStyle w:val="P68B1DB1-Normal19"/>
              <w:ind w:left="708"/>
            </w:pPr>
            <w:r>
              <w:t>Hitelezés az államháztartásoknak</w:t>
            </w:r>
          </w:p>
          <w:p w14:paraId="5C2428A3" w14:textId="3D4AFDBE" w:rsidR="00896468" w:rsidRDefault="00D60D6C">
            <w:pPr>
              <w:pStyle w:val="P68B1DB1-Normal19"/>
              <w:ind w:left="708"/>
            </w:pPr>
            <w:r>
              <w:t>Hitelezés e</w:t>
            </w:r>
            <w:r w:rsidR="00B31E50">
              <w:t>gyéb szektorok</w:t>
            </w:r>
            <w:r>
              <w:t>nak</w:t>
            </w:r>
            <w:r w:rsidR="00B31E50">
              <w:t>/partnerek</w:t>
            </w:r>
            <w:r>
              <w:t>nek</w:t>
            </w:r>
            <w:r w:rsidR="00B31E50">
              <w:t xml:space="preserve"> (1)</w:t>
            </w:r>
          </w:p>
          <w:p w14:paraId="7237D4E5" w14:textId="00F54828" w:rsidR="00896468" w:rsidRDefault="00D60D6C">
            <w:pPr>
              <w:pStyle w:val="P68B1DB1-Normal19"/>
              <w:ind w:left="708"/>
            </w:pPr>
            <w:r w:rsidRPr="00D60D6C">
              <w:t>Hitelezés egyéb szektoroknak/partnereknek</w:t>
            </w:r>
            <w:r w:rsidR="00B31E50">
              <w:t xml:space="preserve"> (2)</w:t>
            </w:r>
          </w:p>
          <w:p w14:paraId="62EF53AB" w14:textId="5CDDC9BF" w:rsidR="00896468" w:rsidRDefault="00D60D6C">
            <w:pPr>
              <w:pStyle w:val="P68B1DB1-Normal19"/>
              <w:ind w:left="708"/>
            </w:pPr>
            <w:r w:rsidRPr="00D60D6C">
              <w:t>Hitelezés egyéb szektoroknak/partnereknek</w:t>
            </w:r>
            <w:r w:rsidRPr="00D60D6C" w:rsidDel="00D60D6C">
              <w:t xml:space="preserve"> </w:t>
            </w:r>
            <w:r w:rsidR="00B31E50">
              <w:t>(3)</w:t>
            </w:r>
          </w:p>
          <w:p w14:paraId="1269B857" w14:textId="77777777" w:rsidR="00896468" w:rsidRDefault="00896468">
            <w:pPr>
              <w:rPr>
                <w:rFonts w:ascii="Times New Roman" w:hAnsi="Times New Roman" w:cs="Times New Roman"/>
                <w:sz w:val="20"/>
                <w:szCs w:val="20"/>
              </w:rPr>
            </w:pPr>
          </w:p>
          <w:p w14:paraId="7CD1A6B0" w14:textId="77777777" w:rsidR="00896468" w:rsidRDefault="00B31E50">
            <w:pPr>
              <w:pStyle w:val="P68B1DB1-Normal19"/>
            </w:pPr>
            <w:r>
              <w:t xml:space="preserve">Pénzforgalmi, készpénz-, kiegyenlítési, elszámolási, letéti őrzési szolgáltatások </w:t>
            </w:r>
          </w:p>
          <w:p w14:paraId="11F499EA" w14:textId="77777777" w:rsidR="00896468" w:rsidRDefault="00B31E50">
            <w:pPr>
              <w:pStyle w:val="P68B1DB1-Normal19"/>
              <w:ind w:left="708"/>
            </w:pPr>
            <w:r>
              <w:t>Monetáris pénzügyi intézményeknek nyújtott pénzforgalmi szolgáltatások</w:t>
            </w:r>
          </w:p>
          <w:p w14:paraId="6FC14FBE" w14:textId="4F1706DC" w:rsidR="00896468" w:rsidRDefault="00B31E50">
            <w:pPr>
              <w:pStyle w:val="P68B1DB1-Normal19"/>
              <w:ind w:left="708"/>
            </w:pPr>
            <w:bookmarkStart w:id="140" w:name="_Hlk192600698"/>
            <w:r>
              <w:t>Nem monetáris pénzügyi intézményeknek nyújtott pénzforgalmi szolgáltatások</w:t>
            </w:r>
          </w:p>
          <w:p w14:paraId="704B9B25" w14:textId="77777777" w:rsidR="00896468" w:rsidRDefault="00B31E50">
            <w:pPr>
              <w:pStyle w:val="P68B1DB1-Normal19"/>
              <w:ind w:left="1405"/>
            </w:pPr>
            <w:r>
              <w:t>Nem MPI-knek nyújtott pénzforgalmi szolgáltatások háztartások számára</w:t>
            </w:r>
          </w:p>
          <w:p w14:paraId="1F8BC691" w14:textId="4FE22A42" w:rsidR="00896468" w:rsidRDefault="00B31E50">
            <w:pPr>
              <w:pStyle w:val="P68B1DB1-Normal19"/>
              <w:ind w:left="1405"/>
            </w:pPr>
            <w:r>
              <w:t>Nem MPI-knek nyújtott pénzforgalmi szolgáltatások nem pénzügyi vállalatok számára</w:t>
            </w:r>
          </w:p>
          <w:p w14:paraId="39782E47" w14:textId="43918C77" w:rsidR="00896468" w:rsidRDefault="00B31E50">
            <w:pPr>
              <w:pStyle w:val="P68B1DB1-Normal19"/>
              <w:ind w:left="1972"/>
            </w:pPr>
            <w:r>
              <w:t>Nem MPI-knek nyújtott pénzforgalmi szolgáltatások nem pénzügyi vállalatok számára, kkv-k</w:t>
            </w:r>
            <w:r w:rsidR="009D41CA">
              <w:t>nak</w:t>
            </w:r>
          </w:p>
          <w:p w14:paraId="416F0C20" w14:textId="504D6059" w:rsidR="00896468" w:rsidRDefault="00B31E50">
            <w:pPr>
              <w:pStyle w:val="P68B1DB1-Normal19"/>
              <w:ind w:left="1972"/>
            </w:pPr>
            <w:r>
              <w:t>Nem MPI-knek nyújtott pénzforgalmi szolgáltatások nem pénzügyi vállalatoknak, nem kkv-knak</w:t>
            </w:r>
            <w:bookmarkEnd w:id="140"/>
          </w:p>
          <w:p w14:paraId="661D0C87" w14:textId="77777777" w:rsidR="00896468" w:rsidRDefault="00B31E50">
            <w:pPr>
              <w:pStyle w:val="P68B1DB1-Normal19"/>
              <w:ind w:left="708"/>
            </w:pPr>
            <w:r>
              <w:t>Készpénzszolgáltatások</w:t>
            </w:r>
          </w:p>
          <w:p w14:paraId="03769573" w14:textId="2A5651FD" w:rsidR="00896468" w:rsidRDefault="00B31E50">
            <w:pPr>
              <w:pStyle w:val="P68B1DB1-Normal19"/>
              <w:ind w:left="708"/>
            </w:pPr>
            <w:r>
              <w:t>Értékpapír-</w:t>
            </w:r>
            <w:r w:rsidR="009D41CA">
              <w:t>elszámolási</w:t>
            </w:r>
            <w:r>
              <w:t xml:space="preserve"> szolgáltatások</w:t>
            </w:r>
          </w:p>
          <w:p w14:paraId="775020A9" w14:textId="77777777" w:rsidR="00896468" w:rsidRDefault="00B31E50">
            <w:pPr>
              <w:pStyle w:val="P68B1DB1-Normal19"/>
              <w:ind w:left="708"/>
            </w:pPr>
            <w:r>
              <w:t>Központi szerződő fél elszámolási szolgáltatásai</w:t>
            </w:r>
          </w:p>
          <w:p w14:paraId="5801E2F6" w14:textId="77777777" w:rsidR="00896468" w:rsidRDefault="00B31E50">
            <w:pPr>
              <w:pStyle w:val="P68B1DB1-Normal19"/>
              <w:ind w:left="708"/>
            </w:pPr>
            <w:r>
              <w:t>Értékmegőrzés</w:t>
            </w:r>
          </w:p>
          <w:p w14:paraId="5B6CE30A" w14:textId="6BE2AA23" w:rsidR="00896468" w:rsidRDefault="00B31E50">
            <w:pPr>
              <w:pStyle w:val="P68B1DB1-Normal19"/>
              <w:ind w:left="708"/>
            </w:pPr>
            <w:r>
              <w:t xml:space="preserve">Egyéb szolgáltatások/tevékenységek/funkciók (1) </w:t>
            </w:r>
            <w:r w:rsidR="00697E87">
              <w:t>pénzforgalmi</w:t>
            </w:r>
            <w:r>
              <w:t xml:space="preserve">, készpénzes, </w:t>
            </w:r>
            <w:r w:rsidR="007C6D99" w:rsidRPr="007C6D99">
              <w:t>kiegyenlítési, elszámolási</w:t>
            </w:r>
            <w:r w:rsidR="007C6D99" w:rsidRPr="007C6D99" w:rsidDel="007C6D99">
              <w:t xml:space="preserve"> </w:t>
            </w:r>
            <w:r>
              <w:t>és letéti szolgáltatásokkal kapcsolatban</w:t>
            </w:r>
          </w:p>
          <w:p w14:paraId="7B4ED125" w14:textId="04259B19" w:rsidR="00896468" w:rsidRDefault="00B31E50">
            <w:pPr>
              <w:pStyle w:val="P68B1DB1-Normal19"/>
              <w:ind w:left="708"/>
            </w:pPr>
            <w:r>
              <w:t xml:space="preserve">Egyéb szolgáltatások/tevékenységek/funkciók (2) </w:t>
            </w:r>
            <w:r w:rsidR="00697E87">
              <w:t>pénzforgalmi</w:t>
            </w:r>
            <w:r>
              <w:t xml:space="preserve">, készpénzes, </w:t>
            </w:r>
            <w:r w:rsidR="007C6D99" w:rsidRPr="007C6D99">
              <w:t>kiegyenlítési, elszámolási</w:t>
            </w:r>
            <w:r w:rsidR="007C6D99" w:rsidRPr="007C6D99" w:rsidDel="007C6D99">
              <w:t xml:space="preserve"> </w:t>
            </w:r>
            <w:r>
              <w:t>és letéti szolgáltatásokkal kapcsolatban</w:t>
            </w:r>
          </w:p>
          <w:p w14:paraId="19BA6278" w14:textId="31BBB0C6" w:rsidR="00896468" w:rsidRDefault="00B31E50">
            <w:pPr>
              <w:pStyle w:val="P68B1DB1-Normal19"/>
              <w:ind w:left="708"/>
            </w:pPr>
            <w:r>
              <w:t xml:space="preserve">Egyéb szolgáltatások/tevékenységek/funkciók (3) </w:t>
            </w:r>
            <w:r w:rsidR="00697E87">
              <w:t>pénzforgalmi</w:t>
            </w:r>
            <w:r w:rsidR="007C6D99" w:rsidRPr="007C6D99">
              <w:t>, készpénzes, kiegyenlítési, elszámolási és letéti szolgáltatásokkal kapcsolatban</w:t>
            </w:r>
          </w:p>
          <w:p w14:paraId="1E6049F9" w14:textId="77777777" w:rsidR="00896468" w:rsidRDefault="00896468">
            <w:pPr>
              <w:rPr>
                <w:rFonts w:ascii="Times New Roman" w:hAnsi="Times New Roman" w:cs="Times New Roman"/>
                <w:sz w:val="20"/>
                <w:szCs w:val="20"/>
              </w:rPr>
            </w:pPr>
          </w:p>
          <w:p w14:paraId="6F0287A8" w14:textId="77777777" w:rsidR="00896468" w:rsidRDefault="00B31E50">
            <w:pPr>
              <w:pStyle w:val="P68B1DB1-Normal19"/>
            </w:pPr>
            <w:r>
              <w:t>Tőkepiacok</w:t>
            </w:r>
          </w:p>
          <w:p w14:paraId="4F1B2CB2" w14:textId="77777777" w:rsidR="00896468" w:rsidRDefault="00B31E50">
            <w:pPr>
              <w:pStyle w:val="P68B1DB1-Normal19"/>
              <w:ind w:left="708"/>
            </w:pPr>
            <w:r>
              <w:t xml:space="preserve">Kereskedési céllal tartott származtatott ügyletek </w:t>
            </w:r>
          </w:p>
          <w:p w14:paraId="608E7B75" w14:textId="77777777" w:rsidR="00896468" w:rsidRDefault="00B31E50">
            <w:pPr>
              <w:pStyle w:val="P68B1DB1-Normal19"/>
              <w:ind w:left="1416"/>
            </w:pPr>
            <w:r>
              <w:t>Kereskedési céllal tartott származtatott ügyletek – tőzsdén kívüli</w:t>
            </w:r>
          </w:p>
          <w:p w14:paraId="55232CB1" w14:textId="77777777" w:rsidR="00896468" w:rsidRDefault="00B31E50">
            <w:pPr>
              <w:pStyle w:val="P68B1DB1-Normal19"/>
              <w:ind w:left="1416"/>
            </w:pPr>
            <w:r>
              <w:t>Kereskedési céllal tartott származtatott ügyletek – nem tőzsdén kívüli</w:t>
            </w:r>
          </w:p>
          <w:p w14:paraId="41765F70" w14:textId="77777777" w:rsidR="00896468" w:rsidRDefault="00B31E50">
            <w:pPr>
              <w:pStyle w:val="P68B1DB1-Normal19"/>
              <w:ind w:left="708"/>
            </w:pPr>
            <w:r>
              <w:t>Másodlagos piacok/kereskedés</w:t>
            </w:r>
          </w:p>
          <w:p w14:paraId="75381D0F" w14:textId="77777777" w:rsidR="00896468" w:rsidRDefault="00B31E50">
            <w:pPr>
              <w:pStyle w:val="P68B1DB1-Normal19"/>
              <w:ind w:left="708"/>
            </w:pPr>
            <w:r>
              <w:t>Elsődleges piacok – jegyzési garanciavállalás</w:t>
            </w:r>
          </w:p>
          <w:p w14:paraId="04BFAC55" w14:textId="373A71A5" w:rsidR="00896468" w:rsidRDefault="00B31E50">
            <w:pPr>
              <w:pStyle w:val="P68B1DB1-Normal19"/>
              <w:ind w:left="708"/>
            </w:pPr>
            <w:r>
              <w:t xml:space="preserve">Egyéb szolgáltatások/tevékenységek/funkciók (1) a </w:t>
            </w:r>
            <w:r w:rsidR="007C6D99">
              <w:t>tőke</w:t>
            </w:r>
            <w:r>
              <w:t>piacon</w:t>
            </w:r>
          </w:p>
          <w:p w14:paraId="4842F14D" w14:textId="58268DF9" w:rsidR="00896468" w:rsidRDefault="00B31E50">
            <w:pPr>
              <w:pStyle w:val="P68B1DB1-Normal19"/>
              <w:ind w:left="708"/>
            </w:pPr>
            <w:r>
              <w:t xml:space="preserve">Egyéb szolgáltatások/tevékenységek/funkciók (2) a </w:t>
            </w:r>
            <w:r w:rsidR="007C6D99" w:rsidRPr="007C6D99">
              <w:t>tőkepiacon</w:t>
            </w:r>
          </w:p>
          <w:p w14:paraId="4B2FE832" w14:textId="5A216ACA" w:rsidR="00896468" w:rsidRDefault="00B31E50">
            <w:pPr>
              <w:pStyle w:val="P68B1DB1-Normal19"/>
              <w:ind w:left="708"/>
            </w:pPr>
            <w:r>
              <w:t xml:space="preserve">Egyéb szolgáltatások/tevékenységek/funkciók (3) a </w:t>
            </w:r>
            <w:r w:rsidR="007C6D99" w:rsidRPr="007C6D99">
              <w:t>tőkepiacon</w:t>
            </w:r>
          </w:p>
          <w:p w14:paraId="07EB9C1C" w14:textId="77777777" w:rsidR="00896468" w:rsidRDefault="00896468">
            <w:pPr>
              <w:ind w:left="708"/>
              <w:rPr>
                <w:rFonts w:ascii="Times New Roman" w:hAnsi="Times New Roman" w:cs="Times New Roman"/>
                <w:sz w:val="20"/>
                <w:szCs w:val="20"/>
              </w:rPr>
            </w:pPr>
          </w:p>
          <w:p w14:paraId="74D09EC2" w14:textId="77777777" w:rsidR="00896468" w:rsidRDefault="00B31E50">
            <w:pPr>
              <w:pStyle w:val="P68B1DB1-Normal19"/>
            </w:pPr>
            <w:r>
              <w:t>Bankközi finanszírozás</w:t>
            </w:r>
          </w:p>
          <w:p w14:paraId="02676859" w14:textId="77777777" w:rsidR="00896468" w:rsidRDefault="00B31E50">
            <w:pPr>
              <w:pStyle w:val="P68B1DB1-ListParagraph60"/>
            </w:pPr>
            <w:r>
              <w:lastRenderedPageBreak/>
              <w:t>Hitelfelvétel</w:t>
            </w:r>
          </w:p>
          <w:p w14:paraId="541AD926" w14:textId="77777777" w:rsidR="00896468" w:rsidRDefault="00B31E50">
            <w:pPr>
              <w:pStyle w:val="P68B1DB1-ListParagraph60"/>
            </w:pPr>
            <w:r>
              <w:t>Származtatott ügyletek (eszközök)</w:t>
            </w:r>
          </w:p>
          <w:p w14:paraId="25097734" w14:textId="77777777" w:rsidR="00896468" w:rsidRDefault="00B31E50">
            <w:pPr>
              <w:pStyle w:val="P68B1DB1-ListParagraph60"/>
            </w:pPr>
            <w:r>
              <w:t>Hitelezés</w:t>
            </w:r>
          </w:p>
          <w:p w14:paraId="772EBBB0" w14:textId="77777777" w:rsidR="00896468" w:rsidRDefault="00B31E50">
            <w:pPr>
              <w:pStyle w:val="P68B1DB1-ListParagraph60"/>
            </w:pPr>
            <w:r>
              <w:t>Származtatott ügyletek (kötelezettségek)</w:t>
            </w:r>
          </w:p>
          <w:p w14:paraId="56E338CF" w14:textId="4F0A9F59" w:rsidR="00896468" w:rsidRDefault="00B31E50">
            <w:pPr>
              <w:pStyle w:val="P68B1DB1-ListParagraph60"/>
            </w:pPr>
            <w:r>
              <w:t xml:space="preserve">Egyéb terméktípusok (1) a </w:t>
            </w:r>
            <w:r w:rsidR="007C6D99">
              <w:t>bankközi piacon</w:t>
            </w:r>
          </w:p>
          <w:p w14:paraId="6607505D" w14:textId="658FFC9C" w:rsidR="00896468" w:rsidRDefault="00B31E50">
            <w:pPr>
              <w:pStyle w:val="P68B1DB1-ListParagraph60"/>
            </w:pPr>
            <w:r>
              <w:t xml:space="preserve">Egyéb terméktípusok (2) a </w:t>
            </w:r>
            <w:r w:rsidR="007C6D99">
              <w:t>bankközi piacon</w:t>
            </w:r>
          </w:p>
          <w:p w14:paraId="41A2E098" w14:textId="5FDAE05C" w:rsidR="00896468" w:rsidRDefault="00B31E50">
            <w:pPr>
              <w:pStyle w:val="P68B1DB1-ListParagraph60"/>
            </w:pPr>
            <w:r>
              <w:t xml:space="preserve">Egyéb terméktípusok (3) a </w:t>
            </w:r>
            <w:r w:rsidR="007C6D99">
              <w:t>bankközi piacon</w:t>
            </w:r>
          </w:p>
          <w:p w14:paraId="7FE1C8DF" w14:textId="2134965F" w:rsidR="00896468" w:rsidRDefault="00896468">
            <w:pPr>
              <w:pStyle w:val="TableParagraph"/>
              <w:spacing w:before="108"/>
              <w:ind w:left="85"/>
              <w:jc w:val="both"/>
              <w:rPr>
                <w:rFonts w:ascii="Times New Roman" w:eastAsia="Times New Roman" w:hAnsi="Times New Roman" w:cs="Times New Roman"/>
                <w:b/>
                <w:bCs/>
                <w:i/>
                <w:iCs/>
                <w:sz w:val="20"/>
                <w:szCs w:val="20"/>
              </w:rPr>
            </w:pPr>
          </w:p>
        </w:tc>
      </w:tr>
      <w:tr w:rsidR="00896468"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896468" w:rsidRDefault="00B31E50">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896468" w:rsidRDefault="00B31E50">
            <w:pPr>
              <w:pStyle w:val="P68B1DB1-Heading481"/>
              <w:numPr>
                <w:ilvl w:val="3"/>
                <w:numId w:val="0"/>
              </w:numPr>
              <w:ind w:left="360"/>
            </w:pPr>
            <w:r>
              <w:t>Alapvető FMI-k</w:t>
            </w:r>
          </w:p>
        </w:tc>
      </w:tr>
      <w:tr w:rsidR="00896468"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896468" w:rsidRDefault="00B31E50">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896468" w:rsidRDefault="00B31E50">
            <w:pPr>
              <w:pStyle w:val="P68B1DB1-TableParagraph73"/>
              <w:spacing w:before="108"/>
              <w:ind w:left="85"/>
              <w:jc w:val="both"/>
            </w:pPr>
            <w:r>
              <w:t>Alapvető FMI: I/N</w:t>
            </w:r>
          </w:p>
          <w:p w14:paraId="7FE1C8E6" w14:textId="46FA6345" w:rsidR="00896468" w:rsidRDefault="00B31E50">
            <w:pPr>
              <w:pStyle w:val="P68B1DB1-TableParagraph40"/>
              <w:numPr>
                <w:ilvl w:val="0"/>
                <w:numId w:val="248"/>
              </w:numPr>
              <w:spacing w:before="108"/>
              <w:jc w:val="both"/>
            </w:pPr>
            <w:r>
              <w:t>„Igen”, ha az FMI alapvető fontosságú</w:t>
            </w:r>
          </w:p>
          <w:p w14:paraId="7FE1C8E7" w14:textId="0EBF3638" w:rsidR="00896468" w:rsidRDefault="00B31E50">
            <w:pPr>
              <w:pStyle w:val="P68B1DB1-TableParagraph40"/>
              <w:numPr>
                <w:ilvl w:val="0"/>
                <w:numId w:val="248"/>
              </w:numPr>
              <w:spacing w:before="108"/>
              <w:jc w:val="both"/>
            </w:pPr>
            <w:r>
              <w:t>„Nem”, ha az FMI nem alapvető fontosságú</w:t>
            </w:r>
          </w:p>
          <w:p w14:paraId="7FE1C8E8" w14:textId="77777777" w:rsidR="00896468" w:rsidRDefault="00B31E50">
            <w:pPr>
              <w:pStyle w:val="P68B1DB1-Heading482"/>
              <w:numPr>
                <w:ilvl w:val="3"/>
                <w:numId w:val="0"/>
              </w:numPr>
              <w:ind w:left="360"/>
            </w:pPr>
            <w:r>
              <w:t>A 0020. oszlop és a 0050. oszlop nem zárják ki egymást.</w:t>
            </w:r>
          </w:p>
        </w:tc>
      </w:tr>
      <w:tr w:rsidR="00896468"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896468" w:rsidRDefault="00B31E50">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896468" w:rsidRDefault="00B31E50">
            <w:pPr>
              <w:pStyle w:val="P68B1DB1-TableParagraph73"/>
              <w:spacing w:before="108"/>
              <w:ind w:left="85"/>
              <w:jc w:val="both"/>
            </w:pPr>
            <w:r>
              <w:t>Fő üzletág azonosítója</w:t>
            </w:r>
          </w:p>
          <w:p w14:paraId="7FE1C8EC" w14:textId="62673BB2" w:rsidR="00896468" w:rsidRDefault="00B31E50">
            <w:pPr>
              <w:pStyle w:val="P68B1DB1-TableParagraph40"/>
              <w:spacing w:before="108"/>
              <w:ind w:left="85"/>
              <w:jc w:val="both"/>
              <w:rPr>
                <w:u w:val="single"/>
              </w:rPr>
            </w:pPr>
            <w:r>
              <w:t>A felhasználó által végzett fő üzletágak, amelyek teljesítményét akadályozná vagy megakadályozná az FMI-szolgáltatóhoz való hozzáférés zavara.</w:t>
            </w:r>
          </w:p>
          <w:p w14:paraId="7FE1C8ED" w14:textId="77777777" w:rsidR="00896468" w:rsidRDefault="00B31E50">
            <w:pPr>
              <w:pStyle w:val="P68B1DB1-TableParagraph40"/>
              <w:spacing w:before="108"/>
              <w:ind w:left="85"/>
              <w:jc w:val="both"/>
              <w:rPr>
                <w:b/>
                <w:bCs/>
              </w:rPr>
            </w:pPr>
            <w:r>
              <w:t>A fő üzletág azonosítója a Z 07.03 tábla 0010-es oszlopában megadottak szerint.</w:t>
            </w:r>
          </w:p>
        </w:tc>
      </w:tr>
    </w:tbl>
    <w:p w14:paraId="7FE1C8EF" w14:textId="77777777" w:rsidR="00896468" w:rsidRDefault="00896468">
      <w:pPr>
        <w:pStyle w:val="Instructionsberschrift2"/>
        <w:ind w:left="357"/>
        <w:rPr>
          <w:rFonts w:ascii="Times New Roman" w:eastAsia="Calibri" w:hAnsi="Times New Roman" w:cs="Times New Roman"/>
          <w:szCs w:val="20"/>
        </w:rPr>
      </w:pPr>
    </w:p>
    <w:p w14:paraId="7FE1C8F0" w14:textId="64CAD502" w:rsidR="00896468" w:rsidRDefault="00B31E50">
      <w:pPr>
        <w:pStyle w:val="P68B1DB1-Instructionsberschrift271"/>
        <w:numPr>
          <w:ilvl w:val="1"/>
          <w:numId w:val="49"/>
        </w:numPr>
        <w:ind w:left="357" w:hanging="357"/>
      </w:pPr>
      <w:bookmarkStart w:id="141" w:name="_Toc210982895"/>
      <w:r>
        <w:t xml:space="preserve">Z 09.03 – </w:t>
      </w:r>
      <w:r w:rsidR="00D75732" w:rsidRPr="00D75732">
        <w:t xml:space="preserve">Pénzügyi piaci infrastrukturális szolgáltatások </w:t>
      </w:r>
      <w:r>
        <w:t xml:space="preserve">– </w:t>
      </w:r>
      <w:r w:rsidR="009D41CA">
        <w:t xml:space="preserve">Kulcsmutatók </w:t>
      </w:r>
      <w:r>
        <w:t>(3. FMI)</w:t>
      </w:r>
      <w:bookmarkEnd w:id="141"/>
    </w:p>
    <w:p w14:paraId="7FE1C8F1" w14:textId="77777777" w:rsidR="00896468" w:rsidRDefault="00B31E50">
      <w:pPr>
        <w:pStyle w:val="P68B1DB1-Numberedtitlelevel383"/>
      </w:pPr>
      <w:r>
        <w:t>A táblák egyes részeire vonatkozó útmutatások</w:t>
      </w:r>
    </w:p>
    <w:p w14:paraId="7FE1C8F2" w14:textId="426E5E24" w:rsidR="00896468" w:rsidRDefault="00B31E50">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Eltérő rendelkezés hiányában csak fizetési rendszerek, (nemzetközi) központi értéktárak, értékpapírügyletek kiegyenlítési szolgáltatásai, központi szerződő felek származtatott ügyletei, központi szerződő </w:t>
      </w:r>
      <w:r w:rsidR="009E5F39">
        <w:rPr>
          <w:rFonts w:ascii="Times New Roman" w:eastAsiaTheme="majorEastAsia" w:hAnsi="Times New Roman" w:cs="Times New Roman"/>
          <w:sz w:val="20"/>
          <w:szCs w:val="20"/>
        </w:rPr>
        <w:t xml:space="preserve">felek </w:t>
      </w:r>
      <w:r>
        <w:rPr>
          <w:rFonts w:ascii="Times New Roman" w:eastAsiaTheme="majorEastAsia" w:hAnsi="Times New Roman" w:cs="Times New Roman"/>
          <w:sz w:val="20"/>
          <w:szCs w:val="20"/>
        </w:rPr>
        <w:t>értékpapír</w:t>
      </w:r>
      <w:r w:rsidR="009E5F39">
        <w:rPr>
          <w:rFonts w:ascii="Times New Roman" w:eastAsiaTheme="majorEastAsia" w:hAnsi="Times New Roman" w:cs="Times New Roman"/>
          <w:sz w:val="20"/>
          <w:szCs w:val="20"/>
        </w:rPr>
        <w:t>ügyletei</w:t>
      </w:r>
      <w:r>
        <w:rPr>
          <w:rFonts w:ascii="Times New Roman" w:eastAsiaTheme="majorEastAsia" w:hAnsi="Times New Roman" w:cs="Times New Roman"/>
          <w:sz w:val="20"/>
          <w:szCs w:val="20"/>
        </w:rPr>
        <w:t xml:space="preserve"> esetében jelentendők</w:t>
      </w:r>
      <w:r>
        <w:rPr>
          <w:rStyle w:val="FootnoteReference"/>
          <w:rFonts w:eastAsiaTheme="majorEastAsia" w:cs="Times New Roman"/>
        </w:rPr>
        <w:footnoteReference w:id="32"/>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896468"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896468" w:rsidRDefault="00B31E50">
            <w:pPr>
              <w:pStyle w:val="P68B1DB1-TableParagraph17"/>
              <w:spacing w:before="108"/>
              <w:ind w:left="85"/>
            </w:pPr>
            <w:r>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896468" w:rsidRDefault="00B31E50">
            <w:pPr>
              <w:pStyle w:val="P68B1DB1-TableParagraph17"/>
              <w:spacing w:before="108"/>
              <w:ind w:left="85"/>
            </w:pPr>
            <w:r>
              <w:t xml:space="preserve">Útmutató </w:t>
            </w:r>
          </w:p>
        </w:tc>
      </w:tr>
      <w:tr w:rsidR="00896468"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896468" w:rsidRDefault="00B31E50">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896468" w:rsidRDefault="00B31E50">
            <w:pPr>
              <w:pStyle w:val="P68B1DB1-TableParagraph73"/>
              <w:spacing w:before="108"/>
              <w:jc w:val="both"/>
            </w:pPr>
            <w:r>
              <w:t>A felhasználó, az FMI, a rendszer típusa és a közvetítő kombinációját jelölő azonosító</w:t>
            </w:r>
          </w:p>
          <w:p w14:paraId="7FE1C8F8" w14:textId="314C2ABF" w:rsidR="00896468" w:rsidRDefault="00B31E50">
            <w:pPr>
              <w:pStyle w:val="P68B1DB1-TableParagraph40"/>
              <w:spacing w:before="108"/>
              <w:jc w:val="both"/>
              <w:rPr>
                <w:b/>
                <w:bCs/>
                <w:i/>
                <w:iCs/>
              </w:rPr>
            </w:pPr>
            <w:r>
              <w:t>Használjon soronként egyetlen azonosítót, amely a felhasználó, az FMI, a rendszertípus és a közvetítő egyedi kombinációjának felel meg. Adott esetben ugyanazt a kombinációnak megfelelő azonosítót kell használni a Z 09.01–Z 09.05 táblákban.</w:t>
            </w:r>
          </w:p>
        </w:tc>
      </w:tr>
      <w:tr w:rsidR="00896468"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896468" w:rsidRDefault="00B31E50">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896468" w:rsidRDefault="00B31E50">
            <w:pPr>
              <w:pStyle w:val="P68B1DB1-TableParagraph73"/>
              <w:spacing w:before="108"/>
              <w:jc w:val="both"/>
            </w:pPr>
            <w:r>
              <w:t>Szegmens</w:t>
            </w:r>
          </w:p>
          <w:p w14:paraId="7FE1C8FC" w14:textId="6D192E0E" w:rsidR="00896468" w:rsidRDefault="00B31E50">
            <w:pPr>
              <w:pStyle w:val="P68B1DB1-TableParagraph40"/>
              <w:spacing w:before="108"/>
              <w:ind w:left="85"/>
              <w:jc w:val="both"/>
              <w:rPr>
                <w:b/>
                <w:bCs/>
                <w:i/>
                <w:iCs/>
                <w:strike/>
              </w:rPr>
            </w:pPr>
            <w:r>
              <w:t>Azok a piaci szegmensek, amelyekben a felhasználó aktív. Szegmensenként egy sor</w:t>
            </w:r>
            <w:r w:rsidR="000A3AF4">
              <w:t>t szükséges kitölteni</w:t>
            </w:r>
            <w:r>
              <w:t xml:space="preserve">. Csak a központi szerződő felekre vonatkozóan kell adatot szolgáltatni. </w:t>
            </w:r>
          </w:p>
        </w:tc>
      </w:tr>
      <w:tr w:rsidR="00896468"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896468" w:rsidRDefault="00B31E50">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1F1E7002" w:rsidR="00896468" w:rsidRDefault="00B31E50">
            <w:pPr>
              <w:pStyle w:val="P68B1DB1-TableParagraph73"/>
              <w:spacing w:before="108"/>
              <w:jc w:val="both"/>
            </w:pPr>
            <w:r>
              <w:t xml:space="preserve">Hozzájárulás a </w:t>
            </w:r>
            <w:r w:rsidR="000A3AF4">
              <w:t>garanciaalap</w:t>
            </w:r>
            <w:r>
              <w:t>hoz</w:t>
            </w:r>
          </w:p>
          <w:p w14:paraId="7FE1C900" w14:textId="77777777" w:rsidR="00896468" w:rsidRDefault="00B31E50">
            <w:pPr>
              <w:pStyle w:val="P68B1DB1-TableParagraph40"/>
              <w:spacing w:before="108"/>
              <w:jc w:val="both"/>
            </w:pPr>
            <w:r>
              <w:t xml:space="preserve">Hozzájárulás a garanciaalaphoz. Az éves átlagos összeg. </w:t>
            </w:r>
          </w:p>
          <w:p w14:paraId="7FE1C901" w14:textId="77777777" w:rsidR="00896468" w:rsidRDefault="00B31E50">
            <w:pPr>
              <w:pStyle w:val="P68B1DB1-TableParagraph40"/>
              <w:spacing w:before="108"/>
              <w:ind w:left="85"/>
              <w:jc w:val="both"/>
              <w:rPr>
                <w:b/>
                <w:bCs/>
                <w:i/>
                <w:iCs/>
              </w:rPr>
            </w:pPr>
            <w:r>
              <w:t>Csak a központi szerződő felekre vonatkozóan kell adatot szolgáltatni.</w:t>
            </w:r>
          </w:p>
        </w:tc>
      </w:tr>
      <w:tr w:rsidR="00896468"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896468" w:rsidRDefault="00B31E50">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896468" w:rsidRDefault="00B31E50">
            <w:pPr>
              <w:pStyle w:val="P68B1DB1-TableParagraph73"/>
              <w:spacing w:before="108"/>
              <w:jc w:val="both"/>
              <w:rPr>
                <w:bCs/>
              </w:rPr>
            </w:pPr>
            <w:r>
              <w:t>Saját és ügyfélszámlák alapletétje</w:t>
            </w:r>
          </w:p>
          <w:p w14:paraId="7FE1C905" w14:textId="6DBBC9E6" w:rsidR="00896468" w:rsidRDefault="00B31E50">
            <w:pPr>
              <w:pStyle w:val="P68B1DB1-TableParagraph40"/>
              <w:spacing w:before="108"/>
              <w:ind w:left="85"/>
              <w:jc w:val="both"/>
              <w:rPr>
                <w:b/>
              </w:rPr>
            </w:pPr>
            <w:r>
              <w:t xml:space="preserve">Nyújtott alapletét, </w:t>
            </w:r>
            <w:r w:rsidR="009D41CA">
              <w:t>saját</w:t>
            </w:r>
            <w:r>
              <w:t>- és ügyfélszámlák szerinti bontásban. Az éves átlagos összeg. Csak a központi szerződő felekre vonatkozóan kell adatot szolgáltatni. A 0050. oszlop tartalmazza mind a gyűjtő-, mind az egyedi ügyfélszámla-értékeket.</w:t>
            </w:r>
          </w:p>
        </w:tc>
      </w:tr>
      <w:tr w:rsidR="00896468"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896468" w:rsidRDefault="00B31E50">
            <w:pPr>
              <w:pStyle w:val="P68B1DB1-Normal31"/>
            </w:pPr>
            <w:r>
              <w:lastRenderedPageBreak/>
              <w:t>0060–0070</w:t>
            </w:r>
          </w:p>
        </w:tc>
        <w:tc>
          <w:tcPr>
            <w:tcW w:w="7832" w:type="dxa"/>
            <w:tcBorders>
              <w:top w:val="single" w:sz="8" w:space="0" w:color="auto"/>
              <w:left w:val="single" w:sz="8" w:space="0" w:color="auto"/>
              <w:bottom w:val="single" w:sz="8" w:space="0" w:color="auto"/>
            </w:tcBorders>
            <w:vAlign w:val="bottom"/>
          </w:tcPr>
          <w:p w14:paraId="7FE1C908" w14:textId="583D8034" w:rsidR="00896468" w:rsidRDefault="00B31E50">
            <w:pPr>
              <w:pStyle w:val="P68B1DB1-TableParagraph73"/>
              <w:spacing w:before="108"/>
              <w:ind w:left="85"/>
              <w:jc w:val="both"/>
            </w:pPr>
            <w:r>
              <w:t>A saját</w:t>
            </w:r>
            <w:r w:rsidR="009D41CA">
              <w:t>-</w:t>
            </w:r>
            <w:r>
              <w:t>és ügyfélszámlákon lévő pozíciók értéke</w:t>
            </w:r>
          </w:p>
          <w:p w14:paraId="7FE1C909" w14:textId="3F63FE4B" w:rsidR="00896468" w:rsidRDefault="00B31E50">
            <w:pPr>
              <w:pStyle w:val="P68B1DB1-TableParagraph40"/>
              <w:spacing w:before="108"/>
              <w:ind w:left="85"/>
              <w:jc w:val="both"/>
            </w:pPr>
            <w:r>
              <w:t xml:space="preserve">Csak a központi szerződő felekre és a </w:t>
            </w:r>
            <w:r w:rsidR="000A3AF4">
              <w:t xml:space="preserve">(nemzetközi) </w:t>
            </w:r>
            <w:r>
              <w:t>központi értéktárakra vonatkozóan kell adatot szolgáltatni. A 0070-es oszlop tartalmazza mind a gyűjtő-, mind az egyedi ügyfélszámla-értékeket.</w:t>
            </w:r>
          </w:p>
          <w:p w14:paraId="7FE1C90A" w14:textId="77777777" w:rsidR="00896468" w:rsidRDefault="00B31E50">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Központi szerződő felek: A központi szerződő feleknél a megfelelő számlatípusokban lévő pozíciók értéke</w:t>
            </w:r>
            <w:r>
              <w:rPr>
                <w:rStyle w:val="FootnoteReference"/>
                <w:rFonts w:ascii="Times New Roman" w:eastAsia="Times New Roman" w:hAnsi="Times New Roman" w:cs="Times New Roman"/>
              </w:rPr>
              <w:footnoteReference w:id="33"/>
            </w:r>
            <w:r>
              <w:rPr>
                <w:rFonts w:ascii="Times New Roman" w:eastAsia="Times New Roman" w:hAnsi="Times New Roman" w:cs="Times New Roman"/>
                <w:sz w:val="20"/>
                <w:szCs w:val="20"/>
              </w:rPr>
              <w:t xml:space="preserve">. </w:t>
            </w:r>
          </w:p>
          <w:p w14:paraId="7FE1C90B" w14:textId="4A6C2A46" w:rsidR="00896468" w:rsidRDefault="000A3AF4">
            <w:pPr>
              <w:pStyle w:val="P68B1DB1-TableParagraph40"/>
              <w:numPr>
                <w:ilvl w:val="0"/>
                <w:numId w:val="249"/>
              </w:numPr>
              <w:spacing w:before="108"/>
              <w:jc w:val="both"/>
            </w:pPr>
            <w:r>
              <w:t xml:space="preserve">(Nemzetközi) </w:t>
            </w:r>
            <w:r w:rsidR="009D41CA">
              <w:t>Központi értéktárak</w:t>
            </w:r>
            <w:r w:rsidR="00B31E50">
              <w:t xml:space="preserve">: A megfelelő számlatípusokban tartott értékpapírok értéke. </w:t>
            </w:r>
          </w:p>
          <w:p w14:paraId="7FE1C90C" w14:textId="77777777" w:rsidR="00896468" w:rsidRDefault="00B31E50">
            <w:pPr>
              <w:pStyle w:val="P68B1DB1-TableParagraph40"/>
              <w:spacing w:before="108"/>
              <w:ind w:left="85"/>
              <w:jc w:val="both"/>
              <w:rPr>
                <w:b/>
              </w:rPr>
            </w:pPr>
            <w:r>
              <w:t xml:space="preserve">Az elszámolási nap végén az előző év átlagértéke. </w:t>
            </w:r>
          </w:p>
        </w:tc>
      </w:tr>
      <w:tr w:rsidR="00896468"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896468" w:rsidRDefault="00B31E50">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896468" w:rsidRDefault="00B31E50">
            <w:pPr>
              <w:pStyle w:val="P68B1DB1-TableParagraph73"/>
              <w:spacing w:before="108"/>
              <w:ind w:left="85"/>
              <w:jc w:val="both"/>
            </w:pPr>
            <w:r>
              <w:t xml:space="preserve">Ügyfelek száma </w:t>
            </w:r>
          </w:p>
          <w:p w14:paraId="7FE1C910" w14:textId="72D1DA49" w:rsidR="00896468" w:rsidRDefault="00B31E50">
            <w:pPr>
              <w:pStyle w:val="P68B1DB1-TableParagraph40"/>
              <w:spacing w:before="108"/>
              <w:ind w:left="85"/>
              <w:jc w:val="both"/>
            </w:pPr>
            <w:r>
              <w:t xml:space="preserve">Csak a központi szerződő felekre és a </w:t>
            </w:r>
            <w:r w:rsidR="00D254D1">
              <w:t xml:space="preserve">(nemzetközi) </w:t>
            </w:r>
            <w:r>
              <w:t xml:space="preserve">központi értéktárakra vonatkozóan kell adatot szolgáltatni. </w:t>
            </w:r>
          </w:p>
          <w:p w14:paraId="7FE1C911" w14:textId="77777777" w:rsidR="00896468" w:rsidRDefault="00B31E50">
            <w:pPr>
              <w:pStyle w:val="P68B1DB1-Heading482"/>
              <w:numPr>
                <w:ilvl w:val="3"/>
                <w:numId w:val="0"/>
              </w:numPr>
              <w:ind w:left="360"/>
              <w:rPr>
                <w:strike/>
                <w:color w:val="D13438"/>
              </w:rPr>
            </w:pPr>
            <w:r>
              <w:t>A különböző ügyfélszámla-típusokban szereplő ügyfelek száma összesen.</w:t>
            </w:r>
          </w:p>
        </w:tc>
      </w:tr>
      <w:tr w:rsidR="00896468"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896468" w:rsidRDefault="00B31E50">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0ABB0E9C" w:rsidR="00896468" w:rsidRDefault="00B31E50">
            <w:pPr>
              <w:pStyle w:val="P68B1DB1-TableParagraph73"/>
              <w:spacing w:before="108"/>
              <w:ind w:left="85"/>
              <w:jc w:val="both"/>
            </w:pPr>
            <w:r>
              <w:t>A saját</w:t>
            </w:r>
            <w:r w:rsidR="009D41CA">
              <w:t>-</w:t>
            </w:r>
            <w:r>
              <w:t>és ügyfélszámlákon végrehajtott ügyletek száma</w:t>
            </w:r>
          </w:p>
          <w:p w14:paraId="7FE1C915" w14:textId="77777777" w:rsidR="00896468" w:rsidRDefault="00B31E50">
            <w:pPr>
              <w:pStyle w:val="P68B1DB1-Heading482"/>
              <w:numPr>
                <w:ilvl w:val="3"/>
                <w:numId w:val="0"/>
              </w:numPr>
              <w:ind w:left="360"/>
              <w:rPr>
                <w:strike/>
                <w:color w:val="D13438"/>
                <w:u w:val="single"/>
              </w:rPr>
            </w:pPr>
            <w:r>
              <w:t xml:space="preserve">Az adott számlatípusokra vonatkozóan az év során végrehajtott ügyletek teljes száma. </w:t>
            </w:r>
          </w:p>
        </w:tc>
      </w:tr>
      <w:tr w:rsidR="00896468"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896468" w:rsidRDefault="00B31E50">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452C3A42" w:rsidR="00896468" w:rsidRDefault="00B31E50">
            <w:pPr>
              <w:pStyle w:val="P68B1DB1-TableParagraph73"/>
              <w:spacing w:before="108"/>
              <w:ind w:left="85"/>
              <w:jc w:val="both"/>
            </w:pPr>
            <w:r>
              <w:t>A saját</w:t>
            </w:r>
            <w:r w:rsidR="00D770F3">
              <w:t>-</w:t>
            </w:r>
            <w:r>
              <w:t>és ügyfélszámlákon végrehajtott ügyletek értéke</w:t>
            </w:r>
          </w:p>
          <w:p w14:paraId="7FE1C919" w14:textId="4CC3C9AC" w:rsidR="00896468" w:rsidRDefault="00B31E50">
            <w:pPr>
              <w:pStyle w:val="P68B1DB1-TableParagraph40"/>
              <w:spacing w:before="108"/>
              <w:ind w:left="85"/>
              <w:jc w:val="both"/>
            </w:pPr>
            <w:r>
              <w:t xml:space="preserve">Az ügyletek értéke a jelentési évben a megfelelő </w:t>
            </w:r>
            <w:r w:rsidR="00D254D1">
              <w:t>számlatípusok kapcsán</w:t>
            </w:r>
            <w:r>
              <w:t xml:space="preserve">. A 0130-as oszlop tartalmazza mind a gyűjtő-, mind az elkülönített ügyfélszámla-értékeket. </w:t>
            </w:r>
          </w:p>
          <w:p w14:paraId="7FE1C91A" w14:textId="6FE91337" w:rsidR="00896468" w:rsidRDefault="00B31E5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D254D1">
              <w:rPr>
                <w:rFonts w:ascii="Times New Roman" w:eastAsia="Times New Roman" w:hAnsi="Times New Roman" w:cs="Times New Roman"/>
                <w:sz w:val="20"/>
                <w:szCs w:val="20"/>
              </w:rPr>
              <w:t>fizetési rendszerek</w:t>
            </w:r>
            <w:r>
              <w:rPr>
                <w:rFonts w:ascii="Times New Roman" w:eastAsia="Times New Roman" w:hAnsi="Times New Roman" w:cs="Times New Roman"/>
                <w:sz w:val="20"/>
                <w:szCs w:val="20"/>
              </w:rPr>
              <w:t xml:space="preserve">re, </w:t>
            </w:r>
            <w:r w:rsidR="00D254D1">
              <w:rPr>
                <w:rFonts w:ascii="Times New Roman" w:eastAsia="Times New Roman" w:hAnsi="Times New Roman" w:cs="Times New Roman"/>
                <w:sz w:val="20"/>
                <w:szCs w:val="20"/>
              </w:rPr>
              <w:t>központi szerződő felekre</w:t>
            </w:r>
            <w:r>
              <w:rPr>
                <w:rFonts w:ascii="Times New Roman" w:eastAsia="Times New Roman" w:hAnsi="Times New Roman" w:cs="Times New Roman"/>
                <w:sz w:val="20"/>
                <w:szCs w:val="20"/>
              </w:rPr>
              <w:t>, (</w:t>
            </w:r>
            <w:r w:rsidR="00D254D1">
              <w:rPr>
                <w:rFonts w:ascii="Times New Roman" w:eastAsia="Times New Roman" w:hAnsi="Times New Roman" w:cs="Times New Roman"/>
                <w:sz w:val="20"/>
                <w:szCs w:val="20"/>
              </w:rPr>
              <w:t>Nemzetközi</w:t>
            </w:r>
            <w:r>
              <w:rPr>
                <w:rFonts w:ascii="Times New Roman" w:eastAsia="Times New Roman" w:hAnsi="Times New Roman" w:cs="Times New Roman"/>
                <w:sz w:val="20"/>
                <w:szCs w:val="20"/>
              </w:rPr>
              <w:t>)</w:t>
            </w:r>
            <w:r w:rsidR="00D254D1">
              <w:rPr>
                <w:rFonts w:ascii="Times New Roman" w:eastAsia="Times New Roman" w:hAnsi="Times New Roman" w:cs="Times New Roman"/>
                <w:sz w:val="20"/>
                <w:szCs w:val="20"/>
              </w:rPr>
              <w:t xml:space="preserve"> központi értéktárakra</w:t>
            </w:r>
            <w:r>
              <w:rPr>
                <w:rFonts w:ascii="Times New Roman" w:eastAsia="Times New Roman" w:hAnsi="Times New Roman" w:cs="Times New Roman"/>
                <w:sz w:val="20"/>
                <w:szCs w:val="20"/>
              </w:rPr>
              <w:t xml:space="preserve"> vonatkozó jelentés</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w:t>
            </w:r>
          </w:p>
          <w:p w14:paraId="7FE1C91B" w14:textId="5B9326E8" w:rsidR="00896468" w:rsidRDefault="00D254D1">
            <w:pPr>
              <w:pStyle w:val="P68B1DB1-TableParagraph40"/>
              <w:numPr>
                <w:ilvl w:val="0"/>
                <w:numId w:val="250"/>
              </w:numPr>
              <w:spacing w:before="108"/>
              <w:jc w:val="both"/>
            </w:pPr>
            <w:r>
              <w:t>Fizetési rendszerek</w:t>
            </w:r>
            <w:r w:rsidR="00B31E50">
              <w:t>: Küldött műveletek értéke.</w:t>
            </w:r>
          </w:p>
          <w:p w14:paraId="7FE1C91C" w14:textId="542F537D" w:rsidR="00896468" w:rsidRDefault="00B31E50">
            <w:pPr>
              <w:pStyle w:val="P68B1DB1-TableParagraph40"/>
              <w:numPr>
                <w:ilvl w:val="0"/>
                <w:numId w:val="250"/>
              </w:numPr>
              <w:spacing w:before="108"/>
              <w:jc w:val="both"/>
            </w:pPr>
            <w:r>
              <w:t>Központi szerződő felek: Az év során végrehajtott ügyletek összértéke. Központi szerződő fél – származtatott ügyletek</w:t>
            </w:r>
            <w:r w:rsidR="00D254D1">
              <w:t xml:space="preserve"> esetén</w:t>
            </w:r>
            <w:r>
              <w:t>:</w:t>
            </w:r>
          </w:p>
          <w:p w14:paraId="7FE1C91D" w14:textId="77777777" w:rsidR="00896468" w:rsidRDefault="00B31E50">
            <w:pPr>
              <w:pStyle w:val="P68B1DB1-TableParagraph40"/>
              <w:numPr>
                <w:ilvl w:val="1"/>
                <w:numId w:val="250"/>
              </w:numPr>
              <w:spacing w:before="108"/>
              <w:jc w:val="both"/>
            </w:pPr>
            <w:r>
              <w:t>Opciók = kötési ár;</w:t>
            </w:r>
          </w:p>
          <w:p w14:paraId="7FE1C91E" w14:textId="28D21A1B" w:rsidR="00896468" w:rsidRDefault="00B31E50">
            <w:pPr>
              <w:pStyle w:val="P68B1DB1-TableParagraph40"/>
              <w:numPr>
                <w:ilvl w:val="1"/>
                <w:numId w:val="250"/>
              </w:numPr>
              <w:spacing w:before="108"/>
              <w:jc w:val="both"/>
            </w:pPr>
            <w:r>
              <w:t>Határidős ügyletek</w:t>
            </w:r>
            <w:r w:rsidR="00D254D1">
              <w:t>/futures</w:t>
            </w:r>
            <w:r>
              <w:t xml:space="preserve"> = az alapul szolgáló eszköz értéke az ügylet időpontjában, vagy ha van fiktív alapul szolgáló eszköz, a határidős ügyletek piaci ára az ügylet időpontjában.</w:t>
            </w:r>
          </w:p>
          <w:p w14:paraId="7FE1C91F" w14:textId="77777777" w:rsidR="00896468" w:rsidRDefault="00B31E50">
            <w:pPr>
              <w:pStyle w:val="P68B1DB1-TableParagraph40"/>
              <w:numPr>
                <w:ilvl w:val="1"/>
                <w:numId w:val="250"/>
              </w:numPr>
              <w:spacing w:before="108"/>
              <w:jc w:val="both"/>
            </w:pPr>
            <w:r>
              <w:t>Swapügyletek = az év végén fennálló ügyletek teljes piaci értéke.</w:t>
            </w:r>
          </w:p>
          <w:p w14:paraId="7FE1C920" w14:textId="37486AEC" w:rsidR="00896468" w:rsidRDefault="00D254D1">
            <w:pPr>
              <w:pStyle w:val="P68B1DB1-TableParagraph40"/>
              <w:numPr>
                <w:ilvl w:val="0"/>
                <w:numId w:val="250"/>
              </w:numPr>
              <w:spacing w:before="108"/>
              <w:jc w:val="both"/>
              <w:rPr>
                <w:strike/>
                <w:color w:val="D13438"/>
                <w:u w:val="single"/>
              </w:rPr>
            </w:pPr>
            <w:r>
              <w:t>(Nemzetközi) központi értéktárak</w:t>
            </w:r>
            <w:r w:rsidR="00B31E50">
              <w:t xml:space="preserve">: A szállítási utasítások összértéke. </w:t>
            </w:r>
          </w:p>
        </w:tc>
      </w:tr>
      <w:tr w:rsidR="00896468"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896468" w:rsidRDefault="00B31E50">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03AB500" w:rsidR="00896468" w:rsidRDefault="00B31E50">
            <w:pPr>
              <w:pStyle w:val="P68B1DB1-TableParagraph73"/>
              <w:spacing w:before="108" w:after="120"/>
              <w:ind w:left="85"/>
              <w:jc w:val="both"/>
            </w:pPr>
            <w:r>
              <w:t xml:space="preserve">Kumulált </w:t>
            </w:r>
            <w:r w:rsidR="00FB4FF4">
              <w:t>névérték</w:t>
            </w:r>
          </w:p>
          <w:p w14:paraId="7FE1C924" w14:textId="7EC30D17" w:rsidR="00896468" w:rsidRDefault="00B31E50">
            <w:pPr>
              <w:pStyle w:val="P68B1DB1-TableParagraph40"/>
              <w:spacing w:before="108"/>
              <w:ind w:left="85"/>
              <w:jc w:val="both"/>
            </w:pPr>
            <w:r>
              <w:t xml:space="preserve">Az év során végrehajtott ügyletek </w:t>
            </w:r>
            <w:r w:rsidR="00FB4FF4">
              <w:t>névértékeinek összege</w:t>
            </w:r>
            <w:r>
              <w:t xml:space="preserve"> mind a </w:t>
            </w:r>
            <w:r w:rsidR="00C8175A">
              <w:t>saját</w:t>
            </w:r>
            <w:r>
              <w:t xml:space="preserve">, mind az ügyfélszámlák esetében. </w:t>
            </w:r>
            <w:r w:rsidR="00FB4FF4">
              <w:t>M</w:t>
            </w:r>
            <w:r>
              <w:t xml:space="preserve">illiárd EUR-ban </w:t>
            </w:r>
            <w:r w:rsidR="00FB4FF4">
              <w:t>jelentsék</w:t>
            </w:r>
            <w:r>
              <w:t xml:space="preserve">. </w:t>
            </w:r>
          </w:p>
          <w:p w14:paraId="7FE1C925" w14:textId="1BDA1515" w:rsidR="00896468" w:rsidRDefault="00B31E50">
            <w:pPr>
              <w:pStyle w:val="P68B1DB1-Heading482"/>
              <w:numPr>
                <w:ilvl w:val="3"/>
                <w:numId w:val="0"/>
              </w:numPr>
              <w:ind w:left="360"/>
              <w:rPr>
                <w:strike/>
                <w:color w:val="D13438"/>
                <w:u w:val="single"/>
              </w:rPr>
            </w:pPr>
            <w:r>
              <w:t xml:space="preserve">Csak a </w:t>
            </w:r>
            <w:r w:rsidR="00FB4FF4">
              <w:t xml:space="preserve">központi szerződő fél </w:t>
            </w:r>
            <w:r>
              <w:t>-derivatívák esetében.</w:t>
            </w:r>
          </w:p>
        </w:tc>
      </w:tr>
      <w:tr w:rsidR="00896468"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896468" w:rsidRDefault="00B31E50">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896468" w:rsidRDefault="00B31E50">
            <w:pPr>
              <w:pStyle w:val="P68B1DB1-TableParagraph73"/>
              <w:spacing w:before="108"/>
              <w:ind w:left="85"/>
              <w:jc w:val="both"/>
            </w:pPr>
            <w:r>
              <w:t>Hitelkeret</w:t>
            </w:r>
          </w:p>
          <w:p w14:paraId="7FE1C929" w14:textId="56791BD2" w:rsidR="00896468" w:rsidRDefault="00FB4FF4">
            <w:pPr>
              <w:pStyle w:val="P68B1DB1-Heading482"/>
              <w:numPr>
                <w:ilvl w:val="3"/>
                <w:numId w:val="0"/>
              </w:numPr>
              <w:ind w:left="360"/>
              <w:rPr>
                <w:strike/>
                <w:color w:val="D13438"/>
                <w:u w:val="single"/>
              </w:rPr>
            </w:pPr>
            <w:r>
              <w:t>K</w:t>
            </w:r>
            <w:r w:rsidR="00B31E50">
              <w:t>özvetlen hozzáférés esetén</w:t>
            </w:r>
            <w:r>
              <w:t xml:space="preserve"> a rendszer által</w:t>
            </w:r>
            <w:r w:rsidR="00B31E50">
              <w:t xml:space="preserve">, illetve közvetett hozzáférés esetén a közvetítő vagy más likviditásszolgáltató által nyújtott lekötött vagy le nem kötött hitelkeret. Nyilvánosságra nem hozott összegek esetében a maximális éves felhasználás. </w:t>
            </w:r>
          </w:p>
        </w:tc>
      </w:tr>
      <w:tr w:rsidR="00896468"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896468" w:rsidRDefault="00B31E50">
            <w:pPr>
              <w:pStyle w:val="P68B1DB1-Normal31"/>
              <w:rPr>
                <w:strike/>
              </w:rPr>
            </w:pPr>
            <w:r>
              <w:lastRenderedPageBreak/>
              <w:t>0160</w:t>
            </w:r>
          </w:p>
        </w:tc>
        <w:tc>
          <w:tcPr>
            <w:tcW w:w="7832" w:type="dxa"/>
            <w:tcBorders>
              <w:top w:val="single" w:sz="8" w:space="0" w:color="auto"/>
              <w:left w:val="single" w:sz="8" w:space="0" w:color="auto"/>
              <w:bottom w:val="single" w:sz="8" w:space="0" w:color="auto"/>
            </w:tcBorders>
            <w:vAlign w:val="bottom"/>
          </w:tcPr>
          <w:p w14:paraId="7FE1C92C" w14:textId="77777777" w:rsidR="00896468" w:rsidRDefault="00B31E50">
            <w:pPr>
              <w:pStyle w:val="P68B1DB1-TableParagraph73"/>
              <w:spacing w:before="108"/>
              <w:ind w:left="85"/>
              <w:jc w:val="both"/>
            </w:pPr>
            <w:r>
              <w:t>A likviditási vagy biztosítéki követelmények csúcsértéke</w:t>
            </w:r>
          </w:p>
          <w:p w14:paraId="7FE1C92D" w14:textId="48E58DC8" w:rsidR="00896468" w:rsidRDefault="00B31E50">
            <w:pPr>
              <w:pStyle w:val="P68B1DB1-TableParagraph40"/>
              <w:spacing w:before="108"/>
              <w:ind w:left="85"/>
              <w:jc w:val="both"/>
            </w:pPr>
            <w:r>
              <w:t xml:space="preserve">Csak </w:t>
            </w:r>
            <w:r w:rsidR="00AB3B27">
              <w:t>fizetési rendszerek</w:t>
            </w:r>
            <w:r>
              <w:t>re, a (</w:t>
            </w:r>
            <w:r w:rsidR="00AB3B27">
              <w:t>nemzetközi</w:t>
            </w:r>
            <w:r>
              <w:t>)</w:t>
            </w:r>
            <w:r w:rsidR="00AB3B27">
              <w:t xml:space="preserve"> központi értéktárakra</w:t>
            </w:r>
            <w:r>
              <w:t xml:space="preserve"> és adott esetben a központi szerződő felekre vonatkozóan kell adatot szolgáltatni. Csúcsérték az előző évben.</w:t>
            </w:r>
          </w:p>
          <w:p w14:paraId="7FE1C92E" w14:textId="3AEFF2AD" w:rsidR="00896468" w:rsidRDefault="00AB3B27">
            <w:pPr>
              <w:pStyle w:val="P68B1DB1-TableParagraph40"/>
              <w:numPr>
                <w:ilvl w:val="0"/>
                <w:numId w:val="251"/>
              </w:numPr>
              <w:spacing w:before="108"/>
              <w:jc w:val="both"/>
            </w:pPr>
            <w:r w:rsidRPr="00AB3B27">
              <w:t>(</w:t>
            </w:r>
            <w:r>
              <w:t>N</w:t>
            </w:r>
            <w:r w:rsidRPr="00AB3B27">
              <w:t>emzetközi) központi értéktárak</w:t>
            </w:r>
            <w:r w:rsidRPr="00AB3B27" w:rsidDel="00AB3B27">
              <w:t xml:space="preserve"> </w:t>
            </w:r>
            <w:r w:rsidR="00B31E50">
              <w:t xml:space="preserve">és </w:t>
            </w:r>
            <w:r>
              <w:t xml:space="preserve">fizetési rendszerek </w:t>
            </w:r>
            <w:r w:rsidR="00B31E50">
              <w:t xml:space="preserve">esetében: a hitelkeret-használat csúcsértéke.  </w:t>
            </w:r>
          </w:p>
          <w:p w14:paraId="7FE1C92F" w14:textId="77777777" w:rsidR="00896468" w:rsidRDefault="00B31E50">
            <w:pPr>
              <w:pStyle w:val="P68B1DB1-TableParagraph40"/>
              <w:numPr>
                <w:ilvl w:val="0"/>
                <w:numId w:val="251"/>
              </w:numPr>
              <w:spacing w:before="108"/>
              <w:jc w:val="both"/>
            </w:pPr>
            <w:r>
              <w:t>Központi szerződő felek esetében: a letéti követelmények csúcsértéke.</w:t>
            </w:r>
          </w:p>
          <w:p w14:paraId="7FE1C930" w14:textId="223D9C75" w:rsidR="00896468" w:rsidRDefault="00B31E50">
            <w:pPr>
              <w:pStyle w:val="P68B1DB1-TableParagraph40"/>
              <w:numPr>
                <w:ilvl w:val="0"/>
                <w:numId w:val="251"/>
              </w:numPr>
              <w:spacing w:before="108"/>
              <w:jc w:val="both"/>
              <w:rPr>
                <w:strike/>
                <w:color w:val="D13438"/>
                <w:u w:val="single"/>
              </w:rPr>
            </w:pPr>
            <w:r>
              <w:t xml:space="preserve">Közvetett hozzáférések esetében: a közvetítő által igényelt </w:t>
            </w:r>
            <w:r w:rsidR="00AB3B27">
              <w:t xml:space="preserve">legmagasabb </w:t>
            </w:r>
            <w:r>
              <w:t>finanszírozás.</w:t>
            </w:r>
          </w:p>
        </w:tc>
      </w:tr>
      <w:tr w:rsidR="00896468"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896468" w:rsidRDefault="00B31E50">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896468" w:rsidRDefault="00B31E50">
            <w:pPr>
              <w:pStyle w:val="P68B1DB1-TableParagraph73"/>
              <w:spacing w:before="108"/>
              <w:ind w:left="85"/>
              <w:jc w:val="both"/>
            </w:pPr>
            <w:r>
              <w:t>Becsült további likviditási vagy biztosítéki követelmények stresszhelyzetben</w:t>
            </w:r>
          </w:p>
          <w:p w14:paraId="7FE1C934" w14:textId="16041565" w:rsidR="00896468" w:rsidRDefault="00B31E50">
            <w:pPr>
              <w:pStyle w:val="P68B1DB1-Heading482"/>
              <w:numPr>
                <w:ilvl w:val="3"/>
                <w:numId w:val="0"/>
              </w:numPr>
              <w:ind w:left="360"/>
              <w:rPr>
                <w:strike/>
                <w:color w:val="D13438"/>
                <w:u w:val="single"/>
              </w:rPr>
            </w:pPr>
            <w:r>
              <w:t xml:space="preserve">A 0160-as oszlopban szereplő csúcskövetelményt meghaladó potenciális további likviditás vagy biztosíték becslése, amellyel a felhasználó súlyos stresszhelyzetben szembesülhet. </w:t>
            </w:r>
          </w:p>
        </w:tc>
      </w:tr>
    </w:tbl>
    <w:p w14:paraId="7FE1C936" w14:textId="77777777" w:rsidR="00896468" w:rsidRDefault="00896468">
      <w:pPr>
        <w:pStyle w:val="Instructionsberschrift2"/>
        <w:ind w:left="357"/>
        <w:rPr>
          <w:rFonts w:ascii="Times New Roman" w:eastAsia="Calibri" w:hAnsi="Times New Roman" w:cs="Times New Roman"/>
          <w:szCs w:val="20"/>
        </w:rPr>
      </w:pPr>
    </w:p>
    <w:p w14:paraId="7FE1C937" w14:textId="30A80487" w:rsidR="00896468" w:rsidRDefault="00B31E50">
      <w:pPr>
        <w:pStyle w:val="P68B1DB1-Instructionsberschrift271"/>
        <w:numPr>
          <w:ilvl w:val="1"/>
          <w:numId w:val="49"/>
        </w:numPr>
        <w:ind w:left="357" w:hanging="357"/>
      </w:pPr>
      <w:bookmarkStart w:id="142" w:name="_Toc210982896"/>
      <w:r>
        <w:t xml:space="preserve">Z 09.04 – </w:t>
      </w:r>
      <w:r w:rsidR="00B279C2" w:rsidRPr="00B279C2">
        <w:t>Pénzügyi piaci infrastrukturális szolgáltatások – Központi szerződő felek –</w:t>
      </w:r>
      <w:r>
        <w:t>Alternatív szolgáltatók (FMI 4)</w:t>
      </w:r>
      <w:bookmarkEnd w:id="142"/>
    </w:p>
    <w:tbl>
      <w:tblPr>
        <w:tblW w:w="0" w:type="auto"/>
        <w:tblInd w:w="135" w:type="dxa"/>
        <w:tblLook w:val="04A0" w:firstRow="1" w:lastRow="0" w:firstColumn="1" w:lastColumn="0" w:noHBand="0" w:noVBand="1"/>
      </w:tblPr>
      <w:tblGrid>
        <w:gridCol w:w="1178"/>
        <w:gridCol w:w="7713"/>
      </w:tblGrid>
      <w:tr w:rsidR="00896468"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896468" w:rsidRDefault="00B31E50">
            <w:pPr>
              <w:pStyle w:val="P68B1DB1-TableParagraph17"/>
              <w:spacing w:before="108"/>
              <w:ind w:left="85"/>
            </w:pPr>
            <w:bookmarkStart w:id="143" w:name="_Toc162265152"/>
            <w:bookmarkStart w:id="144" w:name="_Toc162265682"/>
            <w:bookmarkStart w:id="145" w:name="_Toc162265752"/>
            <w:bookmarkStart w:id="146" w:name="_Toc162266097"/>
            <w:bookmarkStart w:id="147" w:name="_Toc163639558"/>
            <w:bookmarkStart w:id="148" w:name="_Toc162265153"/>
            <w:bookmarkStart w:id="149" w:name="_Toc162265683"/>
            <w:bookmarkStart w:id="150" w:name="_Toc162265753"/>
            <w:bookmarkStart w:id="151" w:name="_Toc162266098"/>
            <w:bookmarkStart w:id="152" w:name="_Toc163639559"/>
            <w:bookmarkStart w:id="153" w:name="_Toc160027996"/>
            <w:bookmarkStart w:id="154" w:name="_Toc160028068"/>
            <w:bookmarkStart w:id="155" w:name="_Toc160028140"/>
            <w:bookmarkStart w:id="156" w:name="_Toc161034556"/>
            <w:bookmarkStart w:id="157" w:name="_Toc162265154"/>
            <w:bookmarkStart w:id="158" w:name="_Toc162265684"/>
            <w:bookmarkStart w:id="159" w:name="_Toc162265754"/>
            <w:bookmarkStart w:id="160" w:name="_Toc162266099"/>
            <w:bookmarkStart w:id="161" w:name="_Toc163639560"/>
            <w:bookmarkStart w:id="162" w:name="_Toc189493010"/>
            <w:bookmarkStart w:id="163" w:name="_Toc192249287"/>
            <w:bookmarkStart w:id="164" w:name="_Toc189493015"/>
            <w:bookmarkStart w:id="165" w:name="_Toc192249292"/>
            <w:bookmarkStart w:id="166" w:name="_Toc189493098"/>
            <w:bookmarkStart w:id="167" w:name="_Toc192249375"/>
            <w:bookmarkStart w:id="168" w:name="_Toc189493105"/>
            <w:bookmarkStart w:id="169" w:name="_Toc192249382"/>
            <w:bookmarkStart w:id="170" w:name="_Toc160027999"/>
            <w:bookmarkStart w:id="171" w:name="_Toc160028071"/>
            <w:bookmarkStart w:id="172" w:name="_Toc160028143"/>
            <w:bookmarkStart w:id="173" w:name="_Toc161034559"/>
            <w:bookmarkStart w:id="174" w:name="_Toc162265157"/>
            <w:bookmarkStart w:id="175" w:name="_Toc162265687"/>
            <w:bookmarkStart w:id="176" w:name="_Toc162265757"/>
            <w:bookmarkStart w:id="177" w:name="_Toc162266102"/>
            <w:bookmarkStart w:id="178" w:name="_Toc163639563"/>
            <w:bookmarkStart w:id="179" w:name="_Toc160028000"/>
            <w:bookmarkStart w:id="180" w:name="_Toc160028072"/>
            <w:bookmarkStart w:id="181" w:name="_Toc160028144"/>
            <w:bookmarkStart w:id="182" w:name="_Toc161034560"/>
            <w:bookmarkStart w:id="183" w:name="_Toc162265158"/>
            <w:bookmarkStart w:id="184" w:name="_Toc162265688"/>
            <w:bookmarkStart w:id="185" w:name="_Toc162265758"/>
            <w:bookmarkStart w:id="186" w:name="_Toc162266103"/>
            <w:bookmarkStart w:id="187" w:name="_Toc163639564"/>
            <w:bookmarkStart w:id="188" w:name="_Toc160028001"/>
            <w:bookmarkStart w:id="189" w:name="_Toc160028073"/>
            <w:bookmarkStart w:id="190" w:name="_Toc160028145"/>
            <w:bookmarkStart w:id="191" w:name="_Toc161034561"/>
            <w:bookmarkStart w:id="192" w:name="_Toc162265159"/>
            <w:bookmarkStart w:id="193" w:name="_Toc162265689"/>
            <w:bookmarkStart w:id="194" w:name="_Toc162265759"/>
            <w:bookmarkStart w:id="195" w:name="_Toc162266104"/>
            <w:bookmarkStart w:id="196" w:name="_Toc163639565"/>
            <w:bookmarkStart w:id="197" w:name="_Toc81454197"/>
            <w:bookmarkStart w:id="198" w:name="_Toc81485512"/>
            <w:bookmarkStart w:id="199" w:name="_Toc81485589"/>
            <w:bookmarkStart w:id="200" w:name="_Toc81485710"/>
            <w:bookmarkStart w:id="201" w:name="_Toc81485994"/>
            <w:bookmarkStart w:id="202" w:name="_Toc160028002"/>
            <w:bookmarkStart w:id="203" w:name="_Toc160028074"/>
            <w:bookmarkStart w:id="204" w:name="_Toc160028146"/>
            <w:bookmarkStart w:id="205" w:name="_Toc161034562"/>
            <w:bookmarkStart w:id="206" w:name="_Toc162265160"/>
            <w:bookmarkStart w:id="207" w:name="_Toc162265690"/>
            <w:bookmarkStart w:id="208" w:name="_Toc162265760"/>
            <w:bookmarkStart w:id="209" w:name="_Toc162266105"/>
            <w:bookmarkStart w:id="210" w:name="_Toc163639566"/>
            <w:bookmarkStart w:id="211" w:name="_Toc81454198"/>
            <w:bookmarkStart w:id="212" w:name="_Toc81485513"/>
            <w:bookmarkStart w:id="213" w:name="_Toc81485590"/>
            <w:bookmarkStart w:id="214" w:name="_Toc81485711"/>
            <w:bookmarkStart w:id="215" w:name="_Toc81485995"/>
            <w:bookmarkStart w:id="216" w:name="_Toc160028003"/>
            <w:bookmarkStart w:id="217" w:name="_Toc160028075"/>
            <w:bookmarkStart w:id="218" w:name="_Toc160028147"/>
            <w:bookmarkStart w:id="219" w:name="_Toc161034563"/>
            <w:bookmarkStart w:id="220" w:name="_Toc162265161"/>
            <w:bookmarkStart w:id="221" w:name="_Toc162265691"/>
            <w:bookmarkStart w:id="222" w:name="_Toc162265761"/>
            <w:bookmarkStart w:id="223" w:name="_Toc162266106"/>
            <w:bookmarkStart w:id="224" w:name="_Toc16363956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t xml:space="preserve">Oszlopok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896468" w:rsidRDefault="00B31E50">
            <w:pPr>
              <w:pStyle w:val="P68B1DB1-TableParagraph17"/>
              <w:spacing w:before="108"/>
              <w:ind w:left="85"/>
            </w:pPr>
            <w:r>
              <w:t xml:space="preserve">Útmutató </w:t>
            </w:r>
          </w:p>
        </w:tc>
      </w:tr>
      <w:tr w:rsidR="00896468"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896468" w:rsidRDefault="00B31E50">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896468" w:rsidRDefault="00B31E50">
            <w:pPr>
              <w:pStyle w:val="P68B1DB1-TableParagraph73"/>
              <w:spacing w:before="108"/>
              <w:ind w:left="85"/>
              <w:jc w:val="both"/>
            </w:pPr>
            <w:r>
              <w:t>A felhasználó, az FMI, a rendszer típusa és a közvetítő kombinációját jelölő azonosító</w:t>
            </w:r>
          </w:p>
          <w:p w14:paraId="7FE1CBEF" w14:textId="2166D4DC" w:rsidR="00896468" w:rsidRDefault="00B31E50">
            <w:pPr>
              <w:pStyle w:val="P68B1DB1-TableParagraph40"/>
              <w:spacing w:before="108"/>
              <w:ind w:left="85"/>
              <w:jc w:val="both"/>
            </w:pPr>
            <w:r>
              <w:t xml:space="preserve">A központi szerződő félnek a Z 09.01 kód 0010. oszlopában megadott azonosítója. </w:t>
            </w:r>
          </w:p>
          <w:p w14:paraId="7FE1CBF2" w14:textId="1D3C1BD8" w:rsidR="00896468" w:rsidRDefault="00B31E50">
            <w:pPr>
              <w:pStyle w:val="P68B1DB1-TableParagraph40"/>
              <w:spacing w:before="108"/>
              <w:ind w:left="85"/>
              <w:jc w:val="both"/>
              <w:rPr>
                <w:b/>
                <w:bCs/>
                <w:i/>
                <w:iCs/>
              </w:rPr>
            </w:pPr>
            <w:r>
              <w:t>Csak a közvetlenül vagy közvetve hozzáférhető központi szerződő felekre vonatkozóan kell adatot szolgáltatni. A</w:t>
            </w:r>
            <w:r w:rsidR="009D1DFF">
              <w:t xml:space="preserve"> központi szerződő felek felé fennálló </w:t>
            </w:r>
            <w:r>
              <w:t>összes hozzáférés bejelentése.</w:t>
            </w:r>
          </w:p>
        </w:tc>
      </w:tr>
      <w:tr w:rsidR="00896468"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896468" w:rsidRDefault="00B31E50">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896468" w:rsidRDefault="00B31E50">
            <w:pPr>
              <w:pStyle w:val="P68B1DB1-TableParagraph73"/>
              <w:spacing w:before="108"/>
              <w:ind w:left="85"/>
              <w:jc w:val="both"/>
              <w:rPr>
                <w:bCs/>
              </w:rPr>
            </w:pPr>
            <w:r>
              <w:t>Terméktípus</w:t>
            </w:r>
          </w:p>
          <w:p w14:paraId="7FE1CBF8" w14:textId="236012E4" w:rsidR="00896468" w:rsidRDefault="00B31E50">
            <w:pPr>
              <w:pStyle w:val="P68B1DB1-TableParagraph40"/>
              <w:spacing w:before="108"/>
              <w:ind w:left="85"/>
              <w:jc w:val="both"/>
              <w:rPr>
                <w:b/>
                <w:bCs/>
                <w:i/>
                <w:iCs/>
              </w:rPr>
            </w:pPr>
            <w:r>
              <w:t xml:space="preserve">Az elszámolási megállapodás hatálya alá tartozó terméktípus. A helyettesíthetőség elemzéséhez szükséges részletesség megfelelő szinten történő jelentése. </w:t>
            </w:r>
          </w:p>
        </w:tc>
      </w:tr>
      <w:tr w:rsidR="00896468"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896468" w:rsidRDefault="00B31E50">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2604DC73" w:rsidR="00896468" w:rsidRDefault="00FA65DC">
            <w:pPr>
              <w:pStyle w:val="P68B1DB1-TableParagraph73"/>
              <w:spacing w:before="108"/>
              <w:ind w:left="85"/>
              <w:jc w:val="both"/>
            </w:pPr>
            <w:r>
              <w:t xml:space="preserve">Helyettesíthetőség </w:t>
            </w:r>
            <w:r w:rsidR="00B31E50">
              <w:t>I/N</w:t>
            </w:r>
          </w:p>
          <w:p w14:paraId="7FE1CBFC" w14:textId="24D3331D" w:rsidR="00896468" w:rsidRDefault="00B31E50">
            <w:pPr>
              <w:pStyle w:val="P68B1DB1-TableParagraph40"/>
              <w:spacing w:before="108"/>
              <w:ind w:left="85"/>
              <w:jc w:val="both"/>
            </w:pPr>
            <w:r>
              <w:t>A felhasználó azon képessége, hogy a Z 09.01 0020. oszlopban szereplő elszámolási szolgáltatót alternatív FMI-vel/közvetítővel váltsa fel, amellyel az adatszolgáltatás időpontjában szerződéses jogviszonyban áll. .</w:t>
            </w:r>
          </w:p>
          <w:p w14:paraId="7FE1CBFE" w14:textId="7FC90370" w:rsidR="00896468" w:rsidRDefault="00B31E50">
            <w:pPr>
              <w:pStyle w:val="P68B1DB1-TableParagraph40"/>
              <w:numPr>
                <w:ilvl w:val="0"/>
                <w:numId w:val="256"/>
              </w:numPr>
              <w:spacing w:before="108"/>
              <w:jc w:val="both"/>
            </w:pPr>
            <w:r>
              <w:t>„Igen”</w:t>
            </w:r>
            <w:r w:rsidR="00FA65DC">
              <w:t xml:space="preserve">, ha a </w:t>
            </w:r>
            <w:r>
              <w:t xml:space="preserve">helyettesítés </w:t>
            </w:r>
            <w:r w:rsidR="00FA65DC">
              <w:t>lehetséges</w:t>
            </w:r>
            <w:r>
              <w:t>.</w:t>
            </w:r>
          </w:p>
          <w:p w14:paraId="7FE1CBFF" w14:textId="719E31EA" w:rsidR="00896468" w:rsidRDefault="00B31E50">
            <w:pPr>
              <w:pStyle w:val="P68B1DB1-TableParagraph40"/>
              <w:numPr>
                <w:ilvl w:val="0"/>
                <w:numId w:val="256"/>
              </w:numPr>
              <w:spacing w:before="108"/>
              <w:jc w:val="both"/>
            </w:pPr>
            <w:r>
              <w:t>„Nem”, ha a helyettesítés nem lehetséges</w:t>
            </w:r>
          </w:p>
          <w:p w14:paraId="7FE1CC02" w14:textId="77777777" w:rsidR="00896468" w:rsidRDefault="00896468">
            <w:pPr>
              <w:pStyle w:val="TableParagraph"/>
              <w:spacing w:before="108"/>
              <w:jc w:val="both"/>
              <w:rPr>
                <w:rFonts w:ascii="Times New Roman" w:eastAsia="Times New Roman" w:hAnsi="Times New Roman" w:cs="Times New Roman"/>
                <w:b/>
                <w:sz w:val="20"/>
                <w:szCs w:val="20"/>
              </w:rPr>
            </w:pPr>
          </w:p>
        </w:tc>
      </w:tr>
      <w:tr w:rsidR="00896468"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896468" w:rsidRDefault="00B31E50">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896468" w:rsidRDefault="00B31E50">
            <w:pPr>
              <w:pStyle w:val="P68B1DB1-TableParagraph73"/>
              <w:spacing w:before="108" w:after="120"/>
              <w:jc w:val="both"/>
              <w:rPr>
                <w:bCs/>
              </w:rPr>
            </w:pPr>
            <w:r>
              <w:t>Alternatív szolgáltató</w:t>
            </w:r>
          </w:p>
          <w:p w14:paraId="7FE1CC06" w14:textId="77777777" w:rsidR="00896468" w:rsidRDefault="00B31E50">
            <w:pPr>
              <w:pStyle w:val="P68B1DB1-Normal31"/>
              <w:spacing w:line="276" w:lineRule="auto"/>
              <w:jc w:val="both"/>
            </w:pPr>
            <w:r>
              <w:t xml:space="preserve">A potenciális helyettesítőként azonosított FMI/közvetítő neve. </w:t>
            </w:r>
          </w:p>
          <w:p w14:paraId="7FE1CC07" w14:textId="5D95E429" w:rsidR="00896468" w:rsidRDefault="00B31E50">
            <w:pPr>
              <w:pStyle w:val="P68B1DB1-TableParagraph40"/>
              <w:spacing w:before="108"/>
              <w:ind w:left="85"/>
              <w:jc w:val="both"/>
              <w:rPr>
                <w:b/>
                <w:bCs/>
              </w:rPr>
            </w:pPr>
            <w:r>
              <w:t xml:space="preserve">Csak akkor kell megadni, ha a Z 09.04 0030-as oszlop </w:t>
            </w:r>
            <w:r w:rsidR="00FA65DC">
              <w:t>I</w:t>
            </w:r>
            <w:r>
              <w:t>gen.</w:t>
            </w:r>
          </w:p>
        </w:tc>
      </w:tr>
      <w:tr w:rsidR="00896468"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896468" w:rsidRDefault="00B31E50">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896468" w:rsidRDefault="00B31E50">
            <w:pPr>
              <w:pStyle w:val="P68B1DB1-TableParagraph73"/>
              <w:spacing w:before="108"/>
              <w:jc w:val="both"/>
              <w:rPr>
                <w:bCs/>
              </w:rPr>
            </w:pPr>
            <w:r>
              <w:t>Alternatív szolgáltató azonosítója</w:t>
            </w:r>
          </w:p>
          <w:p w14:paraId="7FE1CC0B" w14:textId="680AAC78" w:rsidR="00896468" w:rsidRDefault="00B31E50">
            <w:pPr>
              <w:pStyle w:val="P68B1DB1-Normal31"/>
              <w:spacing w:after="120" w:line="276" w:lineRule="auto"/>
              <w:jc w:val="both"/>
              <w:rPr>
                <w:b/>
                <w:bCs/>
              </w:rPr>
            </w:pPr>
            <w:r>
              <w:t>Az alternatív szolgáltató azon felhasználójának, FMI-jének, rendszertípusának és közvetítőjének kombinációját jelölő egyedi azonosító, amellyel a felhasználó a Z 09.01 0010. oszlopban megadottak szerint tartós szerződéses kapcsolatban áll.</w:t>
            </w:r>
            <w:r>
              <w:rPr>
                <w:b/>
              </w:rPr>
              <w:t xml:space="preserve"> </w:t>
            </w:r>
          </w:p>
          <w:p w14:paraId="7FE1CC0C" w14:textId="7C8756E6" w:rsidR="00896468" w:rsidRDefault="00B31E50">
            <w:pPr>
              <w:pStyle w:val="P68B1DB1-TableParagraph40"/>
              <w:spacing w:before="108"/>
              <w:ind w:left="85"/>
              <w:jc w:val="both"/>
              <w:rPr>
                <w:b/>
                <w:bCs/>
              </w:rPr>
            </w:pPr>
            <w:r>
              <w:t>Csak akkor kell megadni, ha a Z 09.04 0030-as oszlop igen.</w:t>
            </w:r>
          </w:p>
        </w:tc>
      </w:tr>
    </w:tbl>
    <w:p w14:paraId="7FE1CECA" w14:textId="77777777" w:rsidR="00896468" w:rsidRDefault="00896468">
      <w:pPr>
        <w:rPr>
          <w:rFonts w:ascii="Times New Roman" w:hAnsi="Times New Roman" w:cs="Times New Roman"/>
          <w:b/>
          <w:color w:val="000000" w:themeColor="text1"/>
          <w:sz w:val="20"/>
          <w:szCs w:val="20"/>
          <w:u w:val="single"/>
        </w:rPr>
      </w:pPr>
      <w:bookmarkStart w:id="225" w:name="_Toc80891744"/>
      <w:bookmarkStart w:id="226" w:name="_Toc81454206"/>
      <w:bookmarkStart w:id="227" w:name="_Toc81485521"/>
      <w:bookmarkStart w:id="228" w:name="_Toc81485598"/>
      <w:bookmarkStart w:id="229" w:name="_Toc81485719"/>
      <w:bookmarkStart w:id="230" w:name="_Toc81486003"/>
      <w:bookmarkStart w:id="231" w:name="_Toc160028011"/>
      <w:bookmarkStart w:id="232" w:name="_Toc160028083"/>
      <w:bookmarkStart w:id="233" w:name="_Toc160028155"/>
      <w:bookmarkStart w:id="234" w:name="_Toc80891746"/>
      <w:bookmarkStart w:id="235" w:name="_Toc81454208"/>
      <w:bookmarkStart w:id="236" w:name="_Toc81485523"/>
      <w:bookmarkStart w:id="237" w:name="_Toc81485600"/>
      <w:bookmarkStart w:id="238" w:name="_Toc81485721"/>
      <w:bookmarkStart w:id="239" w:name="_Toc81486005"/>
      <w:bookmarkStart w:id="240" w:name="_Toc160028013"/>
      <w:bookmarkStart w:id="241" w:name="_Toc160028085"/>
      <w:bookmarkStart w:id="242" w:name="_Toc160028157"/>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FE1CF06" w14:textId="77777777" w:rsidR="00896468" w:rsidRDefault="00896468">
      <w:pPr>
        <w:pStyle w:val="Instructionsberschrift2"/>
        <w:ind w:left="357"/>
        <w:rPr>
          <w:rFonts w:ascii="Times New Roman" w:eastAsia="Calibri" w:hAnsi="Times New Roman" w:cs="Times New Roman"/>
          <w:szCs w:val="20"/>
        </w:rPr>
      </w:pPr>
    </w:p>
    <w:p w14:paraId="7FE1CF07" w14:textId="5A5ED821" w:rsidR="00896468" w:rsidRDefault="00FA65DC">
      <w:pPr>
        <w:pStyle w:val="P68B1DB1-Instructionsberschrift284"/>
        <w:numPr>
          <w:ilvl w:val="1"/>
          <w:numId w:val="49"/>
        </w:numPr>
        <w:spacing w:before="0"/>
        <w:ind w:left="357" w:hanging="357"/>
      </w:pPr>
      <w:bookmarkStart w:id="243" w:name="_Toc210982897"/>
      <w:r>
        <w:t>Kötelezettségek</w:t>
      </w:r>
      <w:r w:rsidR="00B31E50">
        <w:t xml:space="preserve"> elemzése</w:t>
      </w:r>
      <w:bookmarkEnd w:id="243"/>
    </w:p>
    <w:p w14:paraId="7FE1CF08" w14:textId="53CCE3BD" w:rsidR="00896468" w:rsidRDefault="00B31E50">
      <w:pPr>
        <w:pStyle w:val="Instructionsberschrift2"/>
        <w:numPr>
          <w:ilvl w:val="1"/>
          <w:numId w:val="49"/>
        </w:numPr>
        <w:spacing w:before="0"/>
        <w:ind w:left="357" w:hanging="357"/>
        <w:rPr>
          <w:rFonts w:ascii="Times New Roman" w:hAnsi="Times New Roman" w:cs="Times New Roman"/>
        </w:rPr>
      </w:pPr>
      <w:bookmarkStart w:id="244" w:name="_Toc210982898"/>
      <w:r>
        <w:rPr>
          <w:rFonts w:ascii="Times New Roman" w:hAnsi="Times New Roman" w:cs="Times New Roman"/>
          <w:color w:val="000000" w:themeColor="text1"/>
        </w:rPr>
        <w:t>Z 11.00 Csoporton belüli kötelezettségek</w:t>
      </w:r>
      <w:r>
        <w:rPr>
          <w:rFonts w:ascii="Times New Roman" w:eastAsia="Calibri" w:hAnsi="Times New Roman" w:cs="Times New Roman"/>
          <w:szCs w:val="20"/>
        </w:rPr>
        <w:t xml:space="preserve"> (LIAB-G-1)</w:t>
      </w:r>
      <w:bookmarkEnd w:id="244"/>
    </w:p>
    <w:p w14:paraId="7FE1CF0A" w14:textId="69A86E79" w:rsidR="00896468" w:rsidRDefault="00B31E50">
      <w:pPr>
        <w:pStyle w:val="P68B1DB1-Numberedtitlelevel385"/>
      </w:pPr>
      <w:bookmarkStart w:id="245" w:name="_Toc81454213"/>
      <w:r>
        <w:t>Általános megjegyzések</w:t>
      </w:r>
    </w:p>
    <w:p w14:paraId="7FE1CF0B" w14:textId="3051448A" w:rsidR="00896468" w:rsidRDefault="00B31E50">
      <w:pPr>
        <w:pStyle w:val="P68B1DB1-InstructionsText26"/>
        <w:numPr>
          <w:ilvl w:val="2"/>
          <w:numId w:val="209"/>
        </w:numPr>
        <w:spacing w:before="0"/>
        <w:ind w:left="1276"/>
        <w:rPr>
          <w:rFonts w:eastAsiaTheme="majorEastAsia"/>
        </w:rPr>
      </w:pPr>
      <w:r>
        <w:t>Ez a táblázat a csoporton belüli kötelezettségekre vonatkozó információkat tartalmazza az összes szavatoló</w:t>
      </w:r>
      <w:r w:rsidR="00082480">
        <w:t xml:space="preserve"> </w:t>
      </w:r>
      <w:r>
        <w:t>tőkére és kötelezettségre vonatkozóan.</w:t>
      </w:r>
    </w:p>
    <w:p w14:paraId="7FE1CF0C" w14:textId="4049DE4D" w:rsidR="00896468" w:rsidRDefault="00B31E50">
      <w:pPr>
        <w:pStyle w:val="P68B1DB1-InstructionsText26"/>
        <w:numPr>
          <w:ilvl w:val="2"/>
          <w:numId w:val="209"/>
        </w:numPr>
        <w:spacing w:before="0"/>
        <w:ind w:left="1276"/>
        <w:rPr>
          <w:rFonts w:eastAsiaTheme="majorEastAsia"/>
        </w:rPr>
      </w:pPr>
      <w:r>
        <w:t>Csoporton belülinek minősülnek azok a szervezetek, amelyek – a Z02.00 tábla 0100-as oszlopának meghatározásával összhangban – a végső anyavállalat számviteli konszolidációjának hatókörébe tartoznak. Következésképpen ezeket a kötelezettségeket a Z 12.00–Z 17.00 fülön nem kell feltüntetni, kivéve a Z. 15.00 Származtatott ügyleteket (lásd alább).</w:t>
      </w:r>
    </w:p>
    <w:p w14:paraId="7FE1CF0D" w14:textId="170B6ABA" w:rsidR="00896468" w:rsidRDefault="00B31E50">
      <w:pPr>
        <w:pStyle w:val="P68B1DB1-InstructionsText26"/>
        <w:numPr>
          <w:ilvl w:val="2"/>
          <w:numId w:val="209"/>
        </w:numPr>
        <w:spacing w:before="0"/>
        <w:ind w:left="1276"/>
        <w:rPr>
          <w:rFonts w:eastAsiaTheme="majorEastAsia"/>
        </w:rPr>
      </w:pPr>
      <w:r>
        <w:t>A származtatott ügyletek sajátos jellegűek, és nem a Z 11.00 alatt, hanem mindig a Z 15.00 mezőben kell jelenteni őket.</w:t>
      </w:r>
    </w:p>
    <w:p w14:paraId="7FE1CF0E" w14:textId="18AE2C5B" w:rsidR="00896468" w:rsidRDefault="00B31E50">
      <w:pPr>
        <w:pStyle w:val="P68B1DB1-InstructionsText26"/>
        <w:numPr>
          <w:ilvl w:val="2"/>
          <w:numId w:val="209"/>
        </w:numPr>
        <w:spacing w:before="0"/>
        <w:ind w:left="1276"/>
        <w:rPr>
          <w:rFonts w:eastAsiaTheme="majorEastAsia"/>
        </w:rPr>
      </w:pPr>
      <w:r>
        <w:t>A számviteli konszolidáció körébe tartozó szervezetekkel (beleértve a konszolidáció körébe tartozó különleges célú gazdasági egységeket is) szemben kibocsátott valamennyi kötelezettséget a Z 11.00 táblában kell feltüntetni, mind a szanálás alá vonható csoporton belül, mind azon kívül. E táblázat alkalmazásában a kötelezettségeket ügylet alapon kell jelenteni, azaz minden egyes ügyletet külön sorban kell jelenteni. Az ügyleteket azonban több sorban kell jelenteni, ha azok különböző kielégítési sorrendben szerepelnek.</w:t>
      </w:r>
    </w:p>
    <w:p w14:paraId="7FE1CF0F" w14:textId="77777777" w:rsidR="00896468" w:rsidRDefault="00B31E50">
      <w:pPr>
        <w:pStyle w:val="P68B1DB1-Numberedtitlelevel372"/>
      </w:pPr>
      <w:r>
        <w:t>A táblák egyes részeire vonatkozó útmutatások</w:t>
      </w:r>
    </w:p>
    <w:tbl>
      <w:tblPr>
        <w:tblW w:w="0" w:type="auto"/>
        <w:tblLook w:val="01E0" w:firstRow="1" w:lastRow="1" w:firstColumn="1" w:lastColumn="1" w:noHBand="0" w:noVBand="0"/>
      </w:tblPr>
      <w:tblGrid>
        <w:gridCol w:w="1244"/>
        <w:gridCol w:w="7717"/>
        <w:gridCol w:w="65"/>
      </w:tblGrid>
      <w:tr w:rsidR="00896468"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896468" w:rsidRDefault="00B31E50">
            <w:pPr>
              <w:pStyle w:val="P68B1DB1-TableParagraph17"/>
              <w:spacing w:before="108"/>
              <w:ind w:left="85"/>
            </w:pPr>
            <w:r>
              <w:t xml:space="preserve">Oszlopok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896468" w:rsidRDefault="00B31E50">
            <w:pPr>
              <w:pStyle w:val="P68B1DB1-TableParagraph17"/>
              <w:spacing w:before="108"/>
              <w:ind w:left="85" w:right="1"/>
            </w:pPr>
            <w:r>
              <w:t>Útmutató</w:t>
            </w:r>
          </w:p>
        </w:tc>
      </w:tr>
      <w:tr w:rsidR="00896468"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896468" w:rsidRDefault="00B31E50">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896468" w:rsidRDefault="00B31E50">
            <w:pPr>
              <w:pStyle w:val="P68B1DB1-TableParagraph40"/>
              <w:spacing w:before="108"/>
              <w:ind w:left="85"/>
              <w:jc w:val="both"/>
              <w:rPr>
                <w:b/>
                <w:bCs/>
              </w:rPr>
            </w:pPr>
            <w:r>
              <w:t xml:space="preserve"> </w:t>
            </w:r>
            <w:r>
              <w:rPr>
                <w:b/>
              </w:rPr>
              <w:t>SORSZÁM</w:t>
            </w:r>
          </w:p>
          <w:p w14:paraId="7FE1CF17" w14:textId="77777777" w:rsidR="00896468" w:rsidRDefault="00B31E50">
            <w:pPr>
              <w:pStyle w:val="P68B1DB1-TableParagraph40"/>
              <w:spacing w:before="108"/>
              <w:ind w:left="85"/>
              <w:jc w:val="both"/>
            </w:pPr>
            <w:r>
              <w:t xml:space="preserve">Egyedi szám/elsődleges kulcs a sorok azonosítására. </w:t>
            </w:r>
          </w:p>
        </w:tc>
      </w:tr>
      <w:tr w:rsidR="00896468"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896468" w:rsidRDefault="00B31E50">
            <w:pPr>
              <w:pStyle w:val="P68B1DB1-Normal31"/>
            </w:pPr>
            <w:bookmarkStart w:id="246" w:name="_Hlk210921868"/>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896468" w:rsidRDefault="00B31E50">
            <w:pPr>
              <w:pStyle w:val="P68B1DB1-TableParagraph40"/>
              <w:spacing w:before="108"/>
              <w:ind w:left="85"/>
              <w:jc w:val="both"/>
              <w:rPr>
                <w:b/>
                <w:bCs/>
              </w:rPr>
            </w:pPr>
            <w:r>
              <w:t xml:space="preserve"> </w:t>
            </w:r>
            <w:r>
              <w:rPr>
                <w:b/>
              </w:rPr>
              <w:t>Sor</w:t>
            </w:r>
          </w:p>
          <w:p w14:paraId="7FE1CF1B" w14:textId="16CAB031" w:rsidR="00896468" w:rsidRDefault="00B31E50">
            <w:pPr>
              <w:pStyle w:val="P68B1DB1-TableParagraph40"/>
              <w:spacing w:before="108"/>
              <w:ind w:left="85"/>
              <w:jc w:val="both"/>
            </w:pPr>
            <w:r>
              <w:t xml:space="preserve">Minden instrumentum esetében meg kell adni a </w:t>
            </w:r>
            <w:r w:rsidR="00E4129A">
              <w:t xml:space="preserve">Z02.00 táblában szereplő </w:t>
            </w:r>
            <w:r>
              <w:t>kötelezettségszerkezet kötelezettségkategóriá</w:t>
            </w:r>
            <w:r w:rsidR="00AC5385">
              <w:t>ját</w:t>
            </w:r>
            <w:r w:rsidR="000431C3">
              <w:t>, az értékek előre meghatározott listájából</w:t>
            </w:r>
            <w:r>
              <w:t>.</w:t>
            </w:r>
          </w:p>
        </w:tc>
      </w:tr>
      <w:tr w:rsidR="00896468"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896468" w:rsidRDefault="00B31E50">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896468" w:rsidRDefault="00B31E50">
            <w:pPr>
              <w:pStyle w:val="P68B1DB1-TableParagraph73"/>
              <w:spacing w:before="108"/>
              <w:ind w:left="85"/>
              <w:jc w:val="both"/>
              <w:rPr>
                <w:bCs/>
              </w:rPr>
            </w:pPr>
            <w:r>
              <w:t xml:space="preserve">Oszlop </w:t>
            </w:r>
          </w:p>
          <w:p w14:paraId="7FE1CF1F" w14:textId="03161FAA" w:rsidR="00896468" w:rsidRDefault="00B31E50">
            <w:pPr>
              <w:pStyle w:val="P68B1DB1-TableParagraph40"/>
              <w:spacing w:before="108"/>
              <w:ind w:left="85"/>
              <w:jc w:val="both"/>
            </w:pPr>
            <w:r>
              <w:t>Minden instrumentum esetében meg kell adni a Z02.00 tábla azon partnerosztályá</w:t>
            </w:r>
            <w:r w:rsidR="00AC5385">
              <w:t>t</w:t>
            </w:r>
            <w:r>
              <w:t xml:space="preserve">, amellyel </w:t>
            </w:r>
            <w:r w:rsidR="00AC5385">
              <w:t xml:space="preserve">szemben </w:t>
            </w:r>
            <w:r>
              <w:t>a kötelezettség</w:t>
            </w:r>
            <w:r w:rsidR="00E4129A">
              <w:t xml:space="preserve"> </w:t>
            </w:r>
            <w:r w:rsidR="00910730">
              <w:t>fennáll</w:t>
            </w:r>
            <w:r>
              <w:t>, az értékek előre meghatározott listájából.</w:t>
            </w:r>
          </w:p>
        </w:tc>
      </w:tr>
      <w:bookmarkEnd w:id="246"/>
      <w:tr w:rsidR="00896468"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896468" w:rsidRDefault="00B31E50">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896468" w:rsidRDefault="00B31E50">
            <w:pPr>
              <w:pStyle w:val="P68B1DB1-TableParagraph73"/>
              <w:spacing w:before="108"/>
              <w:ind w:left="85"/>
              <w:jc w:val="both"/>
              <w:rPr>
                <w:bCs/>
              </w:rPr>
            </w:pPr>
            <w:r>
              <w:t>Kielégítési sorrend</w:t>
            </w:r>
          </w:p>
          <w:p w14:paraId="7FE1CF23" w14:textId="396478FE"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896468" w:rsidRDefault="00B31E50">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896468" w:rsidRDefault="00B31E50">
            <w:pPr>
              <w:pStyle w:val="P68B1DB1-TableParagraph73"/>
              <w:spacing w:before="108"/>
              <w:ind w:left="85"/>
              <w:jc w:val="both"/>
              <w:rPr>
                <w:bCs/>
              </w:rPr>
            </w:pPr>
            <w:r>
              <w:t>Szerződésazonosító</w:t>
            </w:r>
          </w:p>
          <w:p w14:paraId="7FE1CF27" w14:textId="5E827C31" w:rsidR="00896468" w:rsidRDefault="00B31E50">
            <w:pPr>
              <w:pStyle w:val="P68B1DB1-TableParagraph40"/>
              <w:spacing w:before="108"/>
              <w:ind w:left="85"/>
              <w:jc w:val="both"/>
            </w:pPr>
            <w:r>
              <w:t>Az ISIN-kódot, vagy ha az ISIN nem áll rendelkezésre, az instrumentum másik szerződésazonosítóját kell megadni.</w:t>
            </w:r>
          </w:p>
        </w:tc>
      </w:tr>
      <w:tr w:rsidR="00896468"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896468" w:rsidRDefault="00B31E50">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896468" w:rsidRDefault="00B31E50">
            <w:pPr>
              <w:pStyle w:val="P68B1DB1-TableParagraph73"/>
              <w:spacing w:before="108"/>
              <w:ind w:left="85"/>
              <w:jc w:val="both"/>
              <w:rPr>
                <w:bCs/>
              </w:rPr>
            </w:pPr>
            <w:r>
              <w:t>A partner neve</w:t>
            </w:r>
          </w:p>
          <w:p w14:paraId="7FE1CF2B" w14:textId="02C96692" w:rsidR="00896468" w:rsidRDefault="00B31E50">
            <w:pPr>
              <w:pStyle w:val="P68B1DB1-TableParagraph40"/>
              <w:spacing w:before="108"/>
              <w:ind w:left="85"/>
              <w:jc w:val="both"/>
            </w:pPr>
            <w:r>
              <w:t>A kötelezettség szerződő felének neve.</w:t>
            </w:r>
          </w:p>
        </w:tc>
      </w:tr>
      <w:tr w:rsidR="00896468"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896468" w:rsidRDefault="00B31E50">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896468" w:rsidRDefault="00B31E50">
            <w:pPr>
              <w:pStyle w:val="P68B1DB1-TableParagraph73"/>
              <w:spacing w:before="108"/>
              <w:ind w:left="85"/>
              <w:jc w:val="both"/>
              <w:rPr>
                <w:bCs/>
              </w:rPr>
            </w:pPr>
            <w:r>
              <w:t>A partner azonosítója</w:t>
            </w:r>
          </w:p>
          <w:p w14:paraId="7FE1CF2F" w14:textId="0370B028" w:rsidR="00896468" w:rsidRDefault="00B31E50">
            <w:pPr>
              <w:pStyle w:val="P68B1DB1-TableParagraph40"/>
              <w:spacing w:before="108"/>
              <w:ind w:left="85"/>
              <w:jc w:val="both"/>
            </w:pPr>
            <w:r>
              <w:t xml:space="preserve">A partner egyedi LEI-kódja. </w:t>
            </w:r>
            <w:r w:rsidR="00910730">
              <w:t>LEI-kód</w:t>
            </w:r>
            <w:r>
              <w:t xml:space="preserve"> hiányában az EKB monetáris pénzügyi intézményeinek egyedi azonosítója (MPI-azonosító) a hitelintézet RIAD-ban való használatához. Mindkét ilyen azonosító hiányában a belső azonosító használható.</w:t>
            </w:r>
          </w:p>
          <w:p w14:paraId="7FE1CF30" w14:textId="585107E3" w:rsidR="00896468" w:rsidRDefault="00896468">
            <w:pPr>
              <w:pStyle w:val="TableParagraph"/>
              <w:spacing w:before="108"/>
              <w:ind w:left="85"/>
              <w:jc w:val="both"/>
              <w:rPr>
                <w:rFonts w:ascii="Times New Roman" w:eastAsia="Times New Roman" w:hAnsi="Times New Roman" w:cs="Times New Roman"/>
                <w:sz w:val="20"/>
                <w:szCs w:val="20"/>
              </w:rPr>
            </w:pPr>
          </w:p>
        </w:tc>
      </w:tr>
      <w:tr w:rsidR="00896468"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896468" w:rsidRDefault="00B31E50">
            <w:pPr>
              <w:pStyle w:val="P68B1DB1-Normal31"/>
            </w:pPr>
            <w:r>
              <w:lastRenderedPageBreak/>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896468" w:rsidRDefault="00B31E50">
            <w:pPr>
              <w:pStyle w:val="P68B1DB1-TableParagraph73"/>
              <w:spacing w:before="108"/>
              <w:ind w:left="85"/>
              <w:jc w:val="both"/>
              <w:rPr>
                <w:bCs/>
              </w:rPr>
            </w:pPr>
            <w:r>
              <w:t>Azonosítótípus</w:t>
            </w:r>
          </w:p>
          <w:p w14:paraId="7FE1CF34"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896468" w:rsidRDefault="00B31E50">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896468" w:rsidRDefault="00B31E50">
            <w:pPr>
              <w:pStyle w:val="P68B1DB1-TableParagraph73"/>
              <w:spacing w:before="108"/>
              <w:ind w:left="85"/>
              <w:jc w:val="both"/>
              <w:rPr>
                <w:bCs/>
              </w:rPr>
            </w:pPr>
            <w:r>
              <w:t>Kapcsolat a partnerrel</w:t>
            </w:r>
          </w:p>
          <w:p w14:paraId="7FE1CF38" w14:textId="75D4CCF5" w:rsidR="00896468" w:rsidRDefault="00B31E50">
            <w:pPr>
              <w:pStyle w:val="P68B1DB1-TableParagraph40"/>
              <w:spacing w:before="108"/>
              <w:ind w:left="85"/>
              <w:jc w:val="both"/>
            </w:pPr>
            <w:r>
              <w:t xml:space="preserve">Ez a mező a hitelt nyújtó </w:t>
            </w:r>
            <w:r w:rsidR="008C31BE">
              <w:t>szervezet</w:t>
            </w:r>
            <w:r>
              <w:t xml:space="preserve"> és </w:t>
            </w:r>
            <w:r w:rsidR="008C31BE">
              <w:t>az adatszolgáltató szervezet</w:t>
            </w:r>
            <w:r>
              <w:t xml:space="preserve"> kapcsolatát jelöli. </w:t>
            </w:r>
            <w:r w:rsidR="00910730">
              <w:t>Ehhez a mezőhöz a következő értéklista van előirányozva</w:t>
            </w:r>
            <w:r>
              <w:t>: a partner lehet „közvetlen vagy közvetett anyavállalat”, „közvetlen vagy közvetett leányvállalat”, vagy „</w:t>
            </w:r>
            <w:r w:rsidR="008C31BE">
              <w:t>testvérvállalat</w:t>
            </w:r>
            <w:r>
              <w:t>”.</w:t>
            </w:r>
          </w:p>
        </w:tc>
      </w:tr>
      <w:tr w:rsidR="00896468"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896468" w:rsidRDefault="00B31E50">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7FC7D96C" w:rsidR="00896468" w:rsidRDefault="00B31E50">
            <w:pPr>
              <w:pStyle w:val="P68B1DB1-TableParagraph73"/>
              <w:spacing w:before="108"/>
              <w:ind w:left="85"/>
              <w:jc w:val="both"/>
              <w:rPr>
                <w:bCs/>
              </w:rPr>
            </w:pPr>
            <w:r>
              <w:t xml:space="preserve">A </w:t>
            </w:r>
            <w:r w:rsidR="00305A64">
              <w:t xml:space="preserve">kötelezettség </w:t>
            </w:r>
            <w:r>
              <w:t>típusa</w:t>
            </w:r>
          </w:p>
          <w:p w14:paraId="7FE1CF3C" w14:textId="07B04D08" w:rsidR="00896468" w:rsidRDefault="00B31E50">
            <w:pPr>
              <w:pStyle w:val="P68B1DB1-TableParagraph40"/>
              <w:spacing w:before="108"/>
              <w:ind w:left="85"/>
              <w:jc w:val="both"/>
            </w:pPr>
            <w:r>
              <w:t>A Z02.00–c0020 sorban „r0210 – A szanálás alá vonható csoporthoz tartozó más szervezetekkel szembeni kötelezettségek” sorban feltüntetett kötelezettségek esetében tüntesse fel a kötelezettség típusát, ahogyan az a Z02.00 táblában szerepelt volna, ha a kötelezettséget nem tekintették volna kizártnak.</w:t>
            </w:r>
          </w:p>
        </w:tc>
      </w:tr>
      <w:tr w:rsidR="00896468"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896468" w:rsidRDefault="00B31E50">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896468" w:rsidRDefault="00B31E50">
            <w:pPr>
              <w:pStyle w:val="P68B1DB1-TableParagraph73"/>
              <w:spacing w:before="108"/>
              <w:ind w:left="85"/>
              <w:jc w:val="both"/>
              <w:rPr>
                <w:bCs/>
              </w:rPr>
            </w:pPr>
            <w:r>
              <w:t>Irányadó jog</w:t>
            </w:r>
          </w:p>
          <w:p w14:paraId="7FE1CF40" w14:textId="30ECFF58" w:rsidR="00896468" w:rsidRDefault="00B31E50">
            <w:pPr>
              <w:pStyle w:val="P68B1DB1-TableParagraph40"/>
              <w:spacing w:before="108"/>
              <w:ind w:left="85"/>
              <w:jc w:val="both"/>
            </w:pPr>
            <w:r>
              <w:t>Annak az országnak az ISO 3166–1 alpha-2 kódja, amelynek joga a</w:t>
            </w:r>
            <w:r w:rsidR="00910730">
              <w:t>z</w:t>
            </w:r>
            <w:r>
              <w:t xml:space="preserve"> </w:t>
            </w:r>
            <w:r w:rsidR="00910730">
              <w:t xml:space="preserve">eszközre </w:t>
            </w:r>
            <w:r>
              <w:t xml:space="preserve">alkalmazandó (az ISO 3166–2 kódot kell használni, ha a közigazgatási albontás joga alkalmazandó, pl. „US-NY”). Ha a szerződésre egynél több ország joga irányadó, azt az országot kell jelenteni, amelynek joga a leginkább releváns a leírási és átalakítási hatáskörök elismerése szempontjából.  </w:t>
            </w:r>
          </w:p>
        </w:tc>
      </w:tr>
      <w:tr w:rsidR="00896468"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896468" w:rsidRDefault="00B31E50">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896468" w:rsidRDefault="00B31E50">
            <w:pPr>
              <w:pStyle w:val="P68B1DB1-TableParagraph73"/>
              <w:spacing w:before="108"/>
              <w:ind w:left="85"/>
              <w:jc w:val="both"/>
              <w:rPr>
                <w:bCs/>
              </w:rPr>
            </w:pPr>
            <w:r>
              <w:t xml:space="preserve">Harmadik ország joga esetén szerződéses elismerés </w:t>
            </w:r>
          </w:p>
          <w:p w14:paraId="7FE1CF45" w14:textId="6C96EDE3" w:rsidR="00896468" w:rsidRDefault="00B31E50">
            <w:pPr>
              <w:pStyle w:val="P68B1DB1-TableParagraph40"/>
              <w:spacing w:before="108"/>
              <w:ind w:left="85"/>
              <w:jc w:val="both"/>
            </w:pPr>
            <w:r>
              <w:t xml:space="preserve">A hitelezői feltőkésítési hatáskörök elismerésére vonatkozó szerződéses rendelkezések </w:t>
            </w:r>
            <w:r w:rsidR="009447EA">
              <w:t xml:space="preserve">azonosítása </w:t>
            </w:r>
            <w:r>
              <w:t xml:space="preserve">a </w:t>
            </w:r>
            <w:r w:rsidR="009447EA">
              <w:t>BRRD</w:t>
            </w:r>
            <w:r>
              <w:t xml:space="preserve"> 55. cikkével összhangban</w:t>
            </w:r>
            <w:r w:rsidR="009447EA">
              <w:t>:</w:t>
            </w:r>
            <w:r>
              <w:t xml:space="preserve"> </w:t>
            </w:r>
          </w:p>
          <w:p w14:paraId="7FE1CF46" w14:textId="75311952" w:rsidR="00896468" w:rsidRDefault="00B31E50">
            <w:pPr>
              <w:pStyle w:val="P68B1DB1-TableParagraph40"/>
              <w:spacing w:before="108"/>
              <w:ind w:left="85"/>
              <w:jc w:val="both"/>
            </w:pPr>
            <w:r>
              <w:t>„Igen, jogi vélemény alátámaszt</w:t>
            </w:r>
            <w:r w:rsidR="005225C9">
              <w:t>j</w:t>
            </w:r>
            <w:r>
              <w:t>a” = a kötelezettség magában foglal egy hitelezői feltőkésítés elismerésére vonatkozó záradékot a bankok helyreállításáról és szanálásáról szóló irányelv 55. cikkével összhangban, amelyet jogi vélemény támaszt alá;</w:t>
            </w:r>
          </w:p>
          <w:p w14:paraId="7FE1CF47" w14:textId="77777777" w:rsidR="00896468" w:rsidRDefault="00B31E50">
            <w:pPr>
              <w:pStyle w:val="P68B1DB1-TableParagraph40"/>
              <w:spacing w:before="108"/>
              <w:ind w:left="85"/>
              <w:jc w:val="both"/>
            </w:pPr>
            <w:r>
              <w:t>„Igen, jogi vélemény nem támasztja alá” = a kötelezettség magában foglal egy hitelezői feltőkésítés elismerésére vonatkozó záradékot a bankok helyreállításáról és szanálásáról szóló irányelv 55. cikkével összhangban, amelyet jelenleg nem támaszt alá jogi vélemény;</w:t>
            </w:r>
          </w:p>
          <w:p w14:paraId="7FE1CF48" w14:textId="77A5425E" w:rsidR="00896468" w:rsidRDefault="00B31E50">
            <w:pPr>
              <w:pStyle w:val="P68B1DB1-TableParagraph40"/>
              <w:spacing w:before="108"/>
              <w:ind w:left="85"/>
              <w:jc w:val="both"/>
            </w:pPr>
            <w:r>
              <w:t>„Nem” = a kötelezettség nem tartalmaz hitelezői feltőkésítés</w:t>
            </w:r>
            <w:r w:rsidR="009447EA">
              <w:t xml:space="preserve"> elismerésére vonatkozó</w:t>
            </w:r>
            <w:r>
              <w:t xml:space="preserve"> záradékot;</w:t>
            </w:r>
          </w:p>
          <w:p w14:paraId="7FE1CF49" w14:textId="146222DE" w:rsidR="00896468" w:rsidRDefault="009447EA">
            <w:pPr>
              <w:pStyle w:val="P68B1DB1-TableParagraph40"/>
              <w:spacing w:before="108"/>
              <w:ind w:left="85"/>
              <w:jc w:val="both"/>
            </w:pPr>
            <w:r>
              <w:t>„N</w:t>
            </w:r>
            <w:r w:rsidR="00B31E50">
              <w:t>em alkalmazható</w:t>
            </w:r>
            <w:r>
              <w:t>”</w:t>
            </w:r>
            <w:r w:rsidR="00B31E50">
              <w:t>.  előre meghatározott listáról.</w:t>
            </w:r>
          </w:p>
        </w:tc>
      </w:tr>
      <w:tr w:rsidR="00896468" w14:paraId="7FE1CF4E" w14:textId="77777777">
        <w:tc>
          <w:tcPr>
            <w:tcW w:w="1244" w:type="dxa"/>
            <w:vAlign w:val="center"/>
          </w:tcPr>
          <w:p w14:paraId="7FE1CF4B" w14:textId="77777777" w:rsidR="00896468" w:rsidRDefault="00B31E50">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896468" w:rsidRDefault="00B31E50">
            <w:pPr>
              <w:pStyle w:val="P68B1DB1-TableParagraph73"/>
              <w:spacing w:before="108"/>
              <w:ind w:left="85"/>
              <w:jc w:val="both"/>
              <w:rPr>
                <w:bCs/>
              </w:rPr>
            </w:pPr>
            <w:r>
              <w:t xml:space="preserve">Kintlévő tőkeösszeg </w:t>
            </w:r>
          </w:p>
          <w:p w14:paraId="7FE1CF4D" w14:textId="1F7D6035" w:rsidR="00896468" w:rsidRDefault="00B31E50">
            <w:pPr>
              <w:pStyle w:val="P68B1DB1-TableParagraph40"/>
              <w:spacing w:before="108"/>
              <w:ind w:left="85"/>
              <w:jc w:val="both"/>
            </w:pPr>
            <w:r>
              <w:t>A kötelezettség fennálló tőkeösszege.</w:t>
            </w:r>
          </w:p>
        </w:tc>
      </w:tr>
      <w:tr w:rsidR="00896468"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896468" w:rsidRDefault="00B31E50">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896468" w:rsidRDefault="00B31E50">
            <w:pPr>
              <w:pStyle w:val="P68B1DB1-TableParagraph73"/>
              <w:spacing w:before="108"/>
              <w:ind w:left="85"/>
              <w:jc w:val="both"/>
              <w:rPr>
                <w:bCs/>
              </w:rPr>
            </w:pPr>
            <w:r>
              <w:t>Felhalmozott kamat</w:t>
            </w:r>
          </w:p>
          <w:p w14:paraId="7FE1CF51" w14:textId="6BF1C45C" w:rsidR="00896468" w:rsidRDefault="00B31E50">
            <w:pPr>
              <w:pStyle w:val="P68B1DB1-TableParagraph40"/>
              <w:spacing w:before="108"/>
              <w:ind w:left="85"/>
              <w:jc w:val="both"/>
            </w:pPr>
            <w:r>
              <w:t>A kötelezettség fennálló elhatárolt kamata.</w:t>
            </w:r>
          </w:p>
        </w:tc>
      </w:tr>
      <w:tr w:rsidR="00896468"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896468" w:rsidRDefault="00B31E50">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896468" w:rsidRDefault="00B31E50">
            <w:pPr>
              <w:pStyle w:val="P68B1DB1-TableParagraph73"/>
              <w:spacing w:before="108"/>
              <w:ind w:left="85"/>
              <w:jc w:val="both"/>
              <w:rPr>
                <w:bCs/>
              </w:rPr>
            </w:pPr>
            <w:r>
              <w:t>Pénznem</w:t>
            </w:r>
          </w:p>
          <w:p w14:paraId="7FE1CF55" w14:textId="7419E4E6" w:rsidR="00896468" w:rsidRDefault="00B31E50">
            <w:pPr>
              <w:pStyle w:val="P68B1DB1-TableParagraph40"/>
              <w:spacing w:before="108"/>
              <w:ind w:left="85"/>
              <w:jc w:val="both"/>
            </w:pPr>
            <w:r>
              <w:t>A kötelezettség pénzneme a hárombetűs ISO 4217 kódnak megfelelően.</w:t>
            </w:r>
          </w:p>
        </w:tc>
      </w:tr>
      <w:tr w:rsidR="00896468"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896468" w:rsidRDefault="00B31E50">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13E06935" w:rsidR="00896468" w:rsidRDefault="00B31E50">
            <w:pPr>
              <w:pStyle w:val="P68B1DB1-TableParagraph73"/>
              <w:spacing w:before="108"/>
              <w:ind w:left="85"/>
              <w:jc w:val="both"/>
              <w:rPr>
                <w:bCs/>
              </w:rPr>
            </w:pPr>
            <w:r>
              <w:t>Ki</w:t>
            </w:r>
            <w:r w:rsidR="001F07A7">
              <w:t>bocsátás</w:t>
            </w:r>
            <w:r>
              <w:t xml:space="preserve"> időpontja</w:t>
            </w:r>
          </w:p>
          <w:p w14:paraId="7FE1CF59" w14:textId="77777777" w:rsidR="00896468" w:rsidRDefault="00B31E50">
            <w:pPr>
              <w:pStyle w:val="P68B1DB1-TableParagraph40"/>
              <w:spacing w:before="108"/>
              <w:ind w:left="85"/>
              <w:jc w:val="both"/>
            </w:pPr>
            <w:r>
              <w:t>A kötelezettség eredeti kibocsátásának időpontja. Nettósítási megállapodás hatálya alá tartozó és nettósítási halmazként jelentett értékpapír-finanszírozási ügyletek esetében az adatszolgáltatás időpontja használható a kibocsátás időpontjaként.</w:t>
            </w:r>
          </w:p>
        </w:tc>
      </w:tr>
      <w:tr w:rsidR="00896468"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896468" w:rsidRDefault="00B31E50">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2330BF77" w:rsidR="00896468" w:rsidRDefault="00B31E50">
            <w:pPr>
              <w:pStyle w:val="P68B1DB1-TableParagraph73"/>
              <w:spacing w:before="108"/>
              <w:ind w:left="85"/>
              <w:jc w:val="both"/>
              <w:rPr>
                <w:bCs/>
              </w:rPr>
            </w:pPr>
            <w:r>
              <w:t xml:space="preserve">A legkorábbi </w:t>
            </w:r>
            <w:r w:rsidR="00911DB4">
              <w:t xml:space="preserve">visszaváltás </w:t>
            </w:r>
            <w:r>
              <w:t>időpontja</w:t>
            </w:r>
          </w:p>
          <w:p w14:paraId="7FE1CF5D" w14:textId="202E0E53" w:rsidR="00896468" w:rsidRDefault="00B31E50">
            <w:pPr>
              <w:pStyle w:val="P68B1DB1-TableParagraph40"/>
              <w:spacing w:before="108"/>
              <w:ind w:left="85"/>
              <w:jc w:val="both"/>
            </w:pPr>
            <w:r>
              <w:t xml:space="preserve">Ha a hitelezőnek van lehetősége arra, hogy idő előtti visszafizetést kérjen, vagy a kötelezettség idő előtti visszafizetésének feltételeit szerződés írja elő, adja meg a legkorábbi esemény időpontját. Ha a lejárat előtti visszafizetés a kötelezettségnek csak egy részére vonatkozik (pl. a névérték 50%-ának idő előtti visszafizetése), akkor a kötelezettséget </w:t>
            </w:r>
            <w:r w:rsidR="00911DB4">
              <w:t xml:space="preserve">ossza fel </w:t>
            </w:r>
            <w:r>
              <w:t xml:space="preserve">e részleges lejárat előtti visszaváltási záradék figyelembevétele érdekében. Nettósítási megállapodás </w:t>
            </w:r>
            <w:r>
              <w:lastRenderedPageBreak/>
              <w:t>hatálya alá tartozó és nettósítási halmazként jelentett értékpapír-finanszírozási ügyletek esetében az adatszolgáltatás időpontját követő napot kell használni.</w:t>
            </w:r>
          </w:p>
        </w:tc>
      </w:tr>
      <w:tr w:rsidR="00896468"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896468" w:rsidRDefault="00B31E50">
            <w:pPr>
              <w:pStyle w:val="P68B1DB1-Normal31"/>
            </w:pPr>
            <w:r>
              <w:lastRenderedPageBreak/>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896468" w:rsidRDefault="00B31E50">
            <w:pPr>
              <w:pStyle w:val="P68B1DB1-TableParagraph73"/>
              <w:spacing w:before="108"/>
              <w:ind w:left="85"/>
              <w:jc w:val="both"/>
              <w:rPr>
                <w:bCs/>
              </w:rPr>
            </w:pPr>
            <w:r>
              <w:t>Jogszerű lejárati időpont</w:t>
            </w:r>
          </w:p>
          <w:p w14:paraId="7FE1CF61" w14:textId="6595476F" w:rsidR="00896468" w:rsidRDefault="00B31E50">
            <w:pPr>
              <w:pStyle w:val="P68B1DB1-TableParagraph40"/>
              <w:spacing w:before="108"/>
              <w:ind w:left="85"/>
              <w:jc w:val="both"/>
            </w:pPr>
            <w:r>
              <w:t>A kötelezettség jogi, végső lejáratának időpontja. A lejárat nélküli értékpapírok esetében a „2099–01–31” kódot kell használni.</w:t>
            </w:r>
          </w:p>
          <w:p w14:paraId="7FE1CF62" w14:textId="77777777" w:rsidR="00896468" w:rsidRDefault="00B31E50">
            <w:pPr>
              <w:pStyle w:val="P68B1DB1-TableParagraph40"/>
              <w:spacing w:before="108"/>
              <w:ind w:left="85"/>
              <w:jc w:val="both"/>
            </w:pPr>
            <w:r>
              <w:t>Nettósítási megállapodás hatálya alá tartozó és nettósítási halmazként jelentett értékpapír-finanszírozási ügyletek esetében az adatszolgáltatás időpontját követő napot kell használni.</w:t>
            </w:r>
          </w:p>
        </w:tc>
      </w:tr>
      <w:tr w:rsidR="00896468"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896468" w:rsidRDefault="00B31E50">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1E854AE" w:rsidR="00896468" w:rsidRDefault="00B31E50">
            <w:pPr>
              <w:pStyle w:val="P68B1DB1-TableParagraph73"/>
              <w:spacing w:before="108"/>
              <w:ind w:left="85"/>
              <w:jc w:val="both"/>
              <w:rPr>
                <w:bCs/>
              </w:rPr>
            </w:pPr>
            <w:r>
              <w:t>Zálog, zálogjog vagy biztosíték összege</w:t>
            </w:r>
          </w:p>
          <w:p w14:paraId="7FE1CF66" w14:textId="338AD659" w:rsidR="00896468" w:rsidRDefault="00B31E50">
            <w:pPr>
              <w:pStyle w:val="P68B1DB1-TableParagraph40"/>
              <w:spacing w:before="108"/>
              <w:ind w:left="85"/>
              <w:jc w:val="both"/>
            </w:pPr>
            <w:r>
              <w:t>Amennyiben egy kötelezettséget záloggal, zálogjoggal vagy biztosítékkal fedeznek, ez utóbbi bruttó értékét kell megadni. Ellenkező esetben a fedezetlen kötelezettségek esetében ezt a kategóriát nullaként kell feltüntetni. Ez az összeg határozza meg a fedezett és végső soron a fedezett kötelezettség fedezetlen részét. A több soros tételt biztosító biztosítéki halmazok esetében meg kell határozni a teljes fedezeti arányt, és arányosan kell alkalmazni az e halmaz</w:t>
            </w:r>
            <w:r w:rsidR="00455F21">
              <w:t>ba tartozó valamennyi tételre</w:t>
            </w:r>
            <w:r>
              <w:t>.</w:t>
            </w:r>
          </w:p>
        </w:tc>
      </w:tr>
      <w:tr w:rsidR="00896468"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896468" w:rsidRDefault="00B31E50">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896468" w:rsidRDefault="00B31E50">
            <w:pPr>
              <w:pStyle w:val="P68B1DB1-TableParagraph73"/>
              <w:spacing w:before="108"/>
              <w:ind w:left="85"/>
              <w:jc w:val="both"/>
              <w:rPr>
                <w:bCs/>
              </w:rPr>
            </w:pPr>
            <w:r>
              <w:t>Kezes (adott esetben)</w:t>
            </w:r>
          </w:p>
          <w:p w14:paraId="7FE1CF6A" w14:textId="77777777" w:rsidR="00896468" w:rsidRDefault="00B31E50">
            <w:pPr>
              <w:pStyle w:val="P68B1DB1-TableParagraph40"/>
              <w:spacing w:before="108"/>
              <w:ind w:left="85"/>
              <w:jc w:val="both"/>
            </w:pPr>
            <w:r>
              <w:t>Amennyiben az eszközre garanciát nyújtanak, adja meg a kezes részletes azonosítását (LEI-kód, a kormányzat ISO 3166–1 alpha-2 szerinti országkódja stb.). Ha több kezes van jelen, az összes azonosítót pontosvesszővel elválasztva kell megadni.</w:t>
            </w:r>
          </w:p>
        </w:tc>
      </w:tr>
      <w:tr w:rsidR="00896468"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896468" w:rsidRDefault="00B31E50">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896468" w:rsidRDefault="00B31E50">
            <w:pPr>
              <w:pStyle w:val="P68B1DB1-TableParagraph73"/>
              <w:spacing w:before="108"/>
              <w:ind w:left="85"/>
              <w:jc w:val="both"/>
              <w:rPr>
                <w:bCs/>
              </w:rPr>
            </w:pPr>
            <w:r>
              <w:t>Az MREL elismerhetőségi feltételeinek megfelelő összeg</w:t>
            </w:r>
          </w:p>
          <w:p w14:paraId="7FE1CF6F" w14:textId="38BF2EA3" w:rsidR="00896468" w:rsidRDefault="00B31E50">
            <w:pPr>
              <w:pStyle w:val="P68B1DB1-TableParagraph40"/>
              <w:spacing w:before="108"/>
              <w:ind w:left="85"/>
              <w:jc w:val="both"/>
            </w:pPr>
            <w:r>
              <w:t>A 2014/59/EU irányelv 45. cikkének (1) bekezdésével összhangban meghatározott követelménybe beszámított szavatoló</w:t>
            </w:r>
            <w:r w:rsidR="00082480">
              <w:t xml:space="preserve"> </w:t>
            </w:r>
            <w:r>
              <w:t xml:space="preserve">tőke és leírható, illetve átalakítható kötelezettségek összege. </w:t>
            </w:r>
          </w:p>
        </w:tc>
      </w:tr>
      <w:tr w:rsidR="00896468"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896468" w:rsidRDefault="00B31E50">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0212D7D8" w:rsidR="00896468" w:rsidRDefault="00B31E50">
            <w:pPr>
              <w:pStyle w:val="P68B1DB1-TableParagraph73"/>
              <w:spacing w:before="108"/>
              <w:ind w:left="85"/>
              <w:jc w:val="both"/>
              <w:rPr>
                <w:bCs/>
              </w:rPr>
            </w:pPr>
            <w:r>
              <w:t>Szavatoló</w:t>
            </w:r>
            <w:r w:rsidR="00082480">
              <w:t xml:space="preserve"> </w:t>
            </w:r>
            <w:r>
              <w:t>tőkének való minősítés</w:t>
            </w:r>
          </w:p>
          <w:p w14:paraId="7FE1CF73" w14:textId="3E607001" w:rsidR="00896468" w:rsidRDefault="00B31E50">
            <w:pPr>
              <w:pStyle w:val="P68B1DB1-TableParagraph40"/>
              <w:spacing w:before="108"/>
              <w:ind w:left="85"/>
              <w:jc w:val="both"/>
            </w:pPr>
            <w:r>
              <w:t>Tüntesse fel, hogy az instrumentum szerepel-e a szavatoló</w:t>
            </w:r>
            <w:r w:rsidR="00082480">
              <w:t xml:space="preserve"> </w:t>
            </w:r>
            <w:r>
              <w:t>tőkében, és ha igen, milyen szinten, a kivezetési rendszerre és a szerzett jogokra vonatkozó megállapodásokra vonatkozó információk mellett. Egy előre meghatározott listából az érték lehet „Nem”, „</w:t>
            </w:r>
            <w:r w:rsidR="00C50CB5">
              <w:t>R</w:t>
            </w:r>
            <w:r>
              <w:t>észben AT1, T1 és T2”, „T2 kivezetés alatt”, „Grandfathered T2”, „</w:t>
            </w:r>
            <w:r w:rsidR="00C50CB5">
              <w:t>Teljes mértékben megfelelő</w:t>
            </w:r>
            <w:r>
              <w:t xml:space="preserve"> T2”, „Grandfathered AT1”, „Teljes mértékben megfelelő AT1” vagy „CET1”.</w:t>
            </w:r>
          </w:p>
          <w:p w14:paraId="7FE1CF74" w14:textId="17E81B91" w:rsidR="00896468" w:rsidRDefault="00B31E50">
            <w:pPr>
              <w:pStyle w:val="P68B1DB1-TableParagraph40"/>
              <w:spacing w:before="108"/>
              <w:ind w:left="85"/>
              <w:jc w:val="both"/>
            </w:pPr>
            <w:r>
              <w:t>Az opciók felsorolásában a „fokozatos kivezetés” kifejezés az adott T2 instrumentum lejáratát megelőző 5 éves időszakot jelenti, amelynek során</w:t>
            </w:r>
            <w:r w:rsidR="00C50CB5">
              <w:t xml:space="preserve"> csak arányos elismerés történik</w:t>
            </w:r>
            <w:r>
              <w:t xml:space="preserve"> a lejáratig hátralévő idő alapján. „Szerzett jogok”: bármely, a T2 eszközre alkalmazandó átmeneti intézkedés, amely nem foglalja magában a „fokozatos kivezetést”. E „szerzett jogok” során az elismerés lehet teljes vagy részleges.</w:t>
            </w:r>
          </w:p>
          <w:p w14:paraId="7FE1CF75" w14:textId="77777777" w:rsidR="00896468" w:rsidRDefault="00896468">
            <w:pPr>
              <w:pStyle w:val="TableParagraph"/>
              <w:spacing w:before="108"/>
              <w:ind w:left="85"/>
              <w:jc w:val="both"/>
              <w:rPr>
                <w:rFonts w:ascii="Times New Roman" w:eastAsia="Times New Roman" w:hAnsi="Times New Roman" w:cs="Times New Roman"/>
                <w:sz w:val="20"/>
                <w:szCs w:val="20"/>
              </w:rPr>
            </w:pPr>
          </w:p>
        </w:tc>
      </w:tr>
      <w:tr w:rsidR="00896468"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896468" w:rsidRDefault="00B31E50">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7EF2B5F" w:rsidR="00896468" w:rsidRDefault="00B31E50">
            <w:pPr>
              <w:pStyle w:val="P68B1DB1-TableParagraph73"/>
              <w:spacing w:before="108"/>
              <w:ind w:left="85"/>
              <w:jc w:val="both"/>
              <w:rPr>
                <w:bCs/>
              </w:rPr>
            </w:pPr>
            <w:r>
              <w:t>Szavatoló</w:t>
            </w:r>
            <w:r w:rsidR="00082480">
              <w:t xml:space="preserve"> </w:t>
            </w:r>
            <w:r>
              <w:t>tőkeként elismerhető összeg</w:t>
            </w:r>
          </w:p>
          <w:p w14:paraId="7FE1CF79" w14:textId="1D5FB44E" w:rsidR="00896468" w:rsidRDefault="00B31E50">
            <w:pPr>
              <w:pStyle w:val="P68B1DB1-TableParagraph40"/>
              <w:spacing w:before="108"/>
              <w:ind w:left="85"/>
              <w:jc w:val="both"/>
            </w:pPr>
            <w:r>
              <w:t>A szavatoló</w:t>
            </w:r>
            <w:r w:rsidR="00082480">
              <w:t xml:space="preserve"> </w:t>
            </w:r>
            <w:r>
              <w:t>tőkének minősülő instrumentum összege.</w:t>
            </w:r>
          </w:p>
        </w:tc>
      </w:tr>
    </w:tbl>
    <w:p w14:paraId="7FE1CF7B" w14:textId="77777777" w:rsidR="00896468" w:rsidRDefault="00896468">
      <w:pPr>
        <w:pStyle w:val="Instructionsberschrift2"/>
        <w:ind w:left="357"/>
        <w:rPr>
          <w:rFonts w:ascii="Times New Roman" w:eastAsia="Calibri" w:hAnsi="Times New Roman" w:cs="Times New Roman"/>
          <w:szCs w:val="20"/>
        </w:rPr>
      </w:pPr>
    </w:p>
    <w:p w14:paraId="7FE1CF7C" w14:textId="78CE26C4" w:rsidR="00896468" w:rsidRDefault="00B31E50">
      <w:pPr>
        <w:pStyle w:val="Instructionsberschrift2"/>
        <w:numPr>
          <w:ilvl w:val="1"/>
          <w:numId w:val="49"/>
        </w:numPr>
        <w:spacing w:before="0"/>
        <w:ind w:left="357" w:hanging="357"/>
        <w:rPr>
          <w:rFonts w:ascii="Times New Roman" w:hAnsi="Times New Roman" w:cs="Times New Roman"/>
        </w:rPr>
      </w:pPr>
      <w:bookmarkStart w:id="247" w:name="_Toc210982899"/>
      <w:r>
        <w:rPr>
          <w:rFonts w:ascii="Times New Roman" w:hAnsi="Times New Roman" w:cs="Times New Roman"/>
          <w:color w:val="000000" w:themeColor="text1"/>
        </w:rPr>
        <w:t xml:space="preserve">Z 12.00 – </w:t>
      </w:r>
      <w:r>
        <w:rPr>
          <w:rFonts w:ascii="Times New Roman" w:eastAsia="Cambria" w:hAnsi="Times New Roman" w:cs="Times New Roman"/>
        </w:rPr>
        <w:t>Értékpapírok (beleértve a CET1, AT1 és járulékos tőkeinstrumentumokat; csoporton belüli kivételével)</w:t>
      </w:r>
      <w:bookmarkEnd w:id="245"/>
      <w:r>
        <w:rPr>
          <w:rFonts w:ascii="Times New Roman" w:eastAsia="Cambria" w:hAnsi="Times New Roman" w:cs="Times New Roman"/>
        </w:rPr>
        <w:t xml:space="preserve"> </w:t>
      </w:r>
      <w:r>
        <w:rPr>
          <w:rFonts w:ascii="Times New Roman" w:eastAsia="Calibri" w:hAnsi="Times New Roman" w:cs="Times New Roman"/>
          <w:szCs w:val="20"/>
        </w:rPr>
        <w:t>(LIAB-G-2)</w:t>
      </w:r>
      <w:bookmarkEnd w:id="247"/>
    </w:p>
    <w:p w14:paraId="7FE1CF7D" w14:textId="77777777" w:rsidR="00896468" w:rsidRDefault="00B31E50">
      <w:pPr>
        <w:pStyle w:val="P68B1DB1-Numberedtitlelevel372"/>
      </w:pPr>
      <w:r>
        <w:t>Általános megjegyzések</w:t>
      </w:r>
    </w:p>
    <w:p w14:paraId="7FE1CF7F" w14:textId="088D11E1" w:rsidR="00896468" w:rsidRDefault="00B31E50">
      <w:pPr>
        <w:pStyle w:val="InstructionsText2"/>
        <w:spacing w:before="0"/>
        <w:ind w:left="1134"/>
        <w:rPr>
          <w:rFonts w:ascii="Times New Roman" w:eastAsiaTheme="majorEastAsia" w:hAnsi="Times New Roman" w:cs="Times New Roman"/>
          <w:sz w:val="20"/>
          <w:szCs w:val="20"/>
        </w:rPr>
      </w:pPr>
      <w:r w:rsidRPr="00C46908">
        <w:rPr>
          <w:rStyle w:val="FootnoteReference"/>
          <w:rFonts w:eastAsia="Cambria" w:cs="Times New Roman"/>
          <w:vertAlign w:val="baseline"/>
        </w:rPr>
        <w:t>Az</w:t>
      </w:r>
      <w:r>
        <w:rPr>
          <w:rStyle w:val="FootnoteReference"/>
          <w:rFonts w:eastAsia="Cambria" w:cs="Times New Roman"/>
        </w:rPr>
        <w:t xml:space="preserve"> </w:t>
      </w:r>
      <w:r>
        <w:rPr>
          <w:rFonts w:ascii="Times New Roman" w:eastAsia="Cambria" w:hAnsi="Times New Roman" w:cs="Times New Roman"/>
          <w:sz w:val="20"/>
          <w:szCs w:val="20"/>
        </w:rPr>
        <w:t xml:space="preserve">értékpapír helyettesíthető, átruházható pénzügyi eszköz, amely pénzügyi értéket képvisel, függetlenül annak tényleges sajátosságaitól (pl. ezek az eszközök fedezettek vagy fedezetlenek). Ez </w:t>
      </w:r>
      <w:r>
        <w:rPr>
          <w:rFonts w:ascii="Times New Roman" w:eastAsia="Cambria" w:hAnsi="Times New Roman" w:cs="Times New Roman"/>
          <w:sz w:val="20"/>
          <w:szCs w:val="20"/>
        </w:rPr>
        <w:lastRenderedPageBreak/>
        <w:t>a tábl</w:t>
      </w:r>
      <w:r w:rsidR="00C50CB5">
        <w:rPr>
          <w:rFonts w:ascii="Times New Roman" w:eastAsia="Cambria" w:hAnsi="Times New Roman" w:cs="Times New Roman"/>
          <w:sz w:val="20"/>
          <w:szCs w:val="20"/>
        </w:rPr>
        <w:t>a</w:t>
      </w:r>
      <w:r>
        <w:rPr>
          <w:rFonts w:ascii="Times New Roman" w:eastAsia="Cambria" w:hAnsi="Times New Roman" w:cs="Times New Roman"/>
          <w:sz w:val="20"/>
          <w:szCs w:val="20"/>
        </w:rPr>
        <w:t xml:space="preserve"> a szavatolótőke-instrumentumokat is tartalmazza</w:t>
      </w:r>
      <w:r>
        <w:rPr>
          <w:rStyle w:val="FootnoteReference"/>
          <w:rFonts w:eastAsia="Cambria" w:cs="Times New Roman"/>
        </w:rPr>
        <w:footnoteReference w:id="35"/>
      </w:r>
      <w:r>
        <w:rPr>
          <w:rFonts w:ascii="Times New Roman" w:eastAsia="Cambria" w:hAnsi="Times New Roman" w:cs="Times New Roman"/>
          <w:sz w:val="20"/>
          <w:szCs w:val="20"/>
        </w:rPr>
        <w:t>. A CET1 tőkeinstrumentumok alkalmazásában a részvényeknek a teljes könyv szerinti saját tőkére vonatkozó maradványkövetelését (a Z 02.00-r0511 alatt meghatározottak szerint) instrumentum szinten kell feltüntetni.</w:t>
      </w:r>
    </w:p>
    <w:p w14:paraId="7FE1CF81" w14:textId="262B713C" w:rsidR="00896468" w:rsidRDefault="00B31E50">
      <w:pPr>
        <w:pStyle w:val="P68B1DB1-InstructionsText286"/>
        <w:numPr>
          <w:ilvl w:val="2"/>
          <w:numId w:val="209"/>
        </w:numPr>
        <w:spacing w:before="0"/>
        <w:ind w:left="1134"/>
      </w:pPr>
      <w:r>
        <w:t>Ha a hitelező azonosítója (0210-es oszlop) nem áll rendelkezésre (pl. platformokon forgalmazott eszközök esetében), minden sort összesített szinten kell jelenteni ebben a mezőben.</w:t>
      </w:r>
    </w:p>
    <w:p w14:paraId="7FE1CF83" w14:textId="26F39538" w:rsidR="00896468" w:rsidRDefault="00B31E50">
      <w:pPr>
        <w:pStyle w:val="P68B1DB1-InstructionsText286"/>
        <w:numPr>
          <w:ilvl w:val="2"/>
          <w:numId w:val="209"/>
        </w:numPr>
        <w:spacing w:before="0"/>
        <w:ind w:left="1134"/>
      </w:pPr>
      <w:r>
        <w:t>E tábl</w:t>
      </w:r>
      <w:r w:rsidR="002E01D3">
        <w:t>a</w:t>
      </w:r>
      <w:r>
        <w:t xml:space="preserve"> alkalmazásában a kötelezettségeket sorokban kell feltüntetni a kért mezők által meghatározott részletességi szinten.</w:t>
      </w:r>
    </w:p>
    <w:p w14:paraId="7FE1CF86" w14:textId="77777777" w:rsidR="00896468" w:rsidRDefault="00896468">
      <w:pPr>
        <w:spacing w:line="276" w:lineRule="auto"/>
        <w:rPr>
          <w:rFonts w:ascii="Times New Roman" w:hAnsi="Times New Roman" w:cs="Times New Roman"/>
          <w:sz w:val="20"/>
          <w:szCs w:val="20"/>
        </w:rPr>
      </w:pPr>
    </w:p>
    <w:p w14:paraId="7FE1CF87" w14:textId="77777777" w:rsidR="00896468" w:rsidRDefault="00B31E50">
      <w:pPr>
        <w:pStyle w:val="P68B1DB1-Numberedtitlelevel372"/>
      </w:pPr>
      <w:r>
        <w:t>A táblák egyes részeire vonatkozó útmutatások</w:t>
      </w:r>
    </w:p>
    <w:p w14:paraId="7FE1CF88" w14:textId="77777777" w:rsidR="00896468" w:rsidRDefault="00896468">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896468"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896468" w:rsidRDefault="00B31E50">
            <w:pPr>
              <w:pStyle w:val="P68B1DB1-TableParagraph17"/>
              <w:spacing w:before="108"/>
              <w:ind w:left="85"/>
            </w:pPr>
            <w:bookmarkStart w:id="248" w:name="_Hlk210925250"/>
            <w:r>
              <w:t>Oszlopok</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896468" w:rsidRDefault="00B31E50">
            <w:pPr>
              <w:pStyle w:val="P68B1DB1-TableParagraph17"/>
              <w:spacing w:before="108"/>
              <w:ind w:left="85" w:right="1"/>
            </w:pPr>
            <w:r>
              <w:t>Útmutató</w:t>
            </w:r>
          </w:p>
        </w:tc>
      </w:tr>
      <w:tr w:rsidR="00896468"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896468" w:rsidRDefault="00B31E50">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896468" w:rsidRDefault="00B31E50">
            <w:pPr>
              <w:pStyle w:val="P68B1DB1-TableParagraph40"/>
              <w:spacing w:before="108"/>
              <w:ind w:left="85"/>
              <w:jc w:val="both"/>
              <w:rPr>
                <w:b/>
                <w:bCs/>
              </w:rPr>
            </w:pPr>
            <w:r>
              <w:t xml:space="preserve"> </w:t>
            </w:r>
            <w:r>
              <w:rPr>
                <w:b/>
              </w:rPr>
              <w:t>SORSZÁM</w:t>
            </w:r>
          </w:p>
          <w:p w14:paraId="7FE1CF8E" w14:textId="77777777" w:rsidR="00896468" w:rsidRDefault="00B31E50">
            <w:pPr>
              <w:pStyle w:val="P68B1DB1-TableParagraph40"/>
              <w:spacing w:before="108"/>
              <w:ind w:left="85"/>
              <w:jc w:val="both"/>
            </w:pPr>
            <w:r>
              <w:t>Egyedi szám/elsődleges kulcs a sorok azonosítására.</w:t>
            </w:r>
          </w:p>
        </w:tc>
      </w:tr>
      <w:tr w:rsidR="00896468"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896468" w:rsidRDefault="00B31E50">
            <w:pPr>
              <w:pStyle w:val="P68B1DB1-Normal31"/>
            </w:pPr>
            <w:bookmarkStart w:id="249" w:name="_Hlk210925243"/>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896468" w:rsidRDefault="00B31E50">
            <w:pPr>
              <w:pStyle w:val="P68B1DB1-TableParagraph73"/>
              <w:spacing w:before="108"/>
              <w:ind w:left="85"/>
              <w:jc w:val="both"/>
              <w:rPr>
                <w:bCs/>
              </w:rPr>
            </w:pPr>
            <w:r>
              <w:t>Sor</w:t>
            </w:r>
          </w:p>
          <w:p w14:paraId="7FE1CF92" w14:textId="12A16F50" w:rsidR="00896468" w:rsidRDefault="00B31E50">
            <w:pPr>
              <w:pStyle w:val="P68B1DB1-TableParagraph40"/>
              <w:spacing w:before="108"/>
              <w:ind w:left="85"/>
              <w:jc w:val="both"/>
            </w:pPr>
            <w:r>
              <w:t xml:space="preserve">Minden egyes jelentett sor esetében meg kell adni a Z02.00 </w:t>
            </w:r>
            <w:r w:rsidR="002E01D3">
              <w:t xml:space="preserve">táblában </w:t>
            </w:r>
            <w:r>
              <w:t xml:space="preserve">szereplő </w:t>
            </w:r>
            <w:r w:rsidR="002E01D3">
              <w:t xml:space="preserve">kötelezettségszerkezet </w:t>
            </w:r>
            <w:r>
              <w:t>kötelezettségkategóriá</w:t>
            </w:r>
            <w:r w:rsidR="00AC5385">
              <w:t>ját</w:t>
            </w:r>
            <w:r>
              <w:t xml:space="preserve"> a lejárat szintjén</w:t>
            </w:r>
            <w:r w:rsidR="002E01D3" w:rsidRPr="002E01D3">
              <w:t>, az értékek előre meghatározott listájából.</w:t>
            </w:r>
          </w:p>
        </w:tc>
      </w:tr>
      <w:tr w:rsidR="00896468"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896468" w:rsidRDefault="00B31E50">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896468" w:rsidRDefault="00B31E50">
            <w:pPr>
              <w:pStyle w:val="P68B1DB1-TableParagraph73"/>
              <w:spacing w:before="108"/>
              <w:ind w:left="85"/>
              <w:jc w:val="both"/>
              <w:rPr>
                <w:bCs/>
              </w:rPr>
            </w:pPr>
            <w:r>
              <w:t xml:space="preserve">Oszlop </w:t>
            </w:r>
          </w:p>
          <w:p w14:paraId="036CA630" w14:textId="70A9E975" w:rsidR="00896468" w:rsidRDefault="00B31E50">
            <w:pPr>
              <w:pStyle w:val="P68B1DB1-TableParagraph40"/>
              <w:spacing w:before="108"/>
              <w:ind w:left="85"/>
              <w:jc w:val="both"/>
            </w:pPr>
            <w:r>
              <w:t xml:space="preserve">Minden egyes jelentett sorra vonatkozóan meg kell adni </w:t>
            </w:r>
            <w:r w:rsidR="006433BC" w:rsidRPr="006433BC">
              <w:t xml:space="preserve">a Z02.00 tábla </w:t>
            </w:r>
            <w:r>
              <w:t>azon partnerosztályát, amellyel szemben a kötelezettség fennáll</w:t>
            </w:r>
            <w:r w:rsidR="002E01D3" w:rsidRPr="002E01D3">
              <w:t>, az értékek előre meghatározott listájából.</w:t>
            </w:r>
          </w:p>
          <w:p w14:paraId="7FE1CF96" w14:textId="695FEA84" w:rsidR="006433BC" w:rsidRDefault="006433BC">
            <w:pPr>
              <w:pStyle w:val="P68B1DB1-TableParagraph40"/>
              <w:spacing w:before="108"/>
              <w:ind w:left="85"/>
              <w:jc w:val="both"/>
            </w:pPr>
          </w:p>
        </w:tc>
      </w:tr>
      <w:bookmarkEnd w:id="249"/>
      <w:tr w:rsidR="00896468"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896468" w:rsidRDefault="00B31E50">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896468" w:rsidRDefault="00B31E50">
            <w:pPr>
              <w:pStyle w:val="P68B1DB1-TableParagraph40"/>
              <w:spacing w:before="108"/>
              <w:ind w:left="85"/>
              <w:jc w:val="both"/>
              <w:rPr>
                <w:b/>
                <w:bCs/>
              </w:rPr>
            </w:pPr>
            <w:r>
              <w:t xml:space="preserve"> </w:t>
            </w:r>
            <w:r>
              <w:rPr>
                <w:b/>
              </w:rPr>
              <w:t>Kielégítési sorrend</w:t>
            </w:r>
          </w:p>
          <w:p w14:paraId="7FE1CF9A" w14:textId="33768518" w:rsidR="00896468" w:rsidRDefault="00B31E50">
            <w:pPr>
              <w:pStyle w:val="P68B1DB1-TableParagraph40"/>
              <w:spacing w:before="108"/>
              <w:ind w:left="85"/>
              <w:jc w:val="both"/>
            </w:pPr>
            <w:r>
              <w:t xml:space="preserve">A kielégítési ranghely az adott joghatóság szanálási hatósága által közzétett kielégítési sorrendben elfoglalt valamely ranghely. </w:t>
            </w:r>
          </w:p>
        </w:tc>
      </w:tr>
      <w:tr w:rsidR="00896468"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896468" w:rsidRDefault="00B31E50">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896468" w:rsidRDefault="00B31E50">
            <w:pPr>
              <w:pStyle w:val="P68B1DB1-TableParagraph73"/>
              <w:spacing w:before="108"/>
              <w:ind w:left="85"/>
              <w:jc w:val="both"/>
              <w:rPr>
                <w:bCs/>
              </w:rPr>
            </w:pPr>
            <w:r>
              <w:t>ISIN</w:t>
            </w:r>
          </w:p>
          <w:p w14:paraId="7FE1CF9E" w14:textId="02C8C7D3" w:rsidR="00896468" w:rsidRDefault="00B31E50">
            <w:pPr>
              <w:pStyle w:val="P68B1DB1-TableParagraph40"/>
              <w:spacing w:before="108"/>
              <w:ind w:left="85"/>
              <w:jc w:val="both"/>
            </w:pPr>
            <w:r>
              <w:t>Az ISIN-kódot, vagy ha az ISIN nem áll rendelkezésre, az instrumentum másik szerződésazonosítóját kell megadni.</w:t>
            </w:r>
          </w:p>
        </w:tc>
      </w:tr>
      <w:tr w:rsidR="00896468"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896468" w:rsidRDefault="00B31E50">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896468" w:rsidRDefault="00B31E50">
            <w:pPr>
              <w:pStyle w:val="P68B1DB1-TableParagraph73"/>
              <w:spacing w:before="108"/>
              <w:ind w:left="85"/>
              <w:jc w:val="both"/>
              <w:rPr>
                <w:bCs/>
              </w:rPr>
            </w:pPr>
            <w:r>
              <w:t xml:space="preserve">Instrumentumfajta  </w:t>
            </w:r>
          </w:p>
          <w:p w14:paraId="7FE1CFA2" w14:textId="416E3280" w:rsidR="00896468" w:rsidRDefault="00B31E50">
            <w:pPr>
              <w:pStyle w:val="P68B1DB1-TableParagraph40"/>
              <w:spacing w:before="108"/>
              <w:ind w:left="85"/>
              <w:jc w:val="both"/>
            </w:pPr>
            <w:r>
              <w:t>A</w:t>
            </w:r>
            <w:r w:rsidR="005225C9">
              <w:t>z eszköz</w:t>
            </w:r>
            <w:r>
              <w:t xml:space="preserve">típusának azonosítása, vagy </w:t>
            </w:r>
          </w:p>
          <w:p w14:paraId="7FE1CFA3" w14:textId="77777777" w:rsidR="00896468" w:rsidRDefault="00B31E50">
            <w:pPr>
              <w:pStyle w:val="P68B1DB1-TableParagraph40"/>
              <w:spacing w:before="108"/>
              <w:ind w:left="85"/>
              <w:jc w:val="both"/>
            </w:pPr>
            <w:r>
              <w:t>– Bejegyzett kötvény</w:t>
            </w:r>
          </w:p>
          <w:p w14:paraId="7FE1CFA4" w14:textId="7607FD56" w:rsidR="00896468" w:rsidRDefault="006433BC">
            <w:pPr>
              <w:pStyle w:val="P68B1DB1-TableParagraph40"/>
              <w:spacing w:before="108"/>
              <w:ind w:left="85"/>
              <w:jc w:val="both"/>
            </w:pPr>
            <w:r>
              <w:t xml:space="preserve">– </w:t>
            </w:r>
            <w:r w:rsidR="00B31E50">
              <w:t>Bemutatóra szóló kötvény</w:t>
            </w:r>
          </w:p>
          <w:p w14:paraId="7FE1CFA5" w14:textId="77777777" w:rsidR="00896468" w:rsidRDefault="00B31E50">
            <w:pPr>
              <w:pStyle w:val="P68B1DB1-TableParagraph40"/>
              <w:spacing w:before="108"/>
              <w:ind w:left="85"/>
              <w:jc w:val="both"/>
            </w:pPr>
            <w:r>
              <w:t>– Hitelfelvevői kötvényhitel</w:t>
            </w:r>
          </w:p>
          <w:p w14:paraId="7FE1CFA7" w14:textId="3E3D590C" w:rsidR="00896468" w:rsidRDefault="00B31E50">
            <w:pPr>
              <w:pStyle w:val="P68B1DB1-TableParagraph40"/>
              <w:spacing w:before="108"/>
              <w:ind w:left="85"/>
              <w:jc w:val="both"/>
            </w:pPr>
            <w:r>
              <w:t>Letéti igazolás/kereskedelmi papír</w:t>
            </w:r>
          </w:p>
          <w:p w14:paraId="7FE1CFA8" w14:textId="77777777" w:rsidR="00896468" w:rsidRDefault="00B31E50">
            <w:pPr>
              <w:pStyle w:val="P68B1DB1-TableParagraph40"/>
              <w:spacing w:before="108"/>
              <w:ind w:left="85"/>
              <w:jc w:val="both"/>
            </w:pPr>
            <w:r>
              <w:t>Tulajdoni jogcím</w:t>
            </w:r>
          </w:p>
          <w:p w14:paraId="7FE1CFA9" w14:textId="77777777" w:rsidR="00896468" w:rsidRDefault="00B31E50">
            <w:pPr>
              <w:pStyle w:val="P68B1DB1-TableParagraph40"/>
              <w:spacing w:before="108"/>
              <w:ind w:left="85"/>
              <w:jc w:val="both"/>
            </w:pPr>
            <w:r>
              <w:t>Egyéb</w:t>
            </w:r>
          </w:p>
          <w:p w14:paraId="7FE1CFAA" w14:textId="2BCDE67E" w:rsidR="00896468" w:rsidRDefault="00B31E50">
            <w:pPr>
              <w:pStyle w:val="P68B1DB1-TableParagraph40"/>
              <w:spacing w:before="108"/>
              <w:ind w:left="85"/>
              <w:jc w:val="both"/>
            </w:pPr>
            <w:r>
              <w:t xml:space="preserve"> </w:t>
            </w:r>
          </w:p>
          <w:p w14:paraId="7FE1CFAB" w14:textId="77777777" w:rsidR="00896468" w:rsidRDefault="00B31E50">
            <w:pPr>
              <w:pStyle w:val="P68B1DB1-TableParagraph40"/>
              <w:spacing w:before="108"/>
              <w:ind w:left="85"/>
              <w:jc w:val="both"/>
            </w:pPr>
            <w:r>
              <w:t>előre meghatározott listáról.</w:t>
            </w:r>
          </w:p>
        </w:tc>
      </w:tr>
      <w:tr w:rsidR="00896468"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896468" w:rsidRDefault="00B31E50">
            <w:pPr>
              <w:pStyle w:val="P68B1DB1-Normal31"/>
            </w:pPr>
            <w:r>
              <w:lastRenderedPageBreak/>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896468" w:rsidRDefault="00B31E50">
            <w:pPr>
              <w:pStyle w:val="P68B1DB1-TableParagraph73"/>
              <w:spacing w:before="108"/>
              <w:ind w:left="85"/>
              <w:jc w:val="both"/>
              <w:rPr>
                <w:bCs/>
              </w:rPr>
            </w:pPr>
            <w:r>
              <w:t xml:space="preserve">Irányadó jog  </w:t>
            </w:r>
          </w:p>
          <w:p w14:paraId="7FE1CFAF" w14:textId="3B944239" w:rsidR="00896468" w:rsidRDefault="00B31E50">
            <w:pPr>
              <w:pStyle w:val="P68B1DB1-TableParagraph40"/>
              <w:spacing w:before="108"/>
              <w:ind w:left="85"/>
              <w:jc w:val="both"/>
            </w:pPr>
            <w:r>
              <w:t>Annak az országnak az ISO 3166–1 alpha-2 kódja, amelynek joga a</w:t>
            </w:r>
            <w:r w:rsidR="005225C9">
              <w:t>z eszközre</w:t>
            </w:r>
            <w:r w:rsidR="006433BC">
              <w:t xml:space="preserve"> </w:t>
            </w:r>
            <w:r>
              <w:t xml:space="preserve">alkalmazandó (az ISO 3166–2 kódot kell használni, ha a közigazgatási albontás joga alkalmazandó, pl. „US-NY”). Ha a szerződésre egynél több ország joga irányadó, azt az országot kell jelenteni, amelynek joga a leginkább releváns a leírási és átalakítási hatáskörök elismerése szempontjából.  </w:t>
            </w:r>
          </w:p>
        </w:tc>
      </w:tr>
      <w:tr w:rsidR="00896468"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896468" w:rsidRDefault="00B31E50">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896468" w:rsidRDefault="00B31E50">
            <w:pPr>
              <w:pStyle w:val="P68B1DB1-TableParagraph73"/>
              <w:spacing w:before="108"/>
              <w:ind w:left="85"/>
              <w:jc w:val="both"/>
              <w:rPr>
                <w:bCs/>
              </w:rPr>
            </w:pPr>
            <w:r>
              <w:t xml:space="preserve">Harmadik ország joga esetén szerződéses elismerés </w:t>
            </w:r>
          </w:p>
          <w:p w14:paraId="7FE1CFB3" w14:textId="1A92FF01" w:rsidR="00896468" w:rsidRDefault="00B31E50">
            <w:pPr>
              <w:pStyle w:val="P68B1DB1-TableParagraph40"/>
              <w:spacing w:before="108"/>
              <w:ind w:left="85"/>
              <w:jc w:val="both"/>
            </w:pPr>
            <w:r>
              <w:t xml:space="preserve">A hitelezői feltőkésítési hatáskörök elismerésére vonatkozó szerződéses rendelkezések azonosítása a </w:t>
            </w:r>
            <w:r w:rsidR="006433BC">
              <w:t>BRRD</w:t>
            </w:r>
            <w:r>
              <w:t xml:space="preserve"> 55. cikkével összhangban:</w:t>
            </w:r>
          </w:p>
          <w:p w14:paraId="7FE1CFB4" w14:textId="144D9A4A" w:rsidR="00896468" w:rsidRDefault="00B31E50">
            <w:pPr>
              <w:pStyle w:val="P68B1DB1-TableParagraph40"/>
              <w:spacing w:before="108"/>
              <w:ind w:left="85"/>
              <w:jc w:val="both"/>
            </w:pPr>
            <w:r>
              <w:t>„Igen, jogi vélemény alátámaszt</w:t>
            </w:r>
            <w:r w:rsidR="005225C9">
              <w:t>j</w:t>
            </w:r>
            <w:r>
              <w:t>a” = a kötelezettség magában foglal egy hitelezői feltőkésítés elismerésére vonatkozó záradékot a bankok helyreállításáról és szanálásáról szóló irányelv 55. cikkével összhangban, amelyet jogi vélemény támaszt alá;</w:t>
            </w:r>
          </w:p>
          <w:p w14:paraId="7FE1CFB5" w14:textId="77777777" w:rsidR="00896468" w:rsidRDefault="00B31E50">
            <w:pPr>
              <w:pStyle w:val="P68B1DB1-TableParagraph40"/>
              <w:spacing w:before="108"/>
              <w:ind w:left="85"/>
              <w:jc w:val="both"/>
            </w:pPr>
            <w:r>
              <w:t>„Igen, jogi vélemény nem támasztja alá” = a kötelezettség magában foglal egy hitelezői feltőkésítés elismerésére vonatkozó záradékot a bankok helyreállításáról és szanálásáról szóló irányelv 55. cikkével összhangban, amelyet jelenleg nem támaszt alá jogi vélemény;</w:t>
            </w:r>
          </w:p>
          <w:p w14:paraId="7FE1CFB6" w14:textId="0024C2F5" w:rsidR="00896468" w:rsidRDefault="00B31E50">
            <w:pPr>
              <w:pStyle w:val="P68B1DB1-TableParagraph40"/>
              <w:spacing w:before="108"/>
              <w:ind w:left="85"/>
              <w:jc w:val="both"/>
            </w:pPr>
            <w:r>
              <w:t>„Nem” = a kötelezettség nem tartalmaz hitelezői feltőkésítés</w:t>
            </w:r>
            <w:r w:rsidR="006433BC">
              <w:t xml:space="preserve"> elismerésére vonatkozó</w:t>
            </w:r>
            <w:r>
              <w:t xml:space="preserve"> záradékot;</w:t>
            </w:r>
          </w:p>
          <w:p w14:paraId="7FE1CFB7" w14:textId="58099242" w:rsidR="00896468" w:rsidRDefault="00B31E50">
            <w:pPr>
              <w:pStyle w:val="P68B1DB1-TableParagraph40"/>
              <w:spacing w:before="108"/>
              <w:ind w:left="85"/>
              <w:jc w:val="both"/>
            </w:pPr>
            <w:r>
              <w:t xml:space="preserve">„Nem alkalmazandó”,  </w:t>
            </w:r>
          </w:p>
          <w:p w14:paraId="7FE1CFB8" w14:textId="77777777" w:rsidR="00896468" w:rsidRDefault="00B31E50">
            <w:pPr>
              <w:pStyle w:val="P68B1DB1-TableParagraph40"/>
              <w:spacing w:before="108"/>
              <w:ind w:left="85"/>
              <w:jc w:val="both"/>
            </w:pPr>
            <w:r>
              <w:t>előre meghatározott listáról.</w:t>
            </w:r>
          </w:p>
        </w:tc>
      </w:tr>
      <w:tr w:rsidR="00896468"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896468" w:rsidRDefault="00B31E50">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896468" w:rsidRDefault="00B31E50">
            <w:pPr>
              <w:pStyle w:val="P68B1DB1-TableParagraph73"/>
              <w:spacing w:before="108"/>
              <w:ind w:left="85"/>
              <w:jc w:val="both"/>
              <w:rPr>
                <w:bCs/>
              </w:rPr>
            </w:pPr>
            <w:r>
              <w:t xml:space="preserve">Pénznem </w:t>
            </w:r>
          </w:p>
          <w:p w14:paraId="7FE1CFBC" w14:textId="71E1420D" w:rsidR="00896468" w:rsidRDefault="00B31E50">
            <w:pPr>
              <w:pStyle w:val="P68B1DB1-TableParagraph40"/>
              <w:spacing w:before="108"/>
              <w:ind w:left="85"/>
              <w:jc w:val="both"/>
            </w:pPr>
            <w:r>
              <w:t>A kötelezettség pénzneme a hárombetűs ISO 4217 kódnak megfelelően.</w:t>
            </w:r>
          </w:p>
        </w:tc>
      </w:tr>
      <w:tr w:rsidR="00896468"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896468" w:rsidRDefault="00B31E50">
            <w:pPr>
              <w:pStyle w:val="P68B1DB1-Normal31"/>
            </w:pPr>
            <w:r>
              <w:t>0110</w:t>
            </w:r>
          </w:p>
          <w:p w14:paraId="7FE1CFC3" w14:textId="77777777" w:rsidR="00896468" w:rsidRDefault="00B31E50">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896468" w:rsidRDefault="00B31E50">
            <w:pPr>
              <w:pStyle w:val="P68B1DB1-TableParagraph73"/>
              <w:spacing w:before="108"/>
              <w:ind w:left="85"/>
              <w:jc w:val="both"/>
              <w:rPr>
                <w:bCs/>
              </w:rPr>
            </w:pPr>
            <w:r>
              <w:t xml:space="preserve">Kintlévő tőkeösszeg  </w:t>
            </w:r>
          </w:p>
          <w:p w14:paraId="7FE1CFC5" w14:textId="3E328E9E" w:rsidR="00896468" w:rsidRDefault="00B31E50">
            <w:pPr>
              <w:pStyle w:val="P68B1DB1-TableParagraph40"/>
              <w:spacing w:before="108"/>
              <w:ind w:left="85"/>
              <w:jc w:val="both"/>
            </w:pPr>
            <w:r>
              <w:t xml:space="preserve">A 0210. oszlopban meghatározott partner által tartott instrumentum fennálló tőkeösszege. Ha az ügyfél azért nem áll rendelkezésre, mert a hitelezők nem azonosíthatók, a fennálló tőkeösszegeket a partner figyelmen kívül hagyásával kell csoportosítani. A részvények esetében ez az összeg a Z02.00-r0511-re vonatkozó iránymutatással összhangban magában foglalja a tartalékokat. </w:t>
            </w:r>
          </w:p>
          <w:p w14:paraId="7FE1CFC7" w14:textId="1EFD62D1" w:rsidR="00896468" w:rsidRDefault="00896468">
            <w:pPr>
              <w:pStyle w:val="TableParagraph"/>
              <w:spacing w:before="108"/>
              <w:ind w:left="85"/>
              <w:jc w:val="both"/>
              <w:rPr>
                <w:rFonts w:ascii="Times New Roman" w:eastAsia="Times New Roman" w:hAnsi="Times New Roman" w:cs="Times New Roman"/>
                <w:sz w:val="20"/>
                <w:szCs w:val="20"/>
              </w:rPr>
            </w:pPr>
          </w:p>
        </w:tc>
      </w:tr>
      <w:tr w:rsidR="00896468"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896468" w:rsidRDefault="00B31E50">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896468" w:rsidRDefault="00B31E50">
            <w:pPr>
              <w:pStyle w:val="P68B1DB1-TableParagraph73"/>
              <w:spacing w:before="108"/>
              <w:ind w:left="85"/>
              <w:jc w:val="both"/>
              <w:rPr>
                <w:bCs/>
              </w:rPr>
            </w:pPr>
            <w:r>
              <w:t xml:space="preserve">Felhalmozott kamat </w:t>
            </w:r>
          </w:p>
          <w:p w14:paraId="7FE1CFCB" w14:textId="1D57DBB7" w:rsidR="00896468" w:rsidRDefault="00B31E50">
            <w:pPr>
              <w:pStyle w:val="P68B1DB1-TableParagraph40"/>
              <w:spacing w:before="108"/>
              <w:ind w:left="85"/>
              <w:jc w:val="both"/>
            </w:pPr>
            <w:r>
              <w:t xml:space="preserve">Az instrumentumhoz kapcsolódó </w:t>
            </w:r>
            <w:r w:rsidR="00480AF2">
              <w:t>felhalmozott kamat</w:t>
            </w:r>
            <w:r>
              <w:t>.</w:t>
            </w:r>
          </w:p>
        </w:tc>
      </w:tr>
      <w:tr w:rsidR="00896468"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896468" w:rsidRDefault="00B31E50">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3C1C69A1" w:rsidR="00896468" w:rsidRDefault="00B31E50">
            <w:pPr>
              <w:pStyle w:val="P68B1DB1-TableParagraph73"/>
              <w:spacing w:before="108"/>
              <w:ind w:left="85"/>
              <w:jc w:val="both"/>
              <w:rPr>
                <w:bCs/>
              </w:rPr>
            </w:pPr>
            <w:r>
              <w:t xml:space="preserve">Kamatozás típusa </w:t>
            </w:r>
          </w:p>
          <w:p w14:paraId="7FE1CFCF" w14:textId="743050F3" w:rsidR="00896468" w:rsidRDefault="00B31E50">
            <w:pPr>
              <w:pStyle w:val="P68B1DB1-TableParagraph40"/>
              <w:spacing w:before="108"/>
              <w:ind w:left="85"/>
              <w:jc w:val="both"/>
            </w:pPr>
            <w:r>
              <w:t>A kamatfizetés jelenlegi típusának azonosítása, amely lehet „rögzített kamatszelvény”, „lebegő kamatszelvény”, „Strukturált kamatszelvény” vagy „</w:t>
            </w:r>
            <w:r w:rsidR="006433BC">
              <w:t>Zérókupon</w:t>
            </w:r>
            <w:r>
              <w:t>” egy előre meghatározott listáról.</w:t>
            </w:r>
          </w:p>
        </w:tc>
      </w:tr>
      <w:tr w:rsidR="00896468"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896468" w:rsidRDefault="00B31E50">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7C9E61C0" w:rsidR="00896468" w:rsidRDefault="00B31E50">
            <w:pPr>
              <w:pStyle w:val="P68B1DB1-TableParagraph73"/>
              <w:spacing w:before="108"/>
              <w:ind w:left="85"/>
              <w:jc w:val="both"/>
              <w:rPr>
                <w:bCs/>
              </w:rPr>
            </w:pPr>
            <w:r>
              <w:t>Jelenlegi kamat</w:t>
            </w:r>
            <w:r w:rsidR="00CA0234">
              <w:t>láb</w:t>
            </w:r>
            <w:r>
              <w:t xml:space="preserve"> (%)</w:t>
            </w:r>
          </w:p>
          <w:p w14:paraId="7FE1CFD3" w14:textId="6318FD1B" w:rsidR="00896468" w:rsidRDefault="00B31E50">
            <w:pPr>
              <w:pStyle w:val="P68B1DB1-TableParagraph40"/>
              <w:spacing w:before="108"/>
              <w:ind w:left="85"/>
              <w:jc w:val="both"/>
            </w:pPr>
            <w:r>
              <w:t>Az instrumentumra az adatszolgáltatás időpontjában alkalmazandó kamat</w:t>
            </w:r>
            <w:r w:rsidR="00CA0234">
              <w:t>láb</w:t>
            </w:r>
            <w:r>
              <w:t xml:space="preserve">. </w:t>
            </w:r>
          </w:p>
        </w:tc>
      </w:tr>
      <w:tr w:rsidR="00896468"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896468" w:rsidRDefault="00B31E50">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896468" w:rsidRDefault="00B31E50">
            <w:pPr>
              <w:pStyle w:val="P68B1DB1-TableParagraph73"/>
              <w:spacing w:before="108"/>
              <w:ind w:left="85"/>
              <w:jc w:val="both"/>
              <w:rPr>
                <w:bCs/>
              </w:rPr>
            </w:pPr>
            <w:r>
              <w:t xml:space="preserve">Kibocsátási időpont </w:t>
            </w:r>
          </w:p>
          <w:p w14:paraId="7FE1CFD7" w14:textId="77777777" w:rsidR="00896468" w:rsidRDefault="00B31E50">
            <w:pPr>
              <w:pStyle w:val="P68B1DB1-TableParagraph40"/>
              <w:spacing w:before="108"/>
              <w:ind w:left="85"/>
              <w:jc w:val="both"/>
            </w:pPr>
            <w:r>
              <w:t>Az instrumentum eredeti kibocsátásának dátuma.</w:t>
            </w:r>
          </w:p>
        </w:tc>
      </w:tr>
      <w:tr w:rsidR="00896468"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896468" w:rsidRDefault="00B31E50">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896468" w:rsidRDefault="00B31E50">
            <w:pPr>
              <w:pStyle w:val="P68B1DB1-TableParagraph73"/>
              <w:spacing w:before="108"/>
              <w:ind w:left="85"/>
              <w:jc w:val="both"/>
              <w:rPr>
                <w:bCs/>
              </w:rPr>
            </w:pPr>
            <w:r>
              <w:t xml:space="preserve">Legkorábbi visszaváltási időpont  </w:t>
            </w:r>
          </w:p>
          <w:p w14:paraId="7FE1CFDB" w14:textId="6702356E" w:rsidR="00896468" w:rsidRDefault="00B31E50">
            <w:pPr>
              <w:pStyle w:val="P68B1DB1-TableParagraph40"/>
              <w:spacing w:before="108"/>
              <w:ind w:left="85"/>
              <w:jc w:val="both"/>
            </w:pPr>
            <w:r>
              <w:t xml:space="preserve">Ha az instrumentum birtokosai számára van lehetőség idő előtti </w:t>
            </w:r>
            <w:r w:rsidR="00381E19">
              <w:t xml:space="preserve">visszafizetés </w:t>
            </w:r>
            <w:r>
              <w:t xml:space="preserve">igénylésére, vagy a szerződés előrehozott visszafizetési feltételeket ír elő, </w:t>
            </w:r>
            <w:r w:rsidR="00381E19">
              <w:t xml:space="preserve">adja meg a </w:t>
            </w:r>
            <w:r>
              <w:t>legkorábbi előfordulás időpont</w:t>
            </w:r>
            <w:r w:rsidR="00381E19">
              <w:t>ját</w:t>
            </w:r>
            <w:r>
              <w:t xml:space="preserve">. Amennyiben az ilyen felmondási események nem egy időponthoz, hanem valamely jövőbeli esemény bekövetkeztéhez kapcsolódnak, azt a legkorábbi időpontot kell megadni, amikor az esemény bekövetkezhet. Ha a lejárat előtti visszafizetés a kötelezettségnek csak egy részére vonatkozik (pl. a névérték 50%-ának idő előtti </w:t>
            </w:r>
            <w:r>
              <w:lastRenderedPageBreak/>
              <w:t xml:space="preserve">visszafizetése), akkor </w:t>
            </w:r>
            <w:r w:rsidR="00381E19">
              <w:t xml:space="preserve">ossza fel </w:t>
            </w:r>
            <w:r>
              <w:t>a kötelezettséget e részleges lejárat előtti visszaváltási záradék figyelembevétele érdekében.</w:t>
            </w:r>
          </w:p>
        </w:tc>
      </w:tr>
      <w:tr w:rsidR="00896468"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896468" w:rsidRDefault="00B31E50">
            <w:pPr>
              <w:pStyle w:val="P68B1DB1-Normal31"/>
            </w:pPr>
            <w:r>
              <w:lastRenderedPageBreak/>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896468" w:rsidRDefault="00B31E50">
            <w:pPr>
              <w:pStyle w:val="P68B1DB1-TableParagraph73"/>
              <w:spacing w:before="108"/>
              <w:ind w:left="85"/>
              <w:jc w:val="both"/>
              <w:rPr>
                <w:bCs/>
              </w:rPr>
            </w:pPr>
            <w:r>
              <w:t xml:space="preserve">Jogszerű lejárati időpont </w:t>
            </w:r>
          </w:p>
          <w:p w14:paraId="7FE1CFDF" w14:textId="3157371F" w:rsidR="00896468" w:rsidRDefault="00B31E50">
            <w:pPr>
              <w:pStyle w:val="P68B1DB1-TableParagraph40"/>
              <w:spacing w:before="108"/>
              <w:ind w:left="85"/>
              <w:jc w:val="both"/>
            </w:pPr>
            <w:r>
              <w:t>Az instrumentum jogi, végső lejáratának időpontja. A lejárat nélküli értékpapírok esetében a „2099–01–31” kódot kell használni.</w:t>
            </w:r>
          </w:p>
        </w:tc>
      </w:tr>
      <w:tr w:rsidR="00896468"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896468" w:rsidRDefault="00B31E50">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5AC8B2D2" w:rsidR="00896468" w:rsidRDefault="00B31E50">
            <w:pPr>
              <w:pStyle w:val="P68B1DB1-TableParagraph73"/>
              <w:spacing w:before="108"/>
              <w:ind w:left="85"/>
              <w:jc w:val="both"/>
              <w:rPr>
                <w:bCs/>
              </w:rPr>
            </w:pPr>
            <w:r>
              <w:t xml:space="preserve">Nyilvános/Nem nyilvános </w:t>
            </w:r>
            <w:r w:rsidR="00381E19">
              <w:t>kibocsátás</w:t>
            </w:r>
          </w:p>
          <w:p w14:paraId="7FE1CFE3" w14:textId="19DE8B11" w:rsidR="00896468" w:rsidRDefault="00B31E50">
            <w:pPr>
              <w:pStyle w:val="P68B1DB1-TableParagraph40"/>
              <w:spacing w:before="108"/>
              <w:ind w:left="85"/>
              <w:jc w:val="both"/>
            </w:pPr>
            <w:r>
              <w:t xml:space="preserve">Nyilvános kibocsátás esetén a szervezet az ajánlattételi eljárás konkrét időzítésével nyilvánosságra hozza a kibocsátást. </w:t>
            </w:r>
            <w:r w:rsidR="001745BF">
              <w:t>Ezzel szemben</w:t>
            </w:r>
            <w:r>
              <w:t xml:space="preserve"> a zártkörű kibocsátásról egyéni felek tárgyalnak, akik vagy saját számlájukra </w:t>
            </w:r>
            <w:r w:rsidR="00381E19">
              <w:t xml:space="preserve">vagy </w:t>
            </w:r>
            <w:r>
              <w:t>harmadik személyek javára</w:t>
            </w:r>
            <w:r w:rsidR="00381E19">
              <w:t xml:space="preserve"> járnak el</w:t>
            </w:r>
            <w:r>
              <w:t xml:space="preserve">. Az érték lehet „nyilvános </w:t>
            </w:r>
            <w:r w:rsidR="00DA3403">
              <w:t>kibocsátás</w:t>
            </w:r>
            <w:r>
              <w:t>” vagy „</w:t>
            </w:r>
            <w:r w:rsidR="00DA3403">
              <w:t>nem nyilvános kibocsátás</w:t>
            </w:r>
            <w:r>
              <w:t>” egy előre meghatározott listáról.</w:t>
            </w:r>
          </w:p>
        </w:tc>
      </w:tr>
      <w:tr w:rsidR="00896468"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896468" w:rsidRDefault="00B31E50">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0989DBCD" w:rsidR="00896468" w:rsidRDefault="00DA3403">
            <w:pPr>
              <w:pStyle w:val="P68B1DB1-TableParagraph73"/>
              <w:spacing w:before="108"/>
              <w:ind w:left="85"/>
              <w:jc w:val="both"/>
              <w:rPr>
                <w:bCs/>
              </w:rPr>
            </w:pPr>
            <w:r>
              <w:t xml:space="preserve">Kifizető ügynök </w:t>
            </w:r>
          </w:p>
          <w:p w14:paraId="7FE1CFE7" w14:textId="08C20C09" w:rsidR="00896468" w:rsidRDefault="00B31E50">
            <w:pPr>
              <w:pStyle w:val="P68B1DB1-TableParagraph40"/>
              <w:spacing w:before="108"/>
              <w:ind w:left="85"/>
              <w:jc w:val="both"/>
            </w:pPr>
            <w:r>
              <w:t xml:space="preserve">Az eszköz </w:t>
            </w:r>
            <w:r w:rsidR="00DA3403">
              <w:t xml:space="preserve">kifizető ügynökének </w:t>
            </w:r>
            <w:r>
              <w:t xml:space="preserve">azonosítása a jogalany-azonosító kódjával. A „kifizető ügynök” olyan intézmény, általában befektetési bank, amely pénzeszközöket fogad el az értékpapír kibocsátójától, és szétosztja azokat az értékpapír birtokosainak. A részvények esetében a kifizető </w:t>
            </w:r>
            <w:r w:rsidR="00DA3403">
              <w:t xml:space="preserve">ügynök </w:t>
            </w:r>
            <w:r>
              <w:t>fizet osztalékot a részvényeseknek. Kötvények esetében kamatszelvény-kifizetéseket és tőketörlesztéseket oszt szét a kötvénytulajdonosok között.</w:t>
            </w:r>
          </w:p>
        </w:tc>
      </w:tr>
      <w:tr w:rsidR="00896468"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896468" w:rsidRDefault="00B31E50">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896468" w:rsidRDefault="00B31E50">
            <w:pPr>
              <w:pStyle w:val="P68B1DB1-TableParagraph73"/>
              <w:spacing w:before="108"/>
              <w:ind w:left="85"/>
              <w:jc w:val="both"/>
              <w:rPr>
                <w:bCs/>
              </w:rPr>
            </w:pPr>
            <w:r>
              <w:t xml:space="preserve">Partner azonosító </w:t>
            </w:r>
          </w:p>
          <w:p w14:paraId="7FE1CFEF" w14:textId="1D6B4BBE" w:rsidR="00896468" w:rsidRDefault="00B31E50">
            <w:pPr>
              <w:pStyle w:val="P68B1DB1-TableParagraph40"/>
              <w:spacing w:before="108"/>
              <w:ind w:left="85"/>
              <w:jc w:val="both"/>
            </w:pPr>
            <w:r>
              <w:t xml:space="preserve">Adja meg a hitelező LEI-kódját. </w:t>
            </w:r>
            <w:r w:rsidR="001745BF">
              <w:t>LEI-kód</w:t>
            </w:r>
            <w:r>
              <w:t xml:space="preserve"> hiányában a bankok esetében a RIAD-ban használt EKB monetáris pénzügyi intézményi azonosítót (MPI-azonosító) kell megadni. Kizárólag e két azonosító hiányában </w:t>
            </w:r>
            <w:r w:rsidR="001745BF">
              <w:t xml:space="preserve">jelenítse </w:t>
            </w:r>
            <w:r>
              <w:t>meg a belső azonosítót.</w:t>
            </w:r>
          </w:p>
        </w:tc>
      </w:tr>
      <w:tr w:rsidR="00896468"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896468" w:rsidRDefault="00B31E50">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896468" w:rsidRDefault="00B31E50">
            <w:pPr>
              <w:pStyle w:val="P68B1DB1-TableParagraph73"/>
              <w:spacing w:before="108"/>
              <w:ind w:left="85"/>
              <w:jc w:val="both"/>
              <w:rPr>
                <w:bCs/>
              </w:rPr>
            </w:pPr>
            <w:r>
              <w:t xml:space="preserve">Azonosítótípus </w:t>
            </w:r>
          </w:p>
          <w:p w14:paraId="7FE1CFF3"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896468" w:rsidRDefault="00B31E50">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45641D31" w:rsidR="00896468" w:rsidRDefault="00DA3403">
            <w:pPr>
              <w:pStyle w:val="P68B1DB1-TableParagraph73"/>
              <w:spacing w:before="108"/>
              <w:ind w:left="85"/>
              <w:jc w:val="both"/>
              <w:rPr>
                <w:bCs/>
              </w:rPr>
            </w:pPr>
            <w:r>
              <w:t>Értékpapírokat jegyző t</w:t>
            </w:r>
            <w:r w:rsidR="00B31E50">
              <w:t>őzsd</w:t>
            </w:r>
            <w:r>
              <w:t>ék</w:t>
            </w:r>
            <w:r w:rsidR="00B31E50">
              <w:t xml:space="preserve"> </w:t>
            </w:r>
          </w:p>
          <w:p w14:paraId="7FE1CFF7" w14:textId="79FE4926" w:rsidR="00896468" w:rsidRDefault="00B31E50">
            <w:pPr>
              <w:pStyle w:val="P68B1DB1-TableParagraph40"/>
              <w:spacing w:before="108"/>
              <w:ind w:left="85"/>
              <w:jc w:val="both"/>
            </w:pPr>
            <w:r>
              <w:t xml:space="preserve">Ha az eszközöket egy </w:t>
            </w:r>
            <w:r w:rsidR="001745BF">
              <w:t>tőzsdei platformon jegyzik</w:t>
            </w:r>
            <w:r>
              <w:t xml:space="preserve">, adja meg a platform(oka)t. Amennyiben több </w:t>
            </w:r>
            <w:r w:rsidR="001745BF">
              <w:t xml:space="preserve">tőzsdéről </w:t>
            </w:r>
            <w:r>
              <w:t>van szó, válassza el a platformokat pontosvesszővel.</w:t>
            </w:r>
          </w:p>
        </w:tc>
      </w:tr>
      <w:tr w:rsidR="00896468"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896468" w:rsidRDefault="00B31E50">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896468" w:rsidRDefault="00B31E50">
            <w:pPr>
              <w:pStyle w:val="P68B1DB1-TableParagraph73"/>
              <w:spacing w:before="108"/>
              <w:ind w:left="85"/>
              <w:jc w:val="both"/>
              <w:rPr>
                <w:bCs/>
              </w:rPr>
            </w:pPr>
            <w:r>
              <w:t xml:space="preserve">Elszámolási rendszerek  </w:t>
            </w:r>
          </w:p>
          <w:p w14:paraId="7FE1CFFB" w14:textId="2006B3AF" w:rsidR="00896468" w:rsidRDefault="00B31E50">
            <w:pPr>
              <w:pStyle w:val="P68B1DB1-TableParagraph40"/>
              <w:spacing w:before="108"/>
              <w:ind w:left="85"/>
              <w:jc w:val="both"/>
            </w:pPr>
            <w:r>
              <w:t>Tüntesse fel azokat az értékpapír-elszámolási rendszereket, ahol ezek az értékpapírok kiegyenlíthetők. Ha több elszámolási rendszerről van szó, minden egyes rendszert pontosvesszővel különítsenek el.</w:t>
            </w:r>
          </w:p>
        </w:tc>
      </w:tr>
      <w:tr w:rsidR="00896468"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896468" w:rsidRDefault="00B31E50">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2B4941B9" w:rsidR="00896468" w:rsidRDefault="00424880">
            <w:pPr>
              <w:pStyle w:val="P68B1DB1-TableParagraph73"/>
              <w:spacing w:before="108"/>
              <w:ind w:left="85"/>
              <w:jc w:val="both"/>
              <w:rPr>
                <w:bCs/>
              </w:rPr>
            </w:pPr>
            <w:r>
              <w:t>Regiszter</w:t>
            </w:r>
          </w:p>
          <w:p w14:paraId="7FE1CFFF" w14:textId="0DC61D8E" w:rsidR="00896468" w:rsidRDefault="00B31E50">
            <w:pPr>
              <w:pStyle w:val="P68B1DB1-TableParagraph40"/>
              <w:spacing w:before="108"/>
              <w:ind w:left="85"/>
              <w:jc w:val="both"/>
            </w:pPr>
            <w:r>
              <w:t xml:space="preserve">Adja meg a </w:t>
            </w:r>
            <w:r w:rsidR="00424880">
              <w:t xml:space="preserve">regisztert </w:t>
            </w:r>
            <w:r>
              <w:t xml:space="preserve">(amely felelős ezen értékpapírok tulajdonosainak nyilvántartásáért). A </w:t>
            </w:r>
            <w:r w:rsidR="00424880">
              <w:t xml:space="preserve">regiszter </w:t>
            </w:r>
            <w:r>
              <w:t xml:space="preserve">vagy a nyilvántartás tulajdonosa általában maga a kibocsátó, a központi értéktár vagy más szervezet. </w:t>
            </w:r>
          </w:p>
        </w:tc>
      </w:tr>
      <w:tr w:rsidR="00896468" w14:paraId="7FE1D004" w14:textId="77777777">
        <w:tc>
          <w:tcPr>
            <w:tcW w:w="1415" w:type="dxa"/>
            <w:tcBorders>
              <w:top w:val="single" w:sz="8" w:space="0" w:color="1A171C"/>
              <w:left w:val="nil"/>
              <w:right w:val="single" w:sz="8" w:space="0" w:color="1A171C"/>
            </w:tcBorders>
            <w:vAlign w:val="center"/>
          </w:tcPr>
          <w:p w14:paraId="7FE1D001" w14:textId="04687F6C" w:rsidR="00896468" w:rsidRDefault="001B187E">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896468" w:rsidRDefault="00B31E50">
            <w:pPr>
              <w:pStyle w:val="P68B1DB1-TableParagraph73"/>
              <w:spacing w:before="108"/>
              <w:ind w:left="85"/>
              <w:jc w:val="both"/>
              <w:rPr>
                <w:bCs/>
              </w:rPr>
            </w:pPr>
            <w:r>
              <w:t xml:space="preserve">Központi értéktár </w:t>
            </w:r>
          </w:p>
          <w:p w14:paraId="7FE1D003" w14:textId="77777777" w:rsidR="00896468" w:rsidRDefault="00B31E50">
            <w:pPr>
              <w:pStyle w:val="P68B1DB1-TableParagraph40"/>
              <w:spacing w:before="108"/>
              <w:ind w:left="85"/>
              <w:jc w:val="both"/>
            </w:pPr>
            <w:r>
              <w:t>Tüntesse fel az értékpapírt kibocsátó központi értéktárat.</w:t>
            </w:r>
          </w:p>
        </w:tc>
      </w:tr>
      <w:tr w:rsidR="00896468" w14:paraId="7FE1D02F" w14:textId="77777777">
        <w:tc>
          <w:tcPr>
            <w:tcW w:w="1415" w:type="dxa"/>
            <w:tcBorders>
              <w:left w:val="nil"/>
              <w:bottom w:val="single" w:sz="8" w:space="0" w:color="1A171C"/>
              <w:right w:val="single" w:sz="8" w:space="0" w:color="1A171C"/>
            </w:tcBorders>
            <w:vAlign w:val="center"/>
          </w:tcPr>
          <w:p w14:paraId="7FE1D005" w14:textId="77777777" w:rsidR="00896468" w:rsidRDefault="00B31E50">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896468" w:rsidRDefault="00B31E50">
            <w:pPr>
              <w:pStyle w:val="P68B1DB1-TableParagraph40"/>
              <w:spacing w:before="108"/>
              <w:ind w:left="85"/>
              <w:jc w:val="both"/>
            </w:pPr>
            <w:r>
              <w:t>A kibocsátó központi értéktár jelentése során az alábbi táblázatban feltüntetett rövidítést kell használni, kivéve, ha az érintett központi értéktár nem szerepel a jegyzékben:</w:t>
            </w:r>
          </w:p>
          <w:p w14:paraId="7FE1D007" w14:textId="77777777" w:rsidR="00896468" w:rsidRDefault="00B31E50">
            <w:pPr>
              <w:pStyle w:val="P68B1DB1-TableParagraph40"/>
              <w:spacing w:before="108"/>
              <w:ind w:left="85"/>
              <w:jc w:val="both"/>
            </w:pPr>
            <w:r>
              <w:t>ATHEX CSD_EL</w:t>
            </w:r>
          </w:p>
          <w:p w14:paraId="7FE1D008" w14:textId="77777777" w:rsidR="00896468" w:rsidRDefault="00B31E50">
            <w:pPr>
              <w:pStyle w:val="P68B1DB1-TableParagraph40"/>
              <w:spacing w:before="108"/>
              <w:ind w:left="85"/>
              <w:jc w:val="both"/>
            </w:pPr>
            <w:r>
              <w:t>LÁP_EL</w:t>
            </w:r>
          </w:p>
          <w:p w14:paraId="7FE1D009" w14:textId="77777777" w:rsidR="00896468" w:rsidRDefault="00B31E50">
            <w:pPr>
              <w:pStyle w:val="P68B1DB1-TableParagraph40"/>
              <w:spacing w:before="108"/>
              <w:ind w:left="85"/>
              <w:jc w:val="both"/>
            </w:pPr>
            <w:r>
              <w:t>CBF_DE</w:t>
            </w:r>
          </w:p>
          <w:p w14:paraId="7FE1D00A" w14:textId="77777777" w:rsidR="00896468" w:rsidRDefault="00B31E50">
            <w:pPr>
              <w:pStyle w:val="P68B1DB1-TableParagraph40"/>
              <w:spacing w:before="108"/>
              <w:ind w:left="85"/>
              <w:jc w:val="both"/>
            </w:pPr>
            <w:r>
              <w:t>CBL_LU</w:t>
            </w:r>
          </w:p>
          <w:p w14:paraId="7FE1D00B" w14:textId="77777777" w:rsidR="00896468" w:rsidRDefault="00B31E50">
            <w:pPr>
              <w:pStyle w:val="P68B1DB1-TableParagraph40"/>
              <w:spacing w:before="108"/>
              <w:ind w:left="85"/>
              <w:jc w:val="both"/>
            </w:pPr>
            <w:r>
              <w:t>CDCP SR_SK</w:t>
            </w:r>
          </w:p>
          <w:p w14:paraId="7FE1D00C" w14:textId="77777777" w:rsidR="00896468" w:rsidRDefault="00B31E50">
            <w:pPr>
              <w:pStyle w:val="P68B1DB1-TableParagraph40"/>
              <w:spacing w:before="108"/>
              <w:ind w:left="85"/>
              <w:jc w:val="both"/>
            </w:pPr>
            <w:r>
              <w:t>CDCP_CZ</w:t>
            </w:r>
          </w:p>
          <w:p w14:paraId="7FE1D00D" w14:textId="77777777" w:rsidR="00896468" w:rsidRDefault="00B31E50">
            <w:pPr>
              <w:pStyle w:val="P68B1DB1-TableParagraph40"/>
              <w:spacing w:before="108"/>
              <w:ind w:left="85"/>
              <w:jc w:val="both"/>
            </w:pPr>
            <w:r>
              <w:lastRenderedPageBreak/>
              <w:t>Központi letéteményes és elszámoló vállalat_HR</w:t>
            </w:r>
          </w:p>
          <w:p w14:paraId="7FE1D00E" w14:textId="77777777" w:rsidR="00896468" w:rsidRDefault="00B31E50">
            <w:pPr>
              <w:pStyle w:val="P68B1DB1-TableParagraph40"/>
              <w:spacing w:before="108"/>
              <w:ind w:left="85"/>
              <w:jc w:val="both"/>
            </w:pPr>
            <w:r>
              <w:t>Központi értéktár, Prága_CZ</w:t>
            </w:r>
          </w:p>
          <w:p w14:paraId="7FE1D00F" w14:textId="77777777" w:rsidR="00896468" w:rsidRDefault="00B31E50">
            <w:pPr>
              <w:pStyle w:val="P68B1DB1-TableParagraph40"/>
              <w:spacing w:before="108"/>
              <w:ind w:left="85"/>
              <w:jc w:val="both"/>
            </w:pPr>
            <w:r>
              <w:t>Központi letéteményes_BG</w:t>
            </w:r>
          </w:p>
          <w:p w14:paraId="7FE1D010" w14:textId="77777777" w:rsidR="00896468" w:rsidRDefault="00B31E50">
            <w:pPr>
              <w:pStyle w:val="P68B1DB1-TableParagraph40"/>
              <w:spacing w:before="108"/>
              <w:ind w:left="85"/>
              <w:jc w:val="both"/>
            </w:pPr>
            <w:r>
              <w:t>Ciprus CDCR_CY</w:t>
            </w:r>
          </w:p>
          <w:p w14:paraId="7FE1D011" w14:textId="77777777" w:rsidR="00896468" w:rsidRDefault="00B31E50">
            <w:pPr>
              <w:pStyle w:val="P68B1DB1-TableParagraph40"/>
              <w:spacing w:before="108"/>
              <w:ind w:left="85"/>
              <w:jc w:val="both"/>
            </w:pPr>
            <w:r>
              <w:t>Depozitarul Central_RO</w:t>
            </w:r>
          </w:p>
          <w:p w14:paraId="7FE1D012" w14:textId="77777777" w:rsidR="00896468" w:rsidRDefault="00B31E50">
            <w:pPr>
              <w:pStyle w:val="P68B1DB1-TableParagraph40"/>
              <w:spacing w:before="108"/>
              <w:ind w:left="85"/>
              <w:jc w:val="both"/>
            </w:pPr>
            <w:r>
              <w:t>DTC_US</w:t>
            </w:r>
          </w:p>
          <w:p w14:paraId="7FE1D013" w14:textId="77777777" w:rsidR="00896468" w:rsidRDefault="00B31E50">
            <w:pPr>
              <w:pStyle w:val="P68B1DB1-TableParagraph40"/>
              <w:spacing w:before="108"/>
              <w:ind w:left="85"/>
              <w:jc w:val="both"/>
            </w:pPr>
            <w:r>
              <w:t>Euroclear Bank_BE</w:t>
            </w:r>
          </w:p>
          <w:p w14:paraId="7FE1D014" w14:textId="77777777" w:rsidR="00896468" w:rsidRDefault="00B31E50">
            <w:pPr>
              <w:pStyle w:val="P68B1DB1-TableParagraph40"/>
              <w:spacing w:before="108"/>
              <w:ind w:left="85"/>
              <w:jc w:val="both"/>
            </w:pPr>
            <w:r>
              <w:t>Euroclear Belgium_BE</w:t>
            </w:r>
          </w:p>
          <w:p w14:paraId="7FE1D015" w14:textId="77777777" w:rsidR="00896468" w:rsidRDefault="00B31E50">
            <w:pPr>
              <w:pStyle w:val="P68B1DB1-TableParagraph40"/>
              <w:spacing w:before="108"/>
              <w:ind w:left="85"/>
              <w:jc w:val="both"/>
            </w:pPr>
            <w:r>
              <w:t>Euroclear Finland_FI</w:t>
            </w:r>
          </w:p>
          <w:p w14:paraId="7FE1D016" w14:textId="77777777" w:rsidR="00896468" w:rsidRDefault="00B31E50">
            <w:pPr>
              <w:pStyle w:val="P68B1DB1-TableParagraph40"/>
              <w:spacing w:before="108"/>
              <w:ind w:left="85"/>
              <w:jc w:val="both"/>
            </w:pPr>
            <w:r>
              <w:t>Euroclear France_FR</w:t>
            </w:r>
          </w:p>
          <w:p w14:paraId="7FE1D017" w14:textId="77777777" w:rsidR="00896468" w:rsidRDefault="00B31E50">
            <w:pPr>
              <w:pStyle w:val="P68B1DB1-TableParagraph40"/>
              <w:spacing w:before="108"/>
              <w:ind w:left="85"/>
              <w:jc w:val="both"/>
            </w:pPr>
            <w:r>
              <w:t>Euroclear Hollandia_NL</w:t>
            </w:r>
          </w:p>
          <w:p w14:paraId="7FE1D018" w14:textId="77777777" w:rsidR="00896468" w:rsidRDefault="00B31E50">
            <w:pPr>
              <w:pStyle w:val="P68B1DB1-TableParagraph40"/>
              <w:spacing w:before="108"/>
              <w:ind w:left="85"/>
              <w:jc w:val="both"/>
            </w:pPr>
            <w:r>
              <w:t>Euroclear Svédország_SE</w:t>
            </w:r>
          </w:p>
          <w:p w14:paraId="7FE1D019" w14:textId="77777777" w:rsidR="00896468" w:rsidRDefault="00B31E50">
            <w:pPr>
              <w:pStyle w:val="P68B1DB1-TableParagraph40"/>
              <w:spacing w:before="108"/>
              <w:ind w:left="85"/>
              <w:jc w:val="both"/>
            </w:pPr>
            <w:r>
              <w:t>Euroclear Egyesült Királyság és Írország_UK</w:t>
            </w:r>
          </w:p>
          <w:p w14:paraId="7FE1D01A" w14:textId="77777777" w:rsidR="00896468" w:rsidRDefault="00B31E50">
            <w:pPr>
              <w:pStyle w:val="P68B1DB1-TableParagraph40"/>
              <w:spacing w:before="108"/>
              <w:ind w:left="85"/>
              <w:jc w:val="both"/>
            </w:pPr>
            <w:r>
              <w:t>Állampapír-letétkezelő (GSD)_BG</w:t>
            </w:r>
          </w:p>
          <w:p w14:paraId="7FE1D01B" w14:textId="77777777" w:rsidR="00896468" w:rsidRDefault="00B31E50">
            <w:pPr>
              <w:pStyle w:val="P68B1DB1-TableParagraph40"/>
              <w:spacing w:before="108"/>
              <w:ind w:left="85"/>
              <w:jc w:val="both"/>
            </w:pPr>
            <w:r>
              <w:t>Iberclear_ES</w:t>
            </w:r>
          </w:p>
          <w:p w14:paraId="7FE1D01C" w14:textId="77777777" w:rsidR="00896468" w:rsidRDefault="00B31E50">
            <w:pPr>
              <w:pStyle w:val="P68B1DB1-TableParagraph40"/>
              <w:spacing w:before="108"/>
              <w:ind w:left="85"/>
              <w:jc w:val="both"/>
            </w:pPr>
            <w:r>
              <w:t>INTERBOLSA_PT</w:t>
            </w:r>
          </w:p>
          <w:p w14:paraId="7FE1D01D" w14:textId="77777777" w:rsidR="00896468" w:rsidRDefault="00B31E50">
            <w:pPr>
              <w:pStyle w:val="P68B1DB1-TableParagraph40"/>
              <w:spacing w:before="108"/>
              <w:ind w:left="85"/>
              <w:jc w:val="both"/>
            </w:pPr>
            <w:r>
              <w:t>KDD_SI</w:t>
            </w:r>
          </w:p>
          <w:p w14:paraId="7FE1D01E" w14:textId="77777777" w:rsidR="00896468" w:rsidRDefault="00B31E50">
            <w:pPr>
              <w:pStyle w:val="P68B1DB1-TableParagraph40"/>
              <w:spacing w:before="108"/>
              <w:ind w:left="85"/>
              <w:jc w:val="both"/>
            </w:pPr>
            <w:r>
              <w:t>KDPW_PL</w:t>
            </w:r>
          </w:p>
          <w:p w14:paraId="7FE1D01F" w14:textId="77777777" w:rsidR="00896468" w:rsidRDefault="00B31E50">
            <w:pPr>
              <w:pStyle w:val="P68B1DB1-TableParagraph40"/>
              <w:spacing w:before="108"/>
              <w:ind w:left="85"/>
              <w:jc w:val="both"/>
            </w:pPr>
            <w:r>
              <w:t>KELER_HU</w:t>
            </w:r>
          </w:p>
          <w:p w14:paraId="7FE1D020" w14:textId="77777777" w:rsidR="00896468" w:rsidRDefault="00B31E50">
            <w:pPr>
              <w:pStyle w:val="P68B1DB1-TableParagraph40"/>
              <w:spacing w:before="108"/>
              <w:ind w:left="85"/>
              <w:jc w:val="both"/>
            </w:pPr>
            <w:r>
              <w:t>LUX CSD_LU</w:t>
            </w:r>
          </w:p>
          <w:p w14:paraId="7FE1D021" w14:textId="77777777" w:rsidR="00896468" w:rsidRDefault="00B31E50">
            <w:pPr>
              <w:pStyle w:val="P68B1DB1-TableParagraph40"/>
              <w:spacing w:before="108"/>
              <w:ind w:left="85"/>
              <w:jc w:val="both"/>
            </w:pPr>
            <w:r>
              <w:t>Máltai Értéktőzsde CSD_MT</w:t>
            </w:r>
          </w:p>
          <w:p w14:paraId="7FE1D022" w14:textId="77777777" w:rsidR="00896468" w:rsidRDefault="00B31E50">
            <w:pPr>
              <w:pStyle w:val="P68B1DB1-TableParagraph40"/>
              <w:spacing w:before="108"/>
              <w:ind w:left="85"/>
              <w:jc w:val="both"/>
            </w:pPr>
            <w:r>
              <w:t>Euronext Securities Milan_IT</w:t>
            </w:r>
          </w:p>
          <w:p w14:paraId="7FE1D023" w14:textId="77777777" w:rsidR="00896468" w:rsidRDefault="00B31E50">
            <w:pPr>
              <w:pStyle w:val="P68B1DB1-TableParagraph40"/>
              <w:spacing w:before="108"/>
              <w:ind w:left="85"/>
              <w:jc w:val="both"/>
            </w:pPr>
            <w:r>
              <w:t>Nasdaq CSD_EE</w:t>
            </w:r>
          </w:p>
          <w:p w14:paraId="7FE1D024" w14:textId="77777777" w:rsidR="00896468" w:rsidRDefault="00B31E50">
            <w:pPr>
              <w:pStyle w:val="P68B1DB1-TableParagraph40"/>
              <w:spacing w:before="108"/>
              <w:ind w:left="85"/>
              <w:jc w:val="both"/>
            </w:pPr>
            <w:r>
              <w:t>Nasdaq CSD_LT</w:t>
            </w:r>
          </w:p>
          <w:p w14:paraId="7FE1D025" w14:textId="77777777" w:rsidR="00896468" w:rsidRDefault="00B31E50">
            <w:pPr>
              <w:pStyle w:val="P68B1DB1-TableParagraph40"/>
              <w:spacing w:before="108"/>
              <w:ind w:left="85"/>
              <w:jc w:val="both"/>
            </w:pPr>
            <w:r>
              <w:t>Nasdaq CSD_LV</w:t>
            </w:r>
          </w:p>
          <w:p w14:paraId="7FE1D026" w14:textId="77777777" w:rsidR="00896468" w:rsidRDefault="00B31E50">
            <w:pPr>
              <w:pStyle w:val="P68B1DB1-TableParagraph40"/>
              <w:spacing w:before="108"/>
              <w:ind w:left="85"/>
              <w:jc w:val="both"/>
            </w:pPr>
            <w:r>
              <w:t>NBB SSS_BE</w:t>
            </w:r>
          </w:p>
          <w:p w14:paraId="7FE1D027" w14:textId="77777777" w:rsidR="00896468" w:rsidRDefault="00B31E50">
            <w:pPr>
              <w:pStyle w:val="P68B1DB1-TableParagraph40"/>
              <w:spacing w:before="108"/>
              <w:ind w:left="85"/>
              <w:jc w:val="both"/>
            </w:pPr>
            <w:r>
              <w:t>nCDCP_SK</w:t>
            </w:r>
          </w:p>
          <w:p w14:paraId="7FE1D028" w14:textId="77777777" w:rsidR="00896468" w:rsidRDefault="00B31E50">
            <w:pPr>
              <w:pStyle w:val="P68B1DB1-TableParagraph40"/>
              <w:spacing w:before="108"/>
              <w:ind w:left="85"/>
              <w:jc w:val="both"/>
            </w:pPr>
            <w:r>
              <w:t>OeKB CSD_AT</w:t>
            </w:r>
          </w:p>
          <w:p w14:paraId="7FE1D029" w14:textId="77777777" w:rsidR="00896468" w:rsidRDefault="00B31E50">
            <w:pPr>
              <w:pStyle w:val="P68B1DB1-TableParagraph40"/>
              <w:spacing w:before="108"/>
              <w:ind w:left="85"/>
              <w:jc w:val="both"/>
            </w:pPr>
            <w:r>
              <w:t>SAFIR_RO</w:t>
            </w:r>
          </w:p>
          <w:p w14:paraId="7FE1D02A" w14:textId="77777777" w:rsidR="00896468" w:rsidRDefault="00B31E50">
            <w:pPr>
              <w:pStyle w:val="P68B1DB1-TableParagraph40"/>
              <w:spacing w:before="108"/>
              <w:ind w:left="85"/>
              <w:jc w:val="both"/>
            </w:pPr>
            <w:r>
              <w:t>HAT SIS_CH</w:t>
            </w:r>
          </w:p>
          <w:p w14:paraId="7FE1D02B" w14:textId="77777777" w:rsidR="00896468" w:rsidRDefault="00B31E50">
            <w:pPr>
              <w:pStyle w:val="P68B1DB1-TableParagraph40"/>
              <w:spacing w:before="108"/>
              <w:ind w:left="85"/>
              <w:jc w:val="both"/>
            </w:pPr>
            <w:r>
              <w:t>SKARBNET4_PL</w:t>
            </w:r>
          </w:p>
          <w:p w14:paraId="7FE1D02C" w14:textId="77777777" w:rsidR="00896468" w:rsidRDefault="00B31E50">
            <w:pPr>
              <w:pStyle w:val="P68B1DB1-TableParagraph40"/>
              <w:spacing w:before="108"/>
              <w:ind w:left="85"/>
              <w:jc w:val="both"/>
            </w:pPr>
            <w:r>
              <w:t>SKD_CZ</w:t>
            </w:r>
          </w:p>
          <w:p w14:paraId="7FE1D02D" w14:textId="77777777" w:rsidR="00896468" w:rsidRDefault="00B31E50">
            <w:pPr>
              <w:pStyle w:val="P68B1DB1-TableParagraph40"/>
              <w:spacing w:before="108"/>
              <w:ind w:left="85"/>
              <w:jc w:val="both"/>
            </w:pPr>
            <w:r>
              <w:t>VP Securities_DK</w:t>
            </w:r>
          </w:p>
          <w:p w14:paraId="7FE1D02E" w14:textId="77777777" w:rsidR="00896468" w:rsidRDefault="00B31E50">
            <w:pPr>
              <w:pStyle w:val="P68B1DB1-TableParagraph40"/>
              <w:spacing w:before="108"/>
              <w:ind w:left="85"/>
              <w:jc w:val="both"/>
            </w:pPr>
            <w:r>
              <w:t>VPS_SZÁM</w:t>
            </w:r>
          </w:p>
        </w:tc>
      </w:tr>
      <w:tr w:rsidR="00896468"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896468" w:rsidRDefault="00B31E50">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37ECF381" w:rsidR="00896468" w:rsidRDefault="00B31E50">
            <w:pPr>
              <w:pStyle w:val="P68B1DB1-TableParagraph73"/>
              <w:spacing w:before="108"/>
              <w:ind w:left="85"/>
              <w:jc w:val="both"/>
              <w:rPr>
                <w:bCs/>
              </w:rPr>
            </w:pPr>
            <w:r>
              <w:t>Zálog, zálogjog vagy biztosíték összege</w:t>
            </w:r>
          </w:p>
          <w:p w14:paraId="0A9BFF2F" w14:textId="6018E357" w:rsidR="00896468" w:rsidRDefault="00B31E50">
            <w:pPr>
              <w:pStyle w:val="P68B1DB1-TableParagraph40"/>
              <w:spacing w:before="108"/>
              <w:ind w:left="85"/>
              <w:jc w:val="both"/>
            </w:pPr>
            <w:r>
              <w:t xml:space="preserve">Amennyiben egy kötelezettséget záloggal, zálogjoggal vagy biztosítékkal fedeznek, az utóbbi bruttó piaci értékét kell feltüntetni. Ellenkező esetben a fedezetlen kötelezettségek esetében ezt a kategóriát nullaként kell feltüntetni. Ez az összeg határozza meg a fedezett és végső soron a fedezett kötelezettség fedezetlen részét. A több soros tételt biztosító biztosítéki halmazok esetében meg kell határozni a teljes fedezeti arányt, és arányosan kell alkalmazni az e halmazba tartozó valamennyi </w:t>
            </w:r>
            <w:r w:rsidR="00642015">
              <w:t>tételre</w:t>
            </w:r>
            <w:r>
              <w:t>.</w:t>
            </w:r>
          </w:p>
          <w:p w14:paraId="7FE1D035" w14:textId="114C9F15" w:rsidR="001B187E" w:rsidRDefault="001B187E">
            <w:pPr>
              <w:pStyle w:val="P68B1DB1-TableParagraph40"/>
              <w:spacing w:before="108"/>
              <w:ind w:left="85"/>
              <w:jc w:val="both"/>
            </w:pPr>
          </w:p>
        </w:tc>
      </w:tr>
      <w:tr w:rsidR="00896468"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896468" w:rsidRDefault="00B31E50">
            <w:pPr>
              <w:pStyle w:val="P68B1DB1-Normal31"/>
            </w:pPr>
            <w:r>
              <w:lastRenderedPageBreak/>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896468" w:rsidRDefault="00B31E50">
            <w:pPr>
              <w:pStyle w:val="P68B1DB1-TableParagraph73"/>
              <w:spacing w:before="108"/>
              <w:ind w:left="85"/>
              <w:jc w:val="both"/>
              <w:rPr>
                <w:bCs/>
              </w:rPr>
            </w:pPr>
            <w:r>
              <w:t xml:space="preserve">Kezes </w:t>
            </w:r>
          </w:p>
          <w:p w14:paraId="7FE1D039" w14:textId="7525BFD5" w:rsidR="00896468" w:rsidRDefault="00B31E50">
            <w:pPr>
              <w:pStyle w:val="P68B1DB1-TableParagraph40"/>
              <w:spacing w:before="108"/>
              <w:ind w:left="85"/>
              <w:jc w:val="both"/>
            </w:pPr>
            <w:r>
              <w:t>Amennyiben az eszközre garanciát nyújtanak, adja meg a kezes részletes azonosítását (LEI-kód, a kormányzat ISO 3166–1 alpha-2 szerinti országkódja stb.). Ha több kezes van jelen, az összes azonosítót pontosvesszővel elválasztva kell megadni.</w:t>
            </w:r>
          </w:p>
        </w:tc>
      </w:tr>
      <w:tr w:rsidR="00896468"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896468" w:rsidRDefault="00B31E50">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896468" w:rsidRDefault="00B31E50">
            <w:pPr>
              <w:pStyle w:val="P68B1DB1-TableParagraph73"/>
              <w:spacing w:before="108"/>
              <w:ind w:left="85"/>
              <w:jc w:val="both"/>
              <w:rPr>
                <w:bCs/>
              </w:rPr>
            </w:pPr>
            <w:r>
              <w:t xml:space="preserve">Az MREL elismerhetőségi feltételeinek megfelelő összeg </w:t>
            </w:r>
          </w:p>
          <w:p w14:paraId="7FE1D044" w14:textId="7B94E82D" w:rsidR="00896468" w:rsidRDefault="00B31E50">
            <w:pPr>
              <w:pStyle w:val="P68B1DB1-TableParagraph40"/>
              <w:spacing w:before="108"/>
              <w:ind w:left="85"/>
              <w:jc w:val="both"/>
            </w:pPr>
            <w:r>
              <w:t>A 2014/59/EU irányelv 45. cikkének (1) bekezdésével összhangban meghatározott követelménybe beszámított szavatoló</w:t>
            </w:r>
            <w:r w:rsidR="00082480">
              <w:t xml:space="preserve"> </w:t>
            </w:r>
            <w:r>
              <w:t>tőke és leírható, illetve átalakítható kötelezettségek összege.</w:t>
            </w:r>
          </w:p>
        </w:tc>
      </w:tr>
      <w:tr w:rsidR="00896468"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896468" w:rsidRDefault="00B31E50">
            <w:pPr>
              <w:pStyle w:val="P68B1DB1-Normal31"/>
            </w:pPr>
            <w:r>
              <w:t>0310</w:t>
            </w:r>
          </w:p>
          <w:p w14:paraId="7FE1D047" w14:textId="77777777" w:rsidR="00896468" w:rsidRDefault="00B31E50">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35D666E2" w:rsidR="00896468" w:rsidRDefault="00B31E50">
            <w:pPr>
              <w:pStyle w:val="P68B1DB1-TableParagraph73"/>
              <w:spacing w:before="108"/>
              <w:ind w:left="85"/>
              <w:jc w:val="both"/>
              <w:rPr>
                <w:bCs/>
              </w:rPr>
            </w:pPr>
            <w:r>
              <w:t>Szavatoló</w:t>
            </w:r>
            <w:r w:rsidR="00082480">
              <w:t xml:space="preserve"> </w:t>
            </w:r>
            <w:r>
              <w:t xml:space="preserve">tőkének </w:t>
            </w:r>
            <w:r w:rsidR="00455F21">
              <w:t>való minősítés</w:t>
            </w:r>
          </w:p>
          <w:p w14:paraId="7FE1D049" w14:textId="6178118F" w:rsidR="00896468" w:rsidRDefault="00B31E50">
            <w:pPr>
              <w:pStyle w:val="P68B1DB1-TableParagraph40"/>
              <w:spacing w:before="108"/>
              <w:ind w:left="85"/>
              <w:jc w:val="both"/>
            </w:pPr>
            <w:r>
              <w:t>Tüntesse fel, hogy az instrumentum szerepel-e a szavatoló</w:t>
            </w:r>
            <w:r w:rsidR="00082480">
              <w:t xml:space="preserve"> </w:t>
            </w:r>
            <w:r>
              <w:t>tőkében, és ha igen, milyen szinten, a kivezetési rendszerre és a szerzett jogokra vonatkozó megállapodásokra vonatkozó információk mellett. Egy előre meghatározott listából az érték lehet „Nem”, „</w:t>
            </w:r>
            <w:r w:rsidR="00455F21">
              <w:t>R</w:t>
            </w:r>
            <w:r>
              <w:t>észben AT1, T1 és T2”, „T2 kivezetés alatt”, „Grandfathered T2”, „</w:t>
            </w:r>
            <w:r w:rsidR="00455F21">
              <w:t xml:space="preserve">Teljes mértékben megfelelő </w:t>
            </w:r>
            <w:r>
              <w:t xml:space="preserve">T2”, „Grandfathered AT1”, „Teljes mértékben megfelelő AT1” vagy „CET1”. </w:t>
            </w:r>
          </w:p>
          <w:p w14:paraId="7FE1D04A" w14:textId="56468AE4" w:rsidR="00896468" w:rsidRDefault="00B31E50">
            <w:pPr>
              <w:pStyle w:val="P68B1DB1-TableParagraph40"/>
              <w:spacing w:before="108"/>
              <w:ind w:left="85"/>
              <w:jc w:val="both"/>
            </w:pPr>
            <w:r>
              <w:t xml:space="preserve">Az opciók felsorolásában a „fokozatos kivezetés” kifejezés az adott T2 instrumentum lejáratát megelőző 5 éves időszakot jelenti, amelynek során csak </w:t>
            </w:r>
            <w:r w:rsidR="00455F21">
              <w:t xml:space="preserve">arányos elismerés történik </w:t>
            </w:r>
            <w:r>
              <w:t>a lejáratig hátralévő idő alapján. „Szerzett jogok”: bármely, a T2 eszközre alkalmazandó átmeneti intézkedés, amely nem foglalja magában a „fokozatos kivezetést”. E „szerzett jogok” során az elismerés lehet teljes vagy részleges.</w:t>
            </w:r>
          </w:p>
          <w:p w14:paraId="7FE1D04B" w14:textId="56289907" w:rsidR="00896468" w:rsidRDefault="00B31E50">
            <w:pPr>
              <w:pStyle w:val="P68B1DB1-TableParagraph40"/>
              <w:spacing w:before="108"/>
              <w:ind w:left="85"/>
              <w:jc w:val="both"/>
            </w:pPr>
            <w:r>
              <w:t xml:space="preserve"> </w:t>
            </w:r>
          </w:p>
        </w:tc>
      </w:tr>
      <w:tr w:rsidR="00896468"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896468" w:rsidRDefault="00B31E50">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D6CB9FF" w:rsidR="00896468" w:rsidRDefault="00B31E50">
            <w:pPr>
              <w:pStyle w:val="P68B1DB1-TableParagraph40"/>
              <w:spacing w:before="108"/>
              <w:ind w:left="85"/>
              <w:jc w:val="both"/>
              <w:rPr>
                <w:b/>
                <w:bCs/>
              </w:rPr>
            </w:pPr>
            <w:r>
              <w:t xml:space="preserve"> </w:t>
            </w:r>
            <w:r>
              <w:rPr>
                <w:b/>
              </w:rPr>
              <w:t>Szavatoló</w:t>
            </w:r>
            <w:r w:rsidR="00082480">
              <w:rPr>
                <w:b/>
              </w:rPr>
              <w:t xml:space="preserve"> </w:t>
            </w:r>
            <w:r>
              <w:rPr>
                <w:b/>
              </w:rPr>
              <w:t>tőkeként elismerhető összeg</w:t>
            </w:r>
          </w:p>
          <w:p w14:paraId="7FE1D050" w14:textId="4F2862D9" w:rsidR="00896468" w:rsidRDefault="00B31E50">
            <w:pPr>
              <w:pStyle w:val="P68B1DB1-TableParagraph40"/>
              <w:spacing w:before="108"/>
              <w:ind w:left="85"/>
              <w:jc w:val="both"/>
            </w:pPr>
            <w:r>
              <w:t>A szavatoló</w:t>
            </w:r>
            <w:r w:rsidR="00082480">
              <w:t xml:space="preserve"> </w:t>
            </w:r>
            <w:r>
              <w:t>tőkének minősülő instrumentum összege.</w:t>
            </w:r>
          </w:p>
        </w:tc>
      </w:tr>
      <w:bookmarkEnd w:id="248"/>
    </w:tbl>
    <w:p w14:paraId="7FE1D052" w14:textId="77777777" w:rsidR="00896468" w:rsidRDefault="00896468">
      <w:pPr>
        <w:rPr>
          <w:rFonts w:ascii="Times New Roman" w:hAnsi="Times New Roman" w:cs="Times New Roman"/>
        </w:rPr>
      </w:pPr>
    </w:p>
    <w:p w14:paraId="7FE1D053" w14:textId="77777777" w:rsidR="00896468" w:rsidRDefault="00896468">
      <w:pPr>
        <w:pStyle w:val="Instructionsberschrift2"/>
        <w:ind w:left="357"/>
        <w:rPr>
          <w:rFonts w:ascii="Times New Roman" w:eastAsia="Calibri" w:hAnsi="Times New Roman" w:cs="Times New Roman"/>
          <w:szCs w:val="20"/>
        </w:rPr>
      </w:pPr>
    </w:p>
    <w:p w14:paraId="7FE1D054" w14:textId="498026D5" w:rsidR="00896468" w:rsidRDefault="00B31E50">
      <w:pPr>
        <w:pStyle w:val="Instructionsberschrift2"/>
        <w:numPr>
          <w:ilvl w:val="1"/>
          <w:numId w:val="49"/>
        </w:numPr>
        <w:spacing w:before="0"/>
        <w:ind w:left="357" w:hanging="357"/>
        <w:rPr>
          <w:rFonts w:ascii="Times New Roman" w:hAnsi="Times New Roman" w:cs="Times New Roman"/>
        </w:rPr>
      </w:pPr>
      <w:bookmarkStart w:id="250" w:name="_Toc210982900"/>
      <w:r>
        <w:rPr>
          <w:rFonts w:ascii="Times New Roman" w:eastAsiaTheme="minorEastAsia" w:hAnsi="Times New Roman" w:cs="Times New Roman"/>
        </w:rPr>
        <w:t xml:space="preserve">Z 13.00 – </w:t>
      </w:r>
      <w:r w:rsidR="00642015">
        <w:rPr>
          <w:rFonts w:ascii="Times New Roman" w:eastAsiaTheme="minorEastAsia" w:hAnsi="Times New Roman" w:cs="Times New Roman"/>
        </w:rPr>
        <w:t xml:space="preserve">Összes </w:t>
      </w:r>
      <w:r>
        <w:rPr>
          <w:rFonts w:ascii="Times New Roman" w:eastAsiaTheme="minorEastAsia" w:hAnsi="Times New Roman" w:cs="Times New Roman"/>
        </w:rPr>
        <w:t xml:space="preserve">betét (a csoporton belüli kivételével) </w:t>
      </w:r>
      <w:r>
        <w:rPr>
          <w:rFonts w:ascii="Times New Roman" w:eastAsia="Calibri" w:hAnsi="Times New Roman" w:cs="Times New Roman"/>
          <w:szCs w:val="20"/>
        </w:rPr>
        <w:t>(LIAB-G-3)</w:t>
      </w:r>
      <w:bookmarkEnd w:id="250"/>
    </w:p>
    <w:p w14:paraId="7FE1D057" w14:textId="77777777" w:rsidR="00896468" w:rsidRDefault="00B31E50">
      <w:pPr>
        <w:pStyle w:val="P68B1DB1-Numberedtitlelevel372"/>
      </w:pPr>
      <w:r>
        <w:t>Általános megjegyzések</w:t>
      </w:r>
    </w:p>
    <w:p w14:paraId="7FE1D058" w14:textId="669C462E" w:rsidR="00896468" w:rsidRDefault="00B31E50">
      <w:pPr>
        <w:pStyle w:val="P68B1DB1-InstructionsText26"/>
        <w:numPr>
          <w:ilvl w:val="2"/>
          <w:numId w:val="209"/>
        </w:numPr>
        <w:spacing w:before="0"/>
        <w:ind w:left="1418"/>
        <w:rPr>
          <w:rFonts w:eastAsia="Cambria"/>
        </w:rPr>
      </w:pPr>
      <w:r>
        <w:t>E jelentés hatálya az összes betétre kiterjed, kivéve a csoporton belüli ügyleteket, függetlenül a betét jellegétől vagy futamidejétől. A betéteket a 2014/49/EU irányelv 2. cikke (1) bekezdésének 3. pontjában szereplő fogalommeghatározás alapján kell azonosítani.</w:t>
      </w:r>
    </w:p>
    <w:p w14:paraId="7FE1D05A" w14:textId="3AF16666" w:rsidR="00896468" w:rsidRDefault="00B31E50">
      <w:pPr>
        <w:pStyle w:val="P68B1DB1-InstructionsText286"/>
        <w:numPr>
          <w:ilvl w:val="2"/>
          <w:numId w:val="209"/>
        </w:numPr>
        <w:spacing w:before="0"/>
        <w:ind w:left="1418"/>
      </w:pPr>
      <w:r>
        <w:t xml:space="preserve">E táblázat alkalmazásában csoportosítani kell az összes nem </w:t>
      </w:r>
      <w:r w:rsidR="006F6F1C">
        <w:t xml:space="preserve">biztosított </w:t>
      </w:r>
      <w:r>
        <w:t xml:space="preserve">és nem </w:t>
      </w:r>
      <w:r w:rsidR="006F6F1C">
        <w:t xml:space="preserve">elsőbbségi </w:t>
      </w:r>
      <w:r>
        <w:t xml:space="preserve">betétet (a Z 02.00-r0320 alatt meghatározottak szerint), amelyek hátralévő futamideje kevesebb mint 1 év, az összes biztosított betétet és a </w:t>
      </w:r>
      <w:r w:rsidR="006F6F1C">
        <w:t>nem biztosított</w:t>
      </w:r>
      <w:r>
        <w:t>, de elsőbbségi betéteket (a Z 02.00-r0310 alatt meghatározottak szerint és a hátralévő futamidőtől függetlenül), kötelezettségkategóriák szerint (0020-as oszlop), partnertípusonként (0025-ös oszlop) és kielégítési sorrendben</w:t>
      </w:r>
      <w:r w:rsidR="006F6F1C">
        <w:t xml:space="preserve"> elfoglalt helyük alapján</w:t>
      </w:r>
      <w:r>
        <w:t xml:space="preserve"> (0030-as oszlop). Azokat a nem </w:t>
      </w:r>
      <w:r w:rsidR="006F6F1C">
        <w:t xml:space="preserve">biztosított </w:t>
      </w:r>
      <w:r>
        <w:t xml:space="preserve">és nem elsőbbségi betéteket, amelyek hátralévő futamideje legalább 1 év, az összes kért mező tekintetében külön sorban kell feltüntetni. </w:t>
      </w:r>
    </w:p>
    <w:p w14:paraId="7FE1D05B" w14:textId="59F219E4" w:rsidR="00896468" w:rsidRDefault="00B31E50">
      <w:pPr>
        <w:pStyle w:val="InstructionsText2"/>
        <w:numPr>
          <w:ilvl w:val="2"/>
          <w:numId w:val="209"/>
        </w:numPr>
        <w:spacing w:before="0"/>
        <w:ind w:left="1418"/>
        <w:rPr>
          <w:rFonts w:ascii="Times New Roman" w:eastAsia="Cambria" w:hAnsi="Times New Roman" w:cs="Times New Roman"/>
          <w:sz w:val="20"/>
          <w:szCs w:val="20"/>
        </w:rPr>
      </w:pPr>
      <w:r>
        <w:rPr>
          <w:rFonts w:ascii="Times New Roman" w:hAnsi="Times New Roman" w:cs="Times New Roman"/>
        </w:rPr>
        <w:t xml:space="preserve">A </w:t>
      </w:r>
      <w:r>
        <w:rPr>
          <w:rFonts w:ascii="Times New Roman" w:eastAsia="Cambria" w:hAnsi="Times New Roman" w:cs="Times New Roman"/>
          <w:sz w:val="20"/>
          <w:szCs w:val="20"/>
        </w:rPr>
        <w:t>67. pont ellenére, a hitelintézettől származó minden betétet – a betét típusától függetlenül – az összes kért mező tekintetében külön sorban kell jelenteni. Például egyetlen ügyletet több sorban kell jelenteni, ha az különböző kielégítési sorrendben szerepel.</w:t>
      </w:r>
    </w:p>
    <w:p w14:paraId="7FE1D05C" w14:textId="0E610125" w:rsidR="00896468" w:rsidRDefault="00B31E50">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Minden egyéb, fent kifejezetten nem említett betétet külön sorban kell jelenteni</w:t>
      </w:r>
      <w:r>
        <w:rPr>
          <w:rFonts w:ascii="Times New Roman" w:hAnsi="Times New Roman" w:cs="Times New Roman"/>
        </w:rPr>
        <w:t xml:space="preserve"> </w:t>
      </w:r>
      <w:r>
        <w:rPr>
          <w:rFonts w:ascii="Times New Roman" w:eastAsia="Cambria" w:hAnsi="Times New Roman" w:cs="Times New Roman"/>
          <w:sz w:val="20"/>
          <w:szCs w:val="20"/>
        </w:rPr>
        <w:t>az összes kért mező tekintetében.</w:t>
      </w:r>
    </w:p>
    <w:p w14:paraId="7FE1D061" w14:textId="77777777" w:rsidR="00896468" w:rsidRDefault="00B31E50">
      <w:pPr>
        <w:pStyle w:val="P68B1DB1-InstructionsText287"/>
        <w:numPr>
          <w:ilvl w:val="0"/>
          <w:numId w:val="0"/>
        </w:numPr>
        <w:ind w:left="753"/>
      </w:pPr>
      <w:r>
        <w:t>A táblák egyes részeire vonatkozó útmutatások</w:t>
      </w:r>
    </w:p>
    <w:tbl>
      <w:tblPr>
        <w:tblW w:w="0" w:type="auto"/>
        <w:tblLook w:val="01E0" w:firstRow="1" w:lastRow="1" w:firstColumn="1" w:lastColumn="1" w:noHBand="0" w:noVBand="0"/>
      </w:tblPr>
      <w:tblGrid>
        <w:gridCol w:w="1188"/>
        <w:gridCol w:w="7772"/>
        <w:gridCol w:w="66"/>
      </w:tblGrid>
      <w:tr w:rsidR="00896468"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896468" w:rsidRDefault="00B31E50">
            <w:pPr>
              <w:pStyle w:val="P68B1DB1-TableParagraph17"/>
              <w:spacing w:before="108"/>
              <w:ind w:left="85"/>
            </w:pPr>
            <w:r>
              <w:lastRenderedPageBreak/>
              <w:t>Oszlopok</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896468" w:rsidRDefault="00B31E50">
            <w:pPr>
              <w:pStyle w:val="P68B1DB1-TableParagraph17"/>
              <w:spacing w:before="108"/>
              <w:ind w:left="85" w:right="1"/>
            </w:pPr>
            <w:r>
              <w:t>Útmutató</w:t>
            </w:r>
          </w:p>
        </w:tc>
      </w:tr>
      <w:tr w:rsidR="00896468"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896468" w:rsidRDefault="00B31E50">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896468" w:rsidRDefault="00B31E50">
            <w:pPr>
              <w:pStyle w:val="P68B1DB1-TableParagraph73"/>
              <w:spacing w:before="108"/>
              <w:ind w:left="85"/>
              <w:jc w:val="both"/>
              <w:rPr>
                <w:bCs/>
              </w:rPr>
            </w:pPr>
            <w:r>
              <w:t xml:space="preserve">SORSZÁM </w:t>
            </w:r>
          </w:p>
          <w:p w14:paraId="7FE1D067" w14:textId="43449971" w:rsidR="00896468" w:rsidRDefault="00B31E50">
            <w:pPr>
              <w:pStyle w:val="P68B1DB1-TableParagraph40"/>
              <w:spacing w:before="108"/>
              <w:ind w:left="85"/>
              <w:jc w:val="both"/>
            </w:pPr>
            <w:r>
              <w:t>Egyedi szám/elsődleges kulcs a sorok azonosítására.</w:t>
            </w:r>
          </w:p>
        </w:tc>
      </w:tr>
      <w:tr w:rsidR="00896468"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896468" w:rsidRDefault="00B31E50">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896468" w:rsidRDefault="00B31E50">
            <w:pPr>
              <w:pStyle w:val="P68B1DB1-TableParagraph73"/>
              <w:spacing w:before="108"/>
              <w:ind w:left="85"/>
              <w:jc w:val="both"/>
              <w:rPr>
                <w:bCs/>
              </w:rPr>
            </w:pPr>
            <w:r>
              <w:t xml:space="preserve">Sor </w:t>
            </w:r>
          </w:p>
          <w:p w14:paraId="7FE1D06B" w14:textId="7390D914" w:rsidR="00896468" w:rsidRDefault="00B31E50">
            <w:pPr>
              <w:pStyle w:val="P68B1DB1-TableParagraph40"/>
              <w:spacing w:before="108"/>
              <w:ind w:left="85"/>
              <w:jc w:val="both"/>
            </w:pPr>
            <w:r>
              <w:t xml:space="preserve">Minden egyes jelentett sor esetében meg kell adni a Z02.00 </w:t>
            </w:r>
            <w:r w:rsidR="006F6F1C">
              <w:t xml:space="preserve">táblában </w:t>
            </w:r>
            <w:r>
              <w:t xml:space="preserve">szereplő </w:t>
            </w:r>
            <w:r w:rsidR="006F6F1C">
              <w:t>kötelezettségszerkezet kötelezettségkategóriá</w:t>
            </w:r>
            <w:r w:rsidR="00AC5385">
              <w:t>já</w:t>
            </w:r>
            <w:r>
              <w:t>t a lejárat szintjén</w:t>
            </w:r>
            <w:r w:rsidR="006F6F1C">
              <w:t>,</w:t>
            </w:r>
            <w:r>
              <w:t xml:space="preserve"> </w:t>
            </w:r>
            <w:r w:rsidR="006F6F1C">
              <w:t>az értékek</w:t>
            </w:r>
            <w:r>
              <w:t xml:space="preserve"> előre meghatározott </w:t>
            </w:r>
            <w:r w:rsidR="006F6F1C">
              <w:t>listájából</w:t>
            </w:r>
            <w:r>
              <w:t>.</w:t>
            </w:r>
          </w:p>
        </w:tc>
      </w:tr>
      <w:tr w:rsidR="00896468"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896468" w:rsidRDefault="00B31E50">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896468" w:rsidRDefault="00B31E50">
            <w:pPr>
              <w:pStyle w:val="P68B1DB1-TableParagraph73"/>
              <w:spacing w:before="108"/>
              <w:ind w:left="85"/>
              <w:jc w:val="both"/>
              <w:rPr>
                <w:bCs/>
              </w:rPr>
            </w:pPr>
            <w:r>
              <w:t xml:space="preserve">Oszlop </w:t>
            </w:r>
          </w:p>
          <w:p w14:paraId="7FE1D06F" w14:textId="23D11F74" w:rsidR="00896468" w:rsidRDefault="006F6F1C">
            <w:pPr>
              <w:pStyle w:val="P68B1DB1-TableParagraph40"/>
              <w:spacing w:before="108"/>
              <w:ind w:left="85"/>
              <w:jc w:val="both"/>
            </w:pPr>
            <w:r>
              <w:t>M</w:t>
            </w:r>
            <w:r w:rsidR="00B31E50">
              <w:t xml:space="preserve">inden egyes jelentett sor esetében meg kell adni </w:t>
            </w:r>
            <w:r w:rsidRPr="006F6F1C">
              <w:t>a Z02.00 tábl</w:t>
            </w:r>
            <w:r>
              <w:t>a</w:t>
            </w:r>
            <w:r w:rsidRPr="006F6F1C">
              <w:t xml:space="preserve"> </w:t>
            </w:r>
            <w:r>
              <w:t>azon partnerosztályá</w:t>
            </w:r>
            <w:r w:rsidR="00AC5385">
              <w:t>t</w:t>
            </w:r>
            <w:r>
              <w:t>,</w:t>
            </w:r>
            <w:r w:rsidR="00B31E50">
              <w:t xml:space="preserve"> amellyel szemben a betét esedékes</w:t>
            </w:r>
            <w:r>
              <w:t>, az értékek előre meghatározott listájából.</w:t>
            </w:r>
          </w:p>
        </w:tc>
      </w:tr>
      <w:tr w:rsidR="00896468"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896468" w:rsidRDefault="00B31E50">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896468" w:rsidRDefault="00B31E50">
            <w:pPr>
              <w:pStyle w:val="P68B1DB1-TableParagraph73"/>
              <w:spacing w:before="108"/>
              <w:ind w:left="85"/>
              <w:jc w:val="both"/>
              <w:rPr>
                <w:bCs/>
              </w:rPr>
            </w:pPr>
            <w:r>
              <w:t xml:space="preserve">Kielégítési sorrend  </w:t>
            </w:r>
          </w:p>
          <w:p w14:paraId="7FE1D073" w14:textId="3CA3DC07"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896468" w:rsidRDefault="00B31E50">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896468" w:rsidRDefault="00B31E50">
            <w:pPr>
              <w:pStyle w:val="P68B1DB1-TableParagraph73"/>
              <w:spacing w:before="108"/>
              <w:ind w:left="85"/>
              <w:jc w:val="both"/>
              <w:rPr>
                <w:bCs/>
              </w:rPr>
            </w:pPr>
            <w:r>
              <w:t xml:space="preserve">Szerződés azonosítója </w:t>
            </w:r>
          </w:p>
          <w:p w14:paraId="7FE1D077" w14:textId="77777777" w:rsidR="00896468" w:rsidRDefault="00B31E50">
            <w:pPr>
              <w:pStyle w:val="P68B1DB1-TableParagraph40"/>
              <w:spacing w:before="108"/>
              <w:ind w:left="85"/>
              <w:jc w:val="both"/>
            </w:pPr>
            <w:r>
              <w:t>A szerződés belső azonosítója.</w:t>
            </w:r>
          </w:p>
        </w:tc>
      </w:tr>
      <w:tr w:rsidR="00896468"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896468" w:rsidRDefault="00B31E50">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896468" w:rsidRDefault="00B31E50">
            <w:pPr>
              <w:pStyle w:val="P68B1DB1-TableParagraph73"/>
              <w:spacing w:before="108"/>
              <w:ind w:left="85"/>
              <w:jc w:val="both"/>
              <w:rPr>
                <w:bCs/>
              </w:rPr>
            </w:pPr>
            <w:r>
              <w:t xml:space="preserve">Partner azonosító  </w:t>
            </w:r>
          </w:p>
          <w:p w14:paraId="7FE1D07B" w14:textId="67D0F26D" w:rsidR="00896468" w:rsidRDefault="00B31E50">
            <w:pPr>
              <w:pStyle w:val="P68B1DB1-TableParagraph40"/>
              <w:spacing w:before="108"/>
              <w:ind w:left="85"/>
              <w:jc w:val="both"/>
            </w:pPr>
            <w:r>
              <w:t xml:space="preserve">Adja meg a betétes LEI-kódját. Jogalany-azonosító hiányában a banki adatszolgáltatás esetében a RIAD-ban használt EKB monetáris pénzügyi intézmények azonosítója (MPI-azonosító). Kizárólag mindkét azonosító hiányában adja meg a belső azonosítót (partnerenként csak egy egyedi azonosító várható). </w:t>
            </w:r>
          </w:p>
        </w:tc>
      </w:tr>
      <w:tr w:rsidR="00896468" w14:paraId="7FE1D07F" w14:textId="77777777">
        <w:tc>
          <w:tcPr>
            <w:tcW w:w="1188" w:type="dxa"/>
            <w:vMerge/>
            <w:tcBorders>
              <w:bottom w:val="single" w:sz="4" w:space="0" w:color="auto"/>
              <w:right w:val="single" w:sz="8" w:space="0" w:color="1A171C"/>
            </w:tcBorders>
            <w:vAlign w:val="center"/>
          </w:tcPr>
          <w:p w14:paraId="7FE1D07D" w14:textId="77777777" w:rsidR="00896468" w:rsidRDefault="00896468">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896468" w:rsidRDefault="00B31E50">
            <w:pPr>
              <w:pStyle w:val="P68B1DB1-TableParagraph40"/>
              <w:spacing w:before="108"/>
              <w:ind w:left="85"/>
              <w:jc w:val="both"/>
            </w:pPr>
            <w:r>
              <w:t>Az összesített szinten jelentett betétek esetében tüntesse fel a „0000”-t, mivel ez a mező kötelező.</w:t>
            </w:r>
          </w:p>
        </w:tc>
      </w:tr>
      <w:tr w:rsidR="00896468"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896468" w:rsidRDefault="00B31E50">
            <w:pPr>
              <w:pStyle w:val="P68B1DB1-Normal31"/>
            </w:pPr>
            <w:r>
              <w:t>0045</w:t>
            </w:r>
          </w:p>
        </w:tc>
        <w:tc>
          <w:tcPr>
            <w:tcW w:w="7838" w:type="dxa"/>
            <w:gridSpan w:val="2"/>
            <w:tcBorders>
              <w:top w:val="single" w:sz="4" w:space="0" w:color="auto"/>
              <w:left w:val="single" w:sz="4" w:space="0" w:color="auto"/>
            </w:tcBorders>
          </w:tcPr>
          <w:p w14:paraId="7FE1D081" w14:textId="05C93935" w:rsidR="00896468" w:rsidRDefault="00B31E50">
            <w:pPr>
              <w:pStyle w:val="P68B1DB1-TableParagraph73"/>
              <w:spacing w:before="108"/>
              <w:ind w:left="85"/>
              <w:jc w:val="both"/>
              <w:rPr>
                <w:bCs/>
              </w:rPr>
            </w:pPr>
            <w:r>
              <w:t xml:space="preserve">Azonosítótípus </w:t>
            </w:r>
          </w:p>
          <w:p w14:paraId="7FE1D082"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896468" w:rsidRDefault="00896468">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896468" w:rsidRDefault="00B31E50">
            <w:pPr>
              <w:pStyle w:val="P68B1DB1-TableParagraph40"/>
              <w:spacing w:before="108"/>
              <w:ind w:left="85"/>
              <w:jc w:val="both"/>
            </w:pPr>
            <w:r>
              <w:t>Az összesített szinten jelentett betétek esetében tüntesse fel a következőt: „Az azonosító típusa, a LEI- vagy MPI-kód kivételével”.</w:t>
            </w:r>
          </w:p>
        </w:tc>
      </w:tr>
      <w:tr w:rsidR="00896468"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896468" w:rsidRDefault="00B31E50">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896468" w:rsidRDefault="00B31E50">
            <w:pPr>
              <w:pStyle w:val="P68B1DB1-TableParagraph73"/>
              <w:spacing w:before="108"/>
              <w:ind w:left="85"/>
              <w:jc w:val="both"/>
              <w:rPr>
                <w:bCs/>
              </w:rPr>
            </w:pPr>
            <w:r>
              <w:t xml:space="preserve">Irányadó jog  </w:t>
            </w:r>
          </w:p>
          <w:p w14:paraId="7FE1D089" w14:textId="28B065F5" w:rsidR="00896468" w:rsidRDefault="00B31E50">
            <w:pPr>
              <w:pStyle w:val="P68B1DB1-TableParagraph40"/>
              <w:spacing w:before="108"/>
              <w:ind w:left="85"/>
              <w:jc w:val="both"/>
            </w:pPr>
            <w:r>
              <w:t>Annak az országnak az ISO 3166–1 alpha-2 kódja, amelynek joga a</w:t>
            </w:r>
            <w:r w:rsidR="00642015">
              <w:t>z eszközre</w:t>
            </w:r>
            <w:r w:rsidR="006F6F1C">
              <w:t xml:space="preserve"> </w:t>
            </w:r>
            <w:r>
              <w:t>alkalmazandó (az ISO 3166–2 kódot kell használni, ha a közigazgatási albontás joga alkalmazandó, pl. „US-NY”). Ha a szerződésre egynél több ország joga irányadó, azt az országot kell jelenteni, amelynek joga a leginkább releváns a leírási és átalakítási hatáskörök elismerése szempontjából.  Az összesített szinten jelentett betétek esetében az „Egyéb országok” értéket kell használni.</w:t>
            </w:r>
          </w:p>
        </w:tc>
      </w:tr>
      <w:tr w:rsidR="00896468"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896468" w:rsidRDefault="00B31E50">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896468" w:rsidRDefault="00B31E50">
            <w:pPr>
              <w:pStyle w:val="P68B1DB1-TableParagraph73"/>
              <w:spacing w:before="108"/>
              <w:ind w:left="85"/>
              <w:jc w:val="both"/>
              <w:rPr>
                <w:bCs/>
              </w:rPr>
            </w:pPr>
            <w:r>
              <w:t xml:space="preserve">Pénznem  </w:t>
            </w:r>
          </w:p>
          <w:p w14:paraId="7FE1D08D" w14:textId="3FCE0053" w:rsidR="00896468" w:rsidRDefault="00B31E50">
            <w:pPr>
              <w:pStyle w:val="P68B1DB1-TableParagraph40"/>
              <w:spacing w:before="108"/>
              <w:ind w:left="85"/>
              <w:jc w:val="both"/>
            </w:pPr>
            <w:r>
              <w:t>A betét pénzneme a hárombetűs ISO 4217 kódnak megfelelően. Az összesített szinten jelentett betétek esetében a „XXX” értéket kell használni.</w:t>
            </w:r>
          </w:p>
        </w:tc>
      </w:tr>
      <w:tr w:rsidR="00896468"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896468" w:rsidRDefault="00B31E50">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896468" w:rsidRDefault="00B31E50">
            <w:pPr>
              <w:pStyle w:val="P68B1DB1-TableParagraph73"/>
              <w:spacing w:before="108"/>
              <w:ind w:left="85"/>
              <w:jc w:val="both"/>
              <w:rPr>
                <w:bCs/>
              </w:rPr>
            </w:pPr>
            <w:r>
              <w:t xml:space="preserve">Kintlévő tőkeösszeg  </w:t>
            </w:r>
          </w:p>
          <w:p w14:paraId="7FE1D091" w14:textId="6232EFBD" w:rsidR="00896468" w:rsidRDefault="00B31E50">
            <w:pPr>
              <w:pStyle w:val="P68B1DB1-TableParagraph40"/>
              <w:spacing w:before="108"/>
              <w:ind w:left="85"/>
              <w:jc w:val="both"/>
            </w:pPr>
            <w:r>
              <w:t>A betét fennálló tőkeösszege.</w:t>
            </w:r>
          </w:p>
        </w:tc>
      </w:tr>
      <w:tr w:rsidR="00896468"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896468" w:rsidRDefault="00B31E50">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896468" w:rsidRDefault="00B31E50">
            <w:pPr>
              <w:pStyle w:val="P68B1DB1-TableParagraph73"/>
              <w:spacing w:before="108"/>
              <w:ind w:left="85"/>
              <w:jc w:val="both"/>
              <w:rPr>
                <w:bCs/>
              </w:rPr>
            </w:pPr>
            <w:r>
              <w:t xml:space="preserve">Felhalmozott kamat </w:t>
            </w:r>
          </w:p>
          <w:p w14:paraId="7FE1D095" w14:textId="1CBCCFC7" w:rsidR="00896468" w:rsidRDefault="00B31E50">
            <w:pPr>
              <w:pStyle w:val="P68B1DB1-TableParagraph40"/>
              <w:spacing w:before="108"/>
              <w:ind w:left="85"/>
              <w:jc w:val="both"/>
            </w:pPr>
            <w:r>
              <w:t>A betéten fennálló felhalmozott kamat.</w:t>
            </w:r>
          </w:p>
        </w:tc>
      </w:tr>
      <w:tr w:rsidR="00896468"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896468" w:rsidRDefault="00B31E50">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896468" w:rsidRDefault="00B31E50">
            <w:pPr>
              <w:pStyle w:val="P68B1DB1-TableParagraph73"/>
              <w:spacing w:before="108"/>
              <w:ind w:left="85"/>
              <w:jc w:val="both"/>
              <w:rPr>
                <w:bCs/>
              </w:rPr>
            </w:pPr>
            <w:r>
              <w:t xml:space="preserve">Aktuális kamatláb (%). </w:t>
            </w:r>
          </w:p>
          <w:p w14:paraId="7FE1D099" w14:textId="0E3CB279" w:rsidR="00896468" w:rsidRDefault="00B31E50">
            <w:pPr>
              <w:pStyle w:val="P68B1DB1-TableParagraph40"/>
              <w:spacing w:before="108"/>
              <w:ind w:left="85"/>
              <w:jc w:val="both"/>
            </w:pPr>
            <w:r>
              <w:t xml:space="preserve">A betétre alkalmazandó kamatláb aktuális szintje. </w:t>
            </w:r>
          </w:p>
        </w:tc>
      </w:tr>
      <w:tr w:rsidR="00896468"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896468" w:rsidRDefault="00B31E50">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5E00DFC3" w:rsidR="00896468" w:rsidRDefault="00B31E50">
            <w:pPr>
              <w:pStyle w:val="P68B1DB1-TableParagraph73"/>
              <w:spacing w:before="108"/>
              <w:ind w:left="85"/>
              <w:jc w:val="both"/>
              <w:rPr>
                <w:bCs/>
              </w:rPr>
            </w:pPr>
            <w:r>
              <w:t xml:space="preserve">Zálog, zálogjog vagy biztosíték összege </w:t>
            </w:r>
          </w:p>
          <w:p w14:paraId="7FE1D0A2" w14:textId="2D12D2E8" w:rsidR="00896468" w:rsidRDefault="00B31E50">
            <w:pPr>
              <w:pStyle w:val="P68B1DB1-TableParagraph40"/>
              <w:spacing w:before="108"/>
              <w:ind w:left="85"/>
              <w:jc w:val="both"/>
            </w:pPr>
            <w:r>
              <w:lastRenderedPageBreak/>
              <w:t>Amennyiben egy kötelezettséget záloggal, zálogjoggal vagy biztosítékkal fedeznek, ez utóbbi bruttó piaci értékét kell megadni. Ellenkező esetben a fedezetlen kötelezettségek esetében ezt a kategóriát nullaként kell feltüntetni. Ez az összeg határozza meg a biztosítékkal fedezett és végül a biztosítékkal nem fedezett betét fedezetlen részét. A több soros tételt biztosító biztosítéki halmazok esetében meg kell határozni a teljes fedezeti arányt, és arányosan kell alkalmazni az e halmaz</w:t>
            </w:r>
            <w:r w:rsidR="00CA0234">
              <w:t>ba tartozó valamennyi tételre</w:t>
            </w:r>
            <w:r>
              <w:t>.</w:t>
            </w:r>
          </w:p>
        </w:tc>
      </w:tr>
      <w:tr w:rsidR="00896468"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896468" w:rsidRDefault="00B31E50">
            <w:pPr>
              <w:pStyle w:val="P68B1DB1-Normal31"/>
            </w:pPr>
            <w:r>
              <w:lastRenderedPageBreak/>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896468" w:rsidRDefault="00B31E50">
            <w:pPr>
              <w:pStyle w:val="P68B1DB1-TableParagraph73"/>
              <w:spacing w:before="108"/>
              <w:ind w:left="85"/>
              <w:jc w:val="both"/>
              <w:rPr>
                <w:bCs/>
              </w:rPr>
            </w:pPr>
            <w:r>
              <w:t xml:space="preserve">Az MREL elismerhetőségi feltételeinek megfelelő összeg </w:t>
            </w:r>
          </w:p>
          <w:p w14:paraId="7FE1D0A6" w14:textId="5B64F85F" w:rsidR="00896468" w:rsidRDefault="00B31E50">
            <w:pPr>
              <w:pStyle w:val="P68B1DB1-TableParagraph40"/>
              <w:spacing w:before="108"/>
              <w:ind w:left="85"/>
              <w:jc w:val="both"/>
            </w:pPr>
            <w:r>
              <w:t>A 2014/59/EU irányelv 45. cikkének (1) bekezdésével összhangban meghatározott követelménybe beszámított szavatoló</w:t>
            </w:r>
            <w:r w:rsidR="00082480">
              <w:t xml:space="preserve"> </w:t>
            </w:r>
            <w:r>
              <w:t>tőke és leírható, illetve átalakítható kötelezettségek összege.</w:t>
            </w:r>
          </w:p>
        </w:tc>
      </w:tr>
      <w:tr w:rsidR="00896468"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896468" w:rsidRDefault="00B31E50">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896468" w:rsidRDefault="00B31E50">
            <w:pPr>
              <w:pStyle w:val="P68B1DB1-TableParagraph73"/>
              <w:spacing w:before="108"/>
              <w:ind w:left="85"/>
              <w:jc w:val="both"/>
              <w:rPr>
                <w:bCs/>
              </w:rPr>
            </w:pPr>
            <w:r>
              <w:t xml:space="preserve">A lekötött betétek kibocsátásának dátuma </w:t>
            </w:r>
          </w:p>
          <w:p w14:paraId="7FE1D0AA" w14:textId="4631E772" w:rsidR="00896468" w:rsidRDefault="00B31E50">
            <w:pPr>
              <w:pStyle w:val="P68B1DB1-TableParagraph40"/>
              <w:spacing w:before="108"/>
              <w:ind w:left="85"/>
              <w:jc w:val="both"/>
            </w:pPr>
            <w:r>
              <w:t xml:space="preserve">A lekötött </w:t>
            </w:r>
            <w:r w:rsidR="000873EC">
              <w:t>b</w:t>
            </w:r>
            <w:r>
              <w:t>etét eredeti kibocsátásának dátuma.</w:t>
            </w:r>
          </w:p>
        </w:tc>
      </w:tr>
      <w:tr w:rsidR="00896468" w14:paraId="7FE1D0AF" w14:textId="77777777">
        <w:tc>
          <w:tcPr>
            <w:tcW w:w="1188" w:type="dxa"/>
            <w:vMerge w:val="restart"/>
            <w:tcBorders>
              <w:top w:val="single" w:sz="8" w:space="0" w:color="1A171C"/>
              <w:left w:val="nil"/>
              <w:right w:val="single" w:sz="8" w:space="0" w:color="1A171C"/>
            </w:tcBorders>
          </w:tcPr>
          <w:p w14:paraId="7FE1D0AC" w14:textId="77777777" w:rsidR="00896468" w:rsidRDefault="00B31E50">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896468" w:rsidRDefault="00B31E50">
            <w:pPr>
              <w:pStyle w:val="P68B1DB1-TableParagraph73"/>
              <w:spacing w:before="108"/>
              <w:ind w:left="85"/>
              <w:jc w:val="both"/>
              <w:rPr>
                <w:bCs/>
              </w:rPr>
            </w:pPr>
            <w:r>
              <w:t xml:space="preserve">Legkorábbi visszaváltási időpont  </w:t>
            </w:r>
          </w:p>
          <w:p w14:paraId="7FE1D0AE" w14:textId="5A5D2A61" w:rsidR="00896468" w:rsidRDefault="00B31E50">
            <w:pPr>
              <w:pStyle w:val="P68B1DB1-TableParagraph40"/>
              <w:spacing w:before="108"/>
              <w:ind w:left="85"/>
              <w:jc w:val="both"/>
            </w:pPr>
            <w:r>
              <w:t xml:space="preserve">Ha a hitelezőnek van lehetősége arra, hogy a kötelezettség idő előtti visszafizetését kérje, vagy a </w:t>
            </w:r>
            <w:r w:rsidR="00CA0234">
              <w:t xml:space="preserve">szerződés </w:t>
            </w:r>
            <w:r>
              <w:t>lejárat előtti visszafizetés feltétele</w:t>
            </w:r>
            <w:r w:rsidR="00CA0234">
              <w:t>ket</w:t>
            </w:r>
            <w:r>
              <w:t xml:space="preserve"> </w:t>
            </w:r>
            <w:r w:rsidR="00CA0234">
              <w:t>ír elő</w:t>
            </w:r>
            <w:r>
              <w:t xml:space="preserve">, adja meg a legkorábbi esemény időpontját, ellenkező esetben a betét jogi végső lejáratának időpontját. Ha a lejárat előtti visszafizetés a kötelezettségnek csak egy részére vonatkozik (pl. a névérték 50%-ának idő előtti visszafizetése), akkor </w:t>
            </w:r>
            <w:r w:rsidR="00CA0234">
              <w:t xml:space="preserve">ossza fel </w:t>
            </w:r>
            <w:r>
              <w:t>a kötelezettséget e részleges lejárat előtti visszaváltási záradék figyelembevétele érdekében.</w:t>
            </w:r>
          </w:p>
        </w:tc>
      </w:tr>
      <w:tr w:rsidR="00896468" w14:paraId="7FE1D0B2" w14:textId="77777777">
        <w:tc>
          <w:tcPr>
            <w:tcW w:w="1188" w:type="dxa"/>
            <w:vMerge/>
            <w:tcBorders>
              <w:bottom w:val="single" w:sz="8" w:space="0" w:color="1A171C"/>
              <w:right w:val="single" w:sz="8" w:space="0" w:color="1A171C"/>
            </w:tcBorders>
            <w:vAlign w:val="center"/>
          </w:tcPr>
          <w:p w14:paraId="7FE1D0B0" w14:textId="77777777" w:rsidR="00896468" w:rsidRDefault="00896468">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896468" w:rsidRDefault="00B31E50">
            <w:pPr>
              <w:pStyle w:val="P68B1DB1-TableParagraph40"/>
              <w:spacing w:before="108"/>
              <w:ind w:left="85"/>
              <w:jc w:val="both"/>
            </w:pPr>
            <w:r>
              <w:t xml:space="preserve">Az összesített szinten jelentett betétek esetében a legkorábbi visszaváltási időpontot „2199–12–31”-ként kell feltüntetni. </w:t>
            </w:r>
          </w:p>
        </w:tc>
      </w:tr>
      <w:tr w:rsidR="00896468" w14:paraId="7FE1D0B6" w14:textId="77777777">
        <w:tc>
          <w:tcPr>
            <w:tcW w:w="1188" w:type="dxa"/>
            <w:vMerge w:val="restart"/>
            <w:tcBorders>
              <w:top w:val="single" w:sz="8" w:space="0" w:color="1A171C"/>
              <w:left w:val="nil"/>
              <w:right w:val="single" w:sz="8" w:space="0" w:color="1A171C"/>
            </w:tcBorders>
          </w:tcPr>
          <w:p w14:paraId="7FE1D0B3" w14:textId="413885FF" w:rsidR="00896468" w:rsidRDefault="00896468">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896468" w:rsidRDefault="00896468">
            <w:pPr>
              <w:pStyle w:val="TableParagraph"/>
              <w:spacing w:before="108"/>
              <w:ind w:left="85"/>
              <w:jc w:val="both"/>
              <w:rPr>
                <w:rFonts w:ascii="Times New Roman" w:eastAsia="Times New Roman" w:hAnsi="Times New Roman" w:cs="Times New Roman"/>
                <w:sz w:val="20"/>
                <w:szCs w:val="20"/>
              </w:rPr>
            </w:pPr>
          </w:p>
        </w:tc>
      </w:tr>
      <w:tr w:rsidR="00896468" w14:paraId="7FE1D0B9" w14:textId="77777777">
        <w:tc>
          <w:tcPr>
            <w:tcW w:w="1188" w:type="dxa"/>
            <w:vMerge/>
            <w:tcBorders>
              <w:bottom w:val="single" w:sz="8" w:space="0" w:color="1A171C"/>
              <w:right w:val="single" w:sz="8" w:space="0" w:color="1A171C"/>
            </w:tcBorders>
            <w:vAlign w:val="center"/>
          </w:tcPr>
          <w:p w14:paraId="7FE1D0B7" w14:textId="77777777" w:rsidR="00896468" w:rsidRDefault="00896468">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896468" w:rsidRDefault="00896468">
            <w:pPr>
              <w:rPr>
                <w:rFonts w:ascii="Times New Roman" w:hAnsi="Times New Roman" w:cs="Times New Roman"/>
              </w:rPr>
            </w:pPr>
          </w:p>
        </w:tc>
      </w:tr>
    </w:tbl>
    <w:p w14:paraId="7FE1D0BA" w14:textId="77777777" w:rsidR="00896468" w:rsidRDefault="00896468">
      <w:pPr>
        <w:pStyle w:val="body"/>
        <w:rPr>
          <w:rFonts w:ascii="Times New Roman" w:hAnsi="Times New Roman" w:cs="Times New Roman"/>
          <w:color w:val="000000" w:themeColor="text1"/>
          <w:sz w:val="20"/>
          <w:szCs w:val="20"/>
        </w:rPr>
      </w:pPr>
    </w:p>
    <w:p w14:paraId="7FE1D0BB" w14:textId="77777777" w:rsidR="00896468" w:rsidRDefault="00896468">
      <w:pPr>
        <w:rPr>
          <w:rFonts w:ascii="Times New Roman" w:hAnsi="Times New Roman" w:cs="Times New Roman"/>
        </w:rPr>
      </w:pPr>
    </w:p>
    <w:p w14:paraId="7FE1D0BC" w14:textId="77777777" w:rsidR="00896468" w:rsidRDefault="00896468">
      <w:pPr>
        <w:pStyle w:val="Instructionsberschrift2"/>
        <w:ind w:left="357"/>
        <w:rPr>
          <w:rFonts w:ascii="Times New Roman" w:eastAsia="Calibri" w:hAnsi="Times New Roman" w:cs="Times New Roman"/>
          <w:szCs w:val="20"/>
        </w:rPr>
      </w:pPr>
    </w:p>
    <w:p w14:paraId="7FE1D0BD" w14:textId="432FB6B0" w:rsidR="00896468" w:rsidRDefault="00B31E50">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51" w:name="_Toc210982901"/>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Egyéb pénzügyi kötelezettségek </w:t>
      </w:r>
      <w:r w:rsidR="00C02083">
        <w:rPr>
          <w:rFonts w:ascii="Times New Roman" w:hAnsi="Times New Roman" w:cs="Times New Roman"/>
          <w:color w:val="000000" w:themeColor="text1"/>
        </w:rPr>
        <w:t>(</w:t>
      </w:r>
      <w:r w:rsidR="009A6211">
        <w:rPr>
          <w:rFonts w:ascii="Times New Roman" w:hAnsi="Times New Roman" w:cs="Times New Roman"/>
          <w:color w:val="000000" w:themeColor="text1"/>
        </w:rPr>
        <w:t>nem szerepelnek más füleken, kivéve a csoporton belüli kötelezettségek</w:t>
      </w:r>
      <w:r>
        <w:rPr>
          <w:rFonts w:ascii="Times New Roman" w:hAnsi="Times New Roman" w:cs="Times New Roman"/>
          <w:color w:val="000000" w:themeColor="text1"/>
        </w:rPr>
        <w:t xml:space="preserve">) </w:t>
      </w:r>
      <w:r>
        <w:rPr>
          <w:rFonts w:ascii="Times New Roman" w:eastAsia="Calibri" w:hAnsi="Times New Roman" w:cs="Times New Roman"/>
          <w:szCs w:val="20"/>
        </w:rPr>
        <w:t>(LIAB-G-4)</w:t>
      </w:r>
      <w:bookmarkEnd w:id="251"/>
    </w:p>
    <w:p w14:paraId="7FE1D0BE" w14:textId="56404057" w:rsidR="00896468" w:rsidRDefault="00896468">
      <w:pPr>
        <w:pStyle w:val="Instructionsberschrift2"/>
        <w:ind w:left="357"/>
        <w:rPr>
          <w:rFonts w:ascii="Times New Roman" w:eastAsiaTheme="minorEastAsia" w:hAnsi="Times New Roman" w:cs="Times New Roman"/>
          <w:color w:val="000000" w:themeColor="text1"/>
        </w:rPr>
      </w:pPr>
    </w:p>
    <w:p w14:paraId="7FE1D0BF" w14:textId="77777777" w:rsidR="00896468" w:rsidRDefault="00B31E50">
      <w:pPr>
        <w:pStyle w:val="P68B1DB1-Numberedtitlelevel372"/>
      </w:pPr>
      <w:r>
        <w:t>Általános megjegyzések</w:t>
      </w:r>
    </w:p>
    <w:p w14:paraId="7FE1D0C0" w14:textId="28B97243" w:rsidR="00896468" w:rsidRDefault="00B31E50">
      <w:pPr>
        <w:pStyle w:val="P68B1DB1-InstructionsText286"/>
        <w:numPr>
          <w:ilvl w:val="2"/>
          <w:numId w:val="209"/>
        </w:numPr>
        <w:spacing w:before="0"/>
        <w:ind w:left="1276"/>
      </w:pPr>
      <w:r>
        <w:t>Ez a táblázat tartalmazza az összes olyan kötelezettséget, amelyet az egyéb részletes tájékoztatási követelmények (azaz Z11.00, Z12.00, Z13.00, Z15.00, Z16.00 és Z17.00) egyikében sem tüntetnek fel, például kölcsönöket, operatív kötelezettségeket, elszámolóházakkal szembeni kötelezettségeket stb.</w:t>
      </w:r>
    </w:p>
    <w:p w14:paraId="7FE1D0C2" w14:textId="3CB02A11" w:rsidR="00896468" w:rsidRDefault="00B31E50">
      <w:pPr>
        <w:pStyle w:val="P68B1DB1-InstructionsText286"/>
        <w:numPr>
          <w:ilvl w:val="2"/>
          <w:numId w:val="209"/>
        </w:numPr>
        <w:spacing w:before="0"/>
        <w:ind w:left="1276"/>
      </w:pPr>
      <w:r>
        <w:t>Azok a mezők, amelyek egy adott kötelezettségre nem vonatkoznak (pl. felhalmozott kamat, aktuális kamatláb, kibocsátási dátum stb.), üresen hagyhatók.</w:t>
      </w:r>
    </w:p>
    <w:p w14:paraId="7FE1D0C3" w14:textId="7C8B3D6D" w:rsidR="00896468" w:rsidRDefault="00B31E50">
      <w:pPr>
        <w:pStyle w:val="P68B1DB1-InstructionsText286"/>
        <w:numPr>
          <w:ilvl w:val="2"/>
          <w:numId w:val="209"/>
        </w:numPr>
        <w:spacing w:before="0"/>
        <w:ind w:left="1276"/>
      </w:pPr>
      <w:r>
        <w:t>E táblázat alkalmazásában a kötelezettségeket sorokban, a kért mezők által meghatározott részletességi szinten kell feltüntetni (elvben minden egyes ügyletet külön sorként kell jelenteni). A csoport munkavállalóinak kötelezettségei típus és kielégítési sorrend szerint.</w:t>
      </w:r>
    </w:p>
    <w:p w14:paraId="7FE1D0C5" w14:textId="77777777" w:rsidR="00896468" w:rsidRDefault="00B31E50">
      <w:pPr>
        <w:pStyle w:val="P68B1DB1-InstructionsText287"/>
        <w:numPr>
          <w:ilvl w:val="0"/>
          <w:numId w:val="0"/>
        </w:numPr>
        <w:spacing w:before="0"/>
      </w:pPr>
      <w:r>
        <w:t>A táblák egyes részeire vonatkozó útmutatások</w:t>
      </w:r>
    </w:p>
    <w:tbl>
      <w:tblPr>
        <w:tblW w:w="9015" w:type="dxa"/>
        <w:tblInd w:w="135" w:type="dxa"/>
        <w:tblLayout w:type="fixed"/>
        <w:tblLook w:val="04A0" w:firstRow="1" w:lastRow="0" w:firstColumn="1" w:lastColumn="0" w:noHBand="0" w:noVBand="1"/>
      </w:tblPr>
      <w:tblGrid>
        <w:gridCol w:w="1183"/>
        <w:gridCol w:w="7832"/>
      </w:tblGrid>
      <w:tr w:rsidR="00896468"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896468" w:rsidRDefault="00B31E50">
            <w:pPr>
              <w:pStyle w:val="P68B1DB1-TableParagraph17"/>
              <w:spacing w:before="108"/>
              <w:ind w:left="85"/>
            </w:pPr>
            <w:r>
              <w:lastRenderedPageBreak/>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896468" w:rsidRDefault="00B31E50">
            <w:pPr>
              <w:pStyle w:val="P68B1DB1-TableParagraph17"/>
              <w:spacing w:before="108"/>
              <w:ind w:left="85"/>
            </w:pPr>
            <w:r>
              <w:t xml:space="preserve">Útmutató </w:t>
            </w:r>
          </w:p>
        </w:tc>
      </w:tr>
      <w:tr w:rsidR="00896468"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896468" w:rsidRDefault="00B31E50">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896468" w:rsidRDefault="00B31E50">
            <w:pPr>
              <w:pStyle w:val="P68B1DB1-TableParagraph73"/>
              <w:spacing w:before="108"/>
              <w:ind w:left="85"/>
              <w:jc w:val="both"/>
              <w:rPr>
                <w:bCs/>
              </w:rPr>
            </w:pPr>
            <w:r>
              <w:t xml:space="preserve">SORSZÁM </w:t>
            </w:r>
          </w:p>
          <w:p w14:paraId="7FE1D0CB" w14:textId="1F8D9197" w:rsidR="00896468" w:rsidRDefault="00B31E50">
            <w:pPr>
              <w:pStyle w:val="P68B1DB1-TableParagraph40"/>
              <w:spacing w:before="108"/>
              <w:ind w:left="85"/>
              <w:jc w:val="both"/>
            </w:pPr>
            <w:r>
              <w:t>Egyedi szám/elsődleges kulcs a sorok azonosítására.</w:t>
            </w:r>
          </w:p>
        </w:tc>
      </w:tr>
      <w:tr w:rsidR="00896468"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896468" w:rsidRDefault="00B31E50">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896468" w:rsidRDefault="00B31E50">
            <w:pPr>
              <w:pStyle w:val="P68B1DB1-TableParagraph73"/>
              <w:spacing w:before="108"/>
              <w:ind w:left="85"/>
              <w:jc w:val="both"/>
              <w:rPr>
                <w:bCs/>
              </w:rPr>
            </w:pPr>
            <w:r>
              <w:t xml:space="preserve">Sor </w:t>
            </w:r>
          </w:p>
          <w:p w14:paraId="7FE1D0CF" w14:textId="6CE09421" w:rsidR="00896468" w:rsidRDefault="00B31E50">
            <w:pPr>
              <w:pStyle w:val="P68B1DB1-TableParagraph40"/>
              <w:spacing w:before="108"/>
              <w:ind w:left="85"/>
              <w:jc w:val="both"/>
            </w:pPr>
            <w:r>
              <w:t>Minden egyes jelentett sor esetében meg kell adni Z02.00 táblában szereplő</w:t>
            </w:r>
            <w:r w:rsidR="00C02083">
              <w:t xml:space="preserve"> kötelezettségszerkezet </w:t>
            </w:r>
            <w:r>
              <w:t>kötelezettségkategóriá</w:t>
            </w:r>
            <w:r w:rsidR="00AC5385">
              <w:t>já</w:t>
            </w:r>
            <w:r>
              <w:t>t a lejárat szintjén</w:t>
            </w:r>
            <w:r w:rsidR="00C02083">
              <w:t>,</w:t>
            </w:r>
            <w:r>
              <w:t xml:space="preserve"> </w:t>
            </w:r>
            <w:r w:rsidR="00C02083" w:rsidRPr="00C02083">
              <w:t>az értékek előre meghatározott listájából</w:t>
            </w:r>
            <w:r w:rsidR="00C02083">
              <w:t>.</w:t>
            </w:r>
          </w:p>
        </w:tc>
      </w:tr>
      <w:tr w:rsidR="00896468"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896468" w:rsidRDefault="00B31E50">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896468" w:rsidRDefault="00B31E50">
            <w:pPr>
              <w:pStyle w:val="P68B1DB1-TableParagraph73"/>
              <w:spacing w:before="108"/>
              <w:ind w:left="85"/>
              <w:jc w:val="both"/>
              <w:rPr>
                <w:bCs/>
              </w:rPr>
            </w:pPr>
            <w:r>
              <w:t xml:space="preserve">Oszlop </w:t>
            </w:r>
          </w:p>
          <w:p w14:paraId="7FE1D0D3" w14:textId="3C29691C" w:rsidR="00896468" w:rsidRDefault="00B31E50">
            <w:pPr>
              <w:pStyle w:val="P68B1DB1-TableParagraph40"/>
              <w:spacing w:before="108"/>
              <w:ind w:left="85"/>
              <w:jc w:val="both"/>
            </w:pPr>
            <w:r>
              <w:t xml:space="preserve">Minden egyes jelentett sor esetében meg kell adni </w:t>
            </w:r>
            <w:r w:rsidR="00C02083">
              <w:t>a Z02.00 tábla azon partnerosztályá</w:t>
            </w:r>
            <w:r>
              <w:t xml:space="preserve">t, amellyel </w:t>
            </w:r>
            <w:r w:rsidR="00147D6B">
              <w:t xml:space="preserve">szemben </w:t>
            </w:r>
            <w:r>
              <w:t xml:space="preserve">a kötelezettség </w:t>
            </w:r>
            <w:r w:rsidR="00147D6B">
              <w:t>fennáll</w:t>
            </w:r>
            <w:r>
              <w:t>, az értékek előre meghatározott listájából.</w:t>
            </w:r>
          </w:p>
        </w:tc>
      </w:tr>
      <w:tr w:rsidR="00896468"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896468" w:rsidRDefault="00B31E50">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896468" w:rsidRDefault="00B31E50">
            <w:pPr>
              <w:pStyle w:val="P68B1DB1-TableParagraph73"/>
              <w:spacing w:before="108"/>
              <w:ind w:left="85"/>
              <w:jc w:val="both"/>
              <w:rPr>
                <w:bCs/>
              </w:rPr>
            </w:pPr>
            <w:r>
              <w:t xml:space="preserve">Kielégítési sorrend  </w:t>
            </w:r>
          </w:p>
          <w:p w14:paraId="7FE1D0D7" w14:textId="3C00E6EA"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896468" w:rsidRDefault="00B31E50">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896468" w:rsidRDefault="00B31E50">
            <w:pPr>
              <w:pStyle w:val="P68B1DB1-TableParagraph73"/>
              <w:spacing w:before="108"/>
              <w:ind w:left="85"/>
              <w:jc w:val="both"/>
              <w:rPr>
                <w:bCs/>
              </w:rPr>
            </w:pPr>
            <w:r>
              <w:t xml:space="preserve">Szerződésazonosító </w:t>
            </w:r>
          </w:p>
          <w:p w14:paraId="7FE1D0DB" w14:textId="09A77FF8" w:rsidR="00896468" w:rsidRDefault="00B31E50">
            <w:pPr>
              <w:pStyle w:val="P68B1DB1-TableParagraph40"/>
              <w:spacing w:before="108"/>
              <w:ind w:left="85"/>
              <w:jc w:val="both"/>
            </w:pPr>
            <w:r>
              <w:t>Az ISIN-kódot, vagy ha az ISIN nem áll rendelkezésre, az instrumentum másik szerződésazonosítóját kell megadni.</w:t>
            </w:r>
          </w:p>
        </w:tc>
      </w:tr>
      <w:tr w:rsidR="00896468"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896468" w:rsidRDefault="00B31E50">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896468" w:rsidRDefault="00B31E50">
            <w:pPr>
              <w:pStyle w:val="P68B1DB1-TableParagraph73"/>
              <w:spacing w:before="108"/>
              <w:ind w:left="85"/>
              <w:jc w:val="both"/>
              <w:rPr>
                <w:bCs/>
              </w:rPr>
            </w:pPr>
            <w:r>
              <w:t xml:space="preserve">A partner neve </w:t>
            </w:r>
          </w:p>
          <w:p w14:paraId="7FE1D0DF" w14:textId="5D08E31A" w:rsidR="00896468" w:rsidRDefault="00B31E50">
            <w:pPr>
              <w:pStyle w:val="P68B1DB1-TableParagraph40"/>
              <w:spacing w:before="108"/>
              <w:ind w:left="85"/>
              <w:jc w:val="both"/>
            </w:pPr>
            <w:r>
              <w:t>A kötelezettség szerződő felének neve.</w:t>
            </w:r>
          </w:p>
        </w:tc>
      </w:tr>
      <w:tr w:rsidR="00896468"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896468" w:rsidRDefault="00B31E50">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896468" w:rsidRDefault="00B31E50">
            <w:pPr>
              <w:pStyle w:val="P68B1DB1-TableParagraph73"/>
              <w:spacing w:before="108"/>
              <w:ind w:left="85"/>
              <w:jc w:val="both"/>
            </w:pPr>
            <w:r>
              <w:t>Partner azonosító</w:t>
            </w:r>
          </w:p>
          <w:p w14:paraId="7FE1D0E3" w14:textId="4E34C2DB" w:rsidR="00896468" w:rsidRDefault="00B31E50">
            <w:pPr>
              <w:pStyle w:val="P68B1DB1-TableParagraph40"/>
              <w:spacing w:before="108"/>
              <w:ind w:left="85"/>
              <w:jc w:val="both"/>
            </w:pPr>
            <w:r>
              <w:t>Adja meg a hitelező LEI-kódját. Jogalany-azonosító hiányában a banki adatszolgáltatás esetében a RIAD-ban használt EKB monetáris pénzügyi intézmények azonosítója (MPI-azonosító). Kizárólag e két azonosító hiányában jelentse meg a belső azonosítót.</w:t>
            </w:r>
          </w:p>
          <w:p w14:paraId="7FE1D0E4" w14:textId="1D573481" w:rsidR="00896468" w:rsidRDefault="00896468">
            <w:pPr>
              <w:pStyle w:val="TableParagraph"/>
              <w:spacing w:before="108"/>
              <w:ind w:left="85"/>
              <w:jc w:val="both"/>
              <w:rPr>
                <w:rFonts w:ascii="Times New Roman" w:eastAsia="Times New Roman" w:hAnsi="Times New Roman" w:cs="Times New Roman"/>
                <w:sz w:val="20"/>
                <w:szCs w:val="20"/>
              </w:rPr>
            </w:pPr>
          </w:p>
        </w:tc>
      </w:tr>
      <w:tr w:rsidR="00896468"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896468" w:rsidRDefault="00B31E50">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896468" w:rsidRDefault="00B31E50">
            <w:pPr>
              <w:pStyle w:val="P68B1DB1-TableParagraph73"/>
              <w:spacing w:before="108"/>
              <w:ind w:left="85"/>
              <w:jc w:val="both"/>
              <w:rPr>
                <w:bCs/>
              </w:rPr>
            </w:pPr>
            <w:r>
              <w:t xml:space="preserve">Azonosítótípus </w:t>
            </w:r>
          </w:p>
          <w:p w14:paraId="7FE1D0E8"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896468" w:rsidRDefault="00B31E50">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896468" w:rsidRDefault="00B31E50">
            <w:pPr>
              <w:pStyle w:val="P68B1DB1-TableParagraph73"/>
              <w:spacing w:before="108"/>
              <w:ind w:left="85"/>
              <w:jc w:val="both"/>
              <w:rPr>
                <w:bCs/>
              </w:rPr>
            </w:pPr>
            <w:r>
              <w:t xml:space="preserve">Irányadó jog  </w:t>
            </w:r>
          </w:p>
          <w:p w14:paraId="7FE1D0EC" w14:textId="1BB232BD" w:rsidR="00896468" w:rsidRDefault="00B31E50">
            <w:pPr>
              <w:pStyle w:val="P68B1DB1-TableParagraph40"/>
              <w:spacing w:before="108"/>
              <w:ind w:left="85"/>
              <w:jc w:val="both"/>
            </w:pPr>
            <w:r>
              <w:t>Annak az országnak az ISO 3166–1 alpha-2 kódja, amelynek joga a</w:t>
            </w:r>
            <w:r w:rsidR="00B21AE6">
              <w:t>z eszközre</w:t>
            </w:r>
            <w:r w:rsidR="00147D6B">
              <w:t xml:space="preserve"> </w:t>
            </w:r>
            <w:r>
              <w:t xml:space="preserve">alkalmazandó (az ISO 3166–2 kódot kell használni, ha a közigazgatási albontás joga alkalmazandó, pl. „US-NY”). Ha a szerződésre egynél több ország joga irányadó, azt az országot kell jelenteni, amelynek joga a leginkább releváns a leírási és átalakítási hatáskörök elismerése szempontjából.  </w:t>
            </w:r>
          </w:p>
        </w:tc>
      </w:tr>
      <w:tr w:rsidR="00896468"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896468" w:rsidRDefault="00B31E50">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896468" w:rsidRDefault="00B31E50">
            <w:pPr>
              <w:pStyle w:val="P68B1DB1-TableParagraph73"/>
              <w:spacing w:before="108"/>
              <w:ind w:left="85"/>
              <w:jc w:val="both"/>
              <w:rPr>
                <w:bCs/>
              </w:rPr>
            </w:pPr>
            <w:r>
              <w:t xml:space="preserve">Pénzügyi kötelezettségek típusa </w:t>
            </w:r>
          </w:p>
          <w:p w14:paraId="7FE1D0F0" w14:textId="2B7CC2B7" w:rsidR="00896468" w:rsidRDefault="00B31E50">
            <w:pPr>
              <w:pStyle w:val="P68B1DB1-TableParagraph40"/>
              <w:spacing w:before="108"/>
              <w:ind w:left="85"/>
              <w:jc w:val="both"/>
            </w:pPr>
            <w:r>
              <w:t>A következő lehetőségek közül kell kiválasztani: „</w:t>
            </w:r>
            <w:r w:rsidR="00B21AE6">
              <w:t>Adósi kötvénykölcsön</w:t>
            </w:r>
            <w:r>
              <w:t>”, „Nyilvántartott kötvény”, „Beváltási váltó”, „</w:t>
            </w:r>
            <w:r w:rsidR="00B21AE6">
              <w:t>Csendes társ befektetései</w:t>
            </w:r>
            <w:r>
              <w:t>”, „Egyéb pénzügyi kötelezettségek”.</w:t>
            </w:r>
          </w:p>
        </w:tc>
      </w:tr>
      <w:tr w:rsidR="00896468"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896468" w:rsidRDefault="00B31E50">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896468" w:rsidRDefault="00B31E50">
            <w:pPr>
              <w:pStyle w:val="P68B1DB1-TableParagraph73"/>
              <w:spacing w:before="108"/>
              <w:ind w:left="85"/>
              <w:jc w:val="both"/>
            </w:pPr>
            <w:r>
              <w:t xml:space="preserve">Ha harmadik ország joga, szerződéses elismerés </w:t>
            </w:r>
          </w:p>
          <w:p w14:paraId="7FE1D0F6" w14:textId="6C46BD52" w:rsidR="00896468" w:rsidRDefault="00B31E50">
            <w:pPr>
              <w:pStyle w:val="P68B1DB1-TableParagraph40"/>
              <w:spacing w:before="108"/>
              <w:ind w:left="85"/>
              <w:jc w:val="both"/>
            </w:pPr>
            <w:r>
              <w:t>A hitelezői feltőkésítési hatáskörök elismerésére vonatkozó szerződéses rendelkezések meghatározása a bankok helyreállításáról és szanálásáról szóló irányelv 55. cikkével összhangban</w:t>
            </w:r>
            <w:r w:rsidR="00147D6B">
              <w:t>:</w:t>
            </w:r>
            <w:r>
              <w:t xml:space="preserve"> </w:t>
            </w:r>
          </w:p>
          <w:p w14:paraId="7FE1D0F7" w14:textId="77777777" w:rsidR="00896468" w:rsidRDefault="00B31E50">
            <w:pPr>
              <w:pStyle w:val="P68B1DB1-TableParagraph40"/>
              <w:spacing w:before="108"/>
              <w:ind w:left="85"/>
              <w:jc w:val="both"/>
            </w:pPr>
            <w:r>
              <w:t>Igen, jogi vélemény támasztja alá” = a kötelezettség magában foglal egy hitelezői feltőkésítés elismerésére vonatkozó záradékot a bankok helyreállításáról és szanálásáról szóló irányelv 55. cikkével összhangban, amelyet jogi vélemény támaszt alá;</w:t>
            </w:r>
          </w:p>
          <w:p w14:paraId="7FE1D0F8" w14:textId="77777777" w:rsidR="00896468" w:rsidRDefault="00B31E50">
            <w:pPr>
              <w:pStyle w:val="P68B1DB1-TableParagraph40"/>
              <w:spacing w:before="108"/>
              <w:ind w:left="85"/>
              <w:jc w:val="both"/>
            </w:pPr>
            <w:r>
              <w:t>„Igen, jogi vélemény nem támasztja alá” = a kötelezettség magában foglal egy hitelezői feltőkésítés elismerésére vonatkozó záradékot a bankok helyreállításáról és szanálásáról szóló irányelv 55. cikkével összhangban, amelyet jelenleg nem támaszt alá jogi vélemény;</w:t>
            </w:r>
          </w:p>
          <w:p w14:paraId="7FE1D0F9" w14:textId="70D9E0A2" w:rsidR="00896468" w:rsidRDefault="00B31E50">
            <w:pPr>
              <w:pStyle w:val="P68B1DB1-TableParagraph40"/>
              <w:spacing w:before="108"/>
              <w:ind w:left="85"/>
              <w:jc w:val="both"/>
            </w:pPr>
            <w:r>
              <w:lastRenderedPageBreak/>
              <w:t>„Nem” = a kötelezettség nem tartalmaz hitelezői feltőkésítés</w:t>
            </w:r>
            <w:r w:rsidR="00147D6B">
              <w:t xml:space="preserve"> elismerésére vonatkozó</w:t>
            </w:r>
            <w:r>
              <w:t xml:space="preserve"> záradékot;</w:t>
            </w:r>
          </w:p>
          <w:p w14:paraId="7FE1D0FA" w14:textId="07E9B1A6" w:rsidR="00896468" w:rsidRDefault="00B31E50">
            <w:pPr>
              <w:pStyle w:val="P68B1DB1-TableParagraph40"/>
              <w:spacing w:before="108"/>
              <w:ind w:left="85"/>
              <w:jc w:val="both"/>
            </w:pPr>
            <w:r>
              <w:t xml:space="preserve">„Nem alkalmazandó”,   </w:t>
            </w:r>
          </w:p>
          <w:p w14:paraId="7FE1D0FB" w14:textId="77777777" w:rsidR="00896468" w:rsidRDefault="00B31E50">
            <w:pPr>
              <w:pStyle w:val="P68B1DB1-TableParagraph40"/>
              <w:spacing w:before="108"/>
              <w:ind w:left="85"/>
              <w:jc w:val="both"/>
            </w:pPr>
            <w:r>
              <w:t>előre meghatározott listáról.</w:t>
            </w:r>
          </w:p>
        </w:tc>
      </w:tr>
      <w:tr w:rsidR="00896468"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896468" w:rsidRDefault="00B31E50">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896468" w:rsidRDefault="00B31E50">
            <w:pPr>
              <w:pStyle w:val="P68B1DB1-TableParagraph73"/>
              <w:spacing w:before="108"/>
              <w:ind w:left="85"/>
              <w:jc w:val="both"/>
              <w:rPr>
                <w:bCs/>
              </w:rPr>
            </w:pPr>
            <w:r>
              <w:t xml:space="preserve">Kintlévő tőkeösszeg  </w:t>
            </w:r>
          </w:p>
          <w:p w14:paraId="7FE1D0FF" w14:textId="66FDB1F5" w:rsidR="00896468" w:rsidRDefault="00B31E50">
            <w:pPr>
              <w:pStyle w:val="P68B1DB1-TableParagraph40"/>
              <w:spacing w:before="108"/>
              <w:ind w:left="85"/>
              <w:jc w:val="both"/>
            </w:pPr>
            <w:r>
              <w:t>A kötelezettség fennálló tőkeösszege.</w:t>
            </w:r>
          </w:p>
        </w:tc>
      </w:tr>
      <w:tr w:rsidR="00896468"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896468" w:rsidRDefault="00B31E50">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896468" w:rsidRDefault="00B31E50">
            <w:pPr>
              <w:pStyle w:val="P68B1DB1-TableParagraph73"/>
              <w:spacing w:before="108"/>
              <w:ind w:left="85"/>
              <w:jc w:val="both"/>
              <w:rPr>
                <w:bCs/>
              </w:rPr>
            </w:pPr>
            <w:r>
              <w:t xml:space="preserve">Felhalmozott kamat </w:t>
            </w:r>
          </w:p>
          <w:p w14:paraId="7FE1D103" w14:textId="345D6EBF" w:rsidR="00896468" w:rsidRDefault="00B31E50">
            <w:pPr>
              <w:pStyle w:val="P68B1DB1-TableParagraph40"/>
              <w:spacing w:before="108"/>
              <w:ind w:left="85"/>
              <w:jc w:val="both"/>
            </w:pPr>
            <w:r>
              <w:t>A kötelezettség fennálló elhatárolt kamata.</w:t>
            </w:r>
          </w:p>
        </w:tc>
      </w:tr>
      <w:tr w:rsidR="00896468"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896468" w:rsidRDefault="00B31E50">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18B8BC7" w:rsidR="00896468" w:rsidRDefault="00147D6B">
            <w:pPr>
              <w:pStyle w:val="P68B1DB1-TableParagraph73"/>
              <w:spacing w:before="108"/>
              <w:ind w:left="85"/>
              <w:jc w:val="both"/>
              <w:rPr>
                <w:bCs/>
              </w:rPr>
            </w:pPr>
            <w:r>
              <w:t xml:space="preserve">Jelenlegi </w:t>
            </w:r>
            <w:r w:rsidR="00B31E50">
              <w:t xml:space="preserve">kamatláb (%) </w:t>
            </w:r>
          </w:p>
          <w:p w14:paraId="7FE1D107" w14:textId="574366AF" w:rsidR="00896468" w:rsidRDefault="00B31E50">
            <w:pPr>
              <w:pStyle w:val="P68B1DB1-TableParagraph40"/>
              <w:spacing w:before="108"/>
              <w:ind w:left="85"/>
              <w:jc w:val="both"/>
            </w:pPr>
            <w:r>
              <w:t xml:space="preserve">A kötelezettségre alkalmazandó kamatláb aktuális szintje. </w:t>
            </w:r>
          </w:p>
        </w:tc>
      </w:tr>
      <w:tr w:rsidR="00896468"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896468" w:rsidRDefault="00B31E50">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896468" w:rsidRDefault="00B31E50">
            <w:pPr>
              <w:pStyle w:val="P68B1DB1-TableParagraph73"/>
              <w:spacing w:before="108"/>
              <w:ind w:left="85"/>
              <w:jc w:val="both"/>
              <w:rPr>
                <w:bCs/>
              </w:rPr>
            </w:pPr>
            <w:r>
              <w:t xml:space="preserve">Pénznem  </w:t>
            </w:r>
          </w:p>
          <w:p w14:paraId="7FE1D10B" w14:textId="4FC71DBE" w:rsidR="00896468" w:rsidRDefault="00B31E50">
            <w:pPr>
              <w:pStyle w:val="P68B1DB1-TableParagraph40"/>
              <w:spacing w:before="108"/>
              <w:ind w:left="85"/>
              <w:jc w:val="both"/>
            </w:pPr>
            <w:r>
              <w:t>A kötelezettség pénzneme a hárombetűs ISO 4217 kódnak megfelelően.</w:t>
            </w:r>
          </w:p>
        </w:tc>
      </w:tr>
      <w:tr w:rsidR="00896468"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896468" w:rsidRDefault="00B31E50">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117E44E9" w:rsidR="00896468" w:rsidRDefault="00147D6B">
            <w:pPr>
              <w:pStyle w:val="P68B1DB1-TableParagraph73"/>
              <w:spacing w:before="108"/>
              <w:ind w:left="85"/>
              <w:jc w:val="both"/>
              <w:rPr>
                <w:bCs/>
              </w:rPr>
            </w:pPr>
            <w:r>
              <w:t xml:space="preserve">Kibocsátás </w:t>
            </w:r>
            <w:r w:rsidR="00B31E50">
              <w:t xml:space="preserve">időpontja </w:t>
            </w:r>
          </w:p>
          <w:p w14:paraId="7FE1D10F" w14:textId="77777777" w:rsidR="00896468" w:rsidRDefault="00B31E50">
            <w:pPr>
              <w:pStyle w:val="P68B1DB1-TableParagraph40"/>
              <w:spacing w:before="108"/>
              <w:ind w:left="85"/>
              <w:jc w:val="both"/>
            </w:pPr>
            <w:r>
              <w:t>A kötelezettség eredeti kibocsátásának időpontja.</w:t>
            </w:r>
          </w:p>
        </w:tc>
      </w:tr>
      <w:tr w:rsidR="00896468"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896468" w:rsidRDefault="00B31E50">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34265C9C" w:rsidR="00896468" w:rsidRDefault="00B31E50">
            <w:pPr>
              <w:pStyle w:val="P68B1DB1-TableParagraph73"/>
              <w:spacing w:before="108"/>
              <w:ind w:left="85"/>
              <w:jc w:val="both"/>
              <w:rPr>
                <w:bCs/>
              </w:rPr>
            </w:pPr>
            <w:r>
              <w:t xml:space="preserve">A legkorábbi </w:t>
            </w:r>
            <w:r w:rsidR="00147D6B">
              <w:t xml:space="preserve">visszaváltási </w:t>
            </w:r>
            <w:r>
              <w:t xml:space="preserve">időpontja  </w:t>
            </w:r>
          </w:p>
          <w:p w14:paraId="7FE1D113" w14:textId="3EBBAED4" w:rsidR="00896468" w:rsidRDefault="00B31E50">
            <w:pPr>
              <w:pStyle w:val="P68B1DB1-TableParagraph40"/>
              <w:spacing w:before="108"/>
              <w:ind w:left="85"/>
              <w:jc w:val="both"/>
            </w:pPr>
            <w:r>
              <w:t xml:space="preserve">Ha a hitelezőnek van lehetősége arra, hogy idő előtti visszafizetést kérjen, vagy a kötelezettség idő előtti visszafizetésének feltételeit szerződés írja elő, adja meg a legkorábbi esemény időpontját. Ha a lejárat előtti visszafizetés a kötelezettségnek csak egy részére vonatkozik (pl. a névérték 50%-ának idő előtti visszafizetése), akkor </w:t>
            </w:r>
            <w:r w:rsidR="00147D6B">
              <w:t xml:space="preserve">ossza fel </w:t>
            </w:r>
            <w:r>
              <w:t>a kötelezettséget e részleges lejárat előtti visszaváltási záradék figyelembevétele érdekében.</w:t>
            </w:r>
          </w:p>
        </w:tc>
      </w:tr>
      <w:tr w:rsidR="00896468"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896468" w:rsidRDefault="00B31E50">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896468" w:rsidRDefault="00B31E50">
            <w:pPr>
              <w:pStyle w:val="P68B1DB1-TableParagraph73"/>
              <w:spacing w:before="108"/>
              <w:ind w:left="85"/>
              <w:jc w:val="both"/>
              <w:rPr>
                <w:bCs/>
              </w:rPr>
            </w:pPr>
            <w:r>
              <w:t xml:space="preserve"> Jogszerű lejárati időpont </w:t>
            </w:r>
          </w:p>
          <w:p w14:paraId="7FE1D117" w14:textId="39B8EDB9" w:rsidR="00896468" w:rsidRDefault="00B31E50">
            <w:pPr>
              <w:pStyle w:val="P68B1DB1-TableParagraph40"/>
              <w:spacing w:before="108"/>
              <w:ind w:left="85"/>
              <w:jc w:val="both"/>
            </w:pPr>
            <w:r>
              <w:t>Az instrumentum jogi, végső lejáratának időpontja. A lejárat nélküli értékpapírok esetében a „2099–01–31” kódot kell használni.</w:t>
            </w:r>
          </w:p>
        </w:tc>
      </w:tr>
      <w:tr w:rsidR="00896468"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896468" w:rsidRDefault="00B31E50">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412ED2E8" w:rsidR="00896468" w:rsidRDefault="00B31E50">
            <w:pPr>
              <w:pStyle w:val="P68B1DB1-TableParagraph73"/>
              <w:spacing w:before="108"/>
              <w:ind w:left="85"/>
              <w:jc w:val="both"/>
              <w:rPr>
                <w:bCs/>
              </w:rPr>
            </w:pPr>
            <w:r>
              <w:t xml:space="preserve">Zálog, zálogjog vagy biztosíték összege </w:t>
            </w:r>
          </w:p>
          <w:p w14:paraId="7FE1D120" w14:textId="1123569C" w:rsidR="00896468" w:rsidRDefault="00B31E50">
            <w:pPr>
              <w:pStyle w:val="P68B1DB1-TableParagraph40"/>
              <w:spacing w:before="108"/>
              <w:ind w:left="85"/>
              <w:jc w:val="both"/>
            </w:pPr>
            <w:r>
              <w:t>Amennyiben egy kötelezettséget záloggal, zálogjoggal vagy biztosítékkal fedeznek, ez utóbbi bruttó piaci értékét kell megadni. Ellenkező esetben a fedezetlen kötelezettségek esetében ezt a kategóriát nullaként kell feltüntetni. Ez az összeg határozza meg a fedezett és végső soron a fedezett kötelezettség fedezetlen részét. A több soros tételt biztosító biztosítéki halmazok esetében meg kell határozni a teljes fedezeti arányt, és arányosan kell alkalmazni az e halmaz</w:t>
            </w:r>
            <w:r w:rsidR="00297354">
              <w:t>ba tartozó</w:t>
            </w:r>
            <w:r>
              <w:t xml:space="preserve"> valamennyi </w:t>
            </w:r>
            <w:r w:rsidR="00C63E22">
              <w:t>tételre</w:t>
            </w:r>
            <w:r>
              <w:t>.</w:t>
            </w:r>
          </w:p>
        </w:tc>
      </w:tr>
      <w:tr w:rsidR="00896468"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896468" w:rsidRDefault="00B31E50">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896468" w:rsidRDefault="00B31E50">
            <w:pPr>
              <w:pStyle w:val="P68B1DB1-TableParagraph73"/>
              <w:spacing w:before="108"/>
              <w:ind w:left="85"/>
              <w:jc w:val="both"/>
              <w:rPr>
                <w:bCs/>
              </w:rPr>
            </w:pPr>
            <w:r>
              <w:t xml:space="preserve">Kezes </w:t>
            </w:r>
          </w:p>
          <w:p w14:paraId="7FE1D124" w14:textId="216ADC15" w:rsidR="00896468" w:rsidRDefault="00B31E50">
            <w:pPr>
              <w:pStyle w:val="P68B1DB1-TableParagraph40"/>
              <w:spacing w:before="108"/>
              <w:ind w:left="85"/>
              <w:jc w:val="both"/>
            </w:pPr>
            <w:r>
              <w:t>Amennyiben az eszközre garanciát nyújtanak, adja meg a kezes részletes azonosítását (LEI-kód, a kormányzat ISO 3166–1 alpha-2 szerinti országkódja stb.). Ha több kezes van jelen, az összes azonosítót pontosvesszővel elválasztva kell megadni.</w:t>
            </w:r>
          </w:p>
        </w:tc>
      </w:tr>
      <w:tr w:rsidR="00896468"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896468" w:rsidRDefault="00B31E50">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896468" w:rsidRDefault="00B31E50">
            <w:pPr>
              <w:pStyle w:val="P68B1DB1-TableParagraph73"/>
              <w:spacing w:before="108"/>
              <w:ind w:left="85"/>
              <w:jc w:val="both"/>
              <w:rPr>
                <w:bCs/>
              </w:rPr>
            </w:pPr>
            <w:r>
              <w:t xml:space="preserve">Az MREL elismerhetőségi feltételeinek megfelelő összeg </w:t>
            </w:r>
          </w:p>
          <w:p w14:paraId="7FE1D130" w14:textId="4B9930AC" w:rsidR="00896468" w:rsidRDefault="00B31E50">
            <w:pPr>
              <w:pStyle w:val="P68B1DB1-TableParagraph40"/>
              <w:spacing w:before="108"/>
              <w:ind w:left="85"/>
              <w:jc w:val="both"/>
            </w:pPr>
            <w:r>
              <w:t>A 2014/59/EU irányelv 45. cikkének (1) bekezdésével összhangban meghatározott követelménybe beszámított szavatoló</w:t>
            </w:r>
            <w:r w:rsidR="00082480">
              <w:t xml:space="preserve"> </w:t>
            </w:r>
            <w:r>
              <w:t>tőke és leírható, illetve átalakítható kötelezettségek összege.</w:t>
            </w:r>
          </w:p>
        </w:tc>
      </w:tr>
      <w:tr w:rsidR="00896468"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896468" w:rsidRDefault="00B31E50">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BE530D" w:rsidR="00896468" w:rsidRDefault="00B31E50">
            <w:pPr>
              <w:pStyle w:val="P68B1DB1-TableParagraph73"/>
              <w:spacing w:before="108"/>
              <w:ind w:left="85"/>
              <w:jc w:val="both"/>
              <w:rPr>
                <w:bCs/>
              </w:rPr>
            </w:pPr>
            <w:r>
              <w:t>Szavatoló</w:t>
            </w:r>
            <w:r w:rsidR="00082480">
              <w:t xml:space="preserve"> </w:t>
            </w:r>
            <w:r>
              <w:t xml:space="preserve">tőkének </w:t>
            </w:r>
            <w:r w:rsidR="00BC18BD">
              <w:t xml:space="preserve">való </w:t>
            </w:r>
            <w:r>
              <w:t>minős</w:t>
            </w:r>
            <w:r w:rsidR="00C63E22">
              <w:t>ítés</w:t>
            </w:r>
            <w:r>
              <w:t xml:space="preserve"> </w:t>
            </w:r>
          </w:p>
          <w:p w14:paraId="7FE1D134" w14:textId="0DF848C7" w:rsidR="00896468" w:rsidRDefault="00B31E50">
            <w:pPr>
              <w:pStyle w:val="P68B1DB1-TableParagraph40"/>
              <w:spacing w:before="108"/>
              <w:ind w:left="85"/>
              <w:jc w:val="both"/>
            </w:pPr>
            <w:r>
              <w:t>Tüntesse fel, hogy az instrumentum szerepel-e a szavatoló</w:t>
            </w:r>
            <w:r w:rsidR="00082480">
              <w:t xml:space="preserve"> </w:t>
            </w:r>
            <w:r>
              <w:t>tőkében, és ha igen, milyen szinten, a kivezetési rendszerre és a szerzett jogokra vonatkozó megállapodásokra vonatkozó információk mellett. Egy előre meghatározott listából az érték lehet „Nem”, „</w:t>
            </w:r>
            <w:r w:rsidR="00C63E22">
              <w:t>R</w:t>
            </w:r>
            <w:r>
              <w:t>észben AT1, T1 és T2”, „T2 kivezetés alatt”, „Grandfathered T2”, „</w:t>
            </w:r>
            <w:r w:rsidR="00C63E22">
              <w:t xml:space="preserve">Teljes mértékben megfelelő </w:t>
            </w:r>
            <w:r>
              <w:t>T2”, „Grandfathered AT1”, „Teljes mértékben megfelelő AT1” vagy „CET1”.</w:t>
            </w:r>
          </w:p>
        </w:tc>
      </w:tr>
      <w:tr w:rsidR="00896468"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896468" w:rsidRDefault="00B31E50">
            <w:pPr>
              <w:pStyle w:val="P68B1DB1-Normal31"/>
            </w:pPr>
            <w:r>
              <w:lastRenderedPageBreak/>
              <w:t>0220</w:t>
            </w:r>
          </w:p>
        </w:tc>
        <w:tc>
          <w:tcPr>
            <w:tcW w:w="7832" w:type="dxa"/>
            <w:tcBorders>
              <w:top w:val="single" w:sz="8" w:space="0" w:color="1A171C"/>
              <w:left w:val="single" w:sz="8" w:space="0" w:color="1A171C"/>
              <w:bottom w:val="single" w:sz="8" w:space="0" w:color="1A171C"/>
              <w:right w:val="nil"/>
            </w:tcBorders>
            <w:vAlign w:val="bottom"/>
          </w:tcPr>
          <w:p w14:paraId="7FE1D137" w14:textId="4ECD29A5" w:rsidR="00896468" w:rsidRDefault="00B31E50">
            <w:pPr>
              <w:pStyle w:val="P68B1DB1-TableParagraph40"/>
              <w:spacing w:before="108"/>
              <w:ind w:left="85"/>
              <w:jc w:val="both"/>
              <w:rPr>
                <w:b/>
                <w:bCs/>
              </w:rPr>
            </w:pPr>
            <w:r>
              <w:t xml:space="preserve"> </w:t>
            </w:r>
            <w:r>
              <w:rPr>
                <w:b/>
              </w:rPr>
              <w:t>Szavatoló</w:t>
            </w:r>
            <w:r w:rsidR="00082480">
              <w:rPr>
                <w:b/>
              </w:rPr>
              <w:t xml:space="preserve"> </w:t>
            </w:r>
            <w:r>
              <w:rPr>
                <w:b/>
              </w:rPr>
              <w:t>tőkeként elismerhető összeg</w:t>
            </w:r>
          </w:p>
          <w:p w14:paraId="7FE1D138" w14:textId="2FC370B1" w:rsidR="00896468" w:rsidRDefault="00B31E50">
            <w:pPr>
              <w:pStyle w:val="P68B1DB1-TableParagraph40"/>
              <w:spacing w:before="108"/>
              <w:ind w:left="85"/>
              <w:jc w:val="both"/>
            </w:pPr>
            <w:r>
              <w:t>A szavatoló</w:t>
            </w:r>
            <w:r w:rsidR="00082480">
              <w:t xml:space="preserve"> </w:t>
            </w:r>
            <w:r>
              <w:t>tőkének minősülő instrumentum összege.</w:t>
            </w:r>
          </w:p>
        </w:tc>
      </w:tr>
    </w:tbl>
    <w:p w14:paraId="7FE1D13A" w14:textId="77777777" w:rsidR="00896468" w:rsidRDefault="00896468">
      <w:pPr>
        <w:pStyle w:val="Instructionsberschrift2"/>
        <w:ind w:left="357"/>
        <w:rPr>
          <w:rFonts w:ascii="Times New Roman" w:eastAsia="Calibri" w:hAnsi="Times New Roman" w:cs="Times New Roman"/>
          <w:szCs w:val="20"/>
        </w:rPr>
      </w:pPr>
      <w:bookmarkStart w:id="252" w:name="_Toc81454216"/>
    </w:p>
    <w:p w14:paraId="7FE1D13B" w14:textId="090CC227" w:rsidR="00896468" w:rsidRDefault="00B31E50">
      <w:pPr>
        <w:pStyle w:val="Instructionsberschrift2"/>
        <w:numPr>
          <w:ilvl w:val="1"/>
          <w:numId w:val="49"/>
        </w:numPr>
        <w:spacing w:before="0"/>
        <w:ind w:left="357" w:hanging="357"/>
        <w:rPr>
          <w:rFonts w:ascii="Times New Roman" w:hAnsi="Times New Roman" w:cs="Times New Roman"/>
        </w:rPr>
      </w:pPr>
      <w:bookmarkStart w:id="253" w:name="_Toc210982902"/>
      <w:r>
        <w:rPr>
          <w:rFonts w:ascii="Times New Roman" w:eastAsiaTheme="minorEastAsia" w:hAnsi="Times New Roman" w:cs="Times New Roman"/>
        </w:rPr>
        <w:t xml:space="preserve">Z 15.00 – Származtatott </w:t>
      </w:r>
      <w:r w:rsidR="00BE227F">
        <w:rPr>
          <w:rFonts w:ascii="Times New Roman" w:eastAsiaTheme="minorEastAsia" w:hAnsi="Times New Roman" w:cs="Times New Roman"/>
        </w:rPr>
        <w:t xml:space="preserve">ügyletek </w:t>
      </w:r>
      <w:r>
        <w:rPr>
          <w:rFonts w:ascii="Times New Roman" w:eastAsia="Calibri" w:hAnsi="Times New Roman" w:cs="Times New Roman"/>
          <w:szCs w:val="20"/>
        </w:rPr>
        <w:t>(LIAB-G-5)</w:t>
      </w:r>
      <w:bookmarkEnd w:id="253"/>
    </w:p>
    <w:bookmarkEnd w:id="252"/>
    <w:p w14:paraId="7FE1D13D" w14:textId="77777777" w:rsidR="00896468" w:rsidRDefault="00B31E50">
      <w:pPr>
        <w:pStyle w:val="P68B1DB1-Numberedtitlelevel388"/>
      </w:pPr>
      <w:r>
        <w:t>Általános megjegyzések</w:t>
      </w:r>
    </w:p>
    <w:p w14:paraId="7FE1D13E" w14:textId="2F22A34C" w:rsidR="00896468" w:rsidRDefault="00B31E50">
      <w:pPr>
        <w:pStyle w:val="P68B1DB1-InstructionsText286"/>
        <w:numPr>
          <w:ilvl w:val="2"/>
          <w:numId w:val="209"/>
        </w:numPr>
        <w:spacing w:before="0"/>
        <w:ind w:left="1276"/>
        <w:rPr>
          <w:rFonts w:eastAsiaTheme="majorEastAsia"/>
        </w:rPr>
      </w:pPr>
      <w:r>
        <w:t xml:space="preserve">E táblázat alkalmazásában a származtatott ügyletekből eredő kötelezettségeket nettósítási halmazként kell jelenteni, azaz minden egyes nettósítási halmazt egyedi sortételként kell jelenteni. </w:t>
      </w:r>
    </w:p>
    <w:p w14:paraId="7FE1D140" w14:textId="6B5870BD" w:rsidR="00896468" w:rsidRDefault="00B31E50">
      <w:pPr>
        <w:pStyle w:val="P68B1DB1-InstructionsText286"/>
        <w:numPr>
          <w:ilvl w:val="2"/>
          <w:numId w:val="209"/>
        </w:numPr>
        <w:spacing w:before="0"/>
        <w:ind w:left="1276"/>
      </w:pPr>
      <w:r>
        <w:t>Csak azokat a származtatott nettósítási halmazokat/egyedi ügyleteket kell feltüntetni, amelyek piaci értéken értékelt nettó kötelezettséget eredményeznek (c0120 oszlop).</w:t>
      </w:r>
    </w:p>
    <w:p w14:paraId="7FE1D142" w14:textId="77777777" w:rsidR="00896468" w:rsidRDefault="00B31E50">
      <w:pPr>
        <w:pStyle w:val="P68B1DB1-Numberedtitlelevel388"/>
      </w:pPr>
      <w:r>
        <w:t>A táblák egyes részeire vonatkozó útmutatások</w:t>
      </w:r>
    </w:p>
    <w:tbl>
      <w:tblPr>
        <w:tblW w:w="9015" w:type="dxa"/>
        <w:tblInd w:w="135" w:type="dxa"/>
        <w:tblLayout w:type="fixed"/>
        <w:tblLook w:val="04A0" w:firstRow="1" w:lastRow="0" w:firstColumn="1" w:lastColumn="0" w:noHBand="0" w:noVBand="1"/>
      </w:tblPr>
      <w:tblGrid>
        <w:gridCol w:w="1183"/>
        <w:gridCol w:w="7832"/>
      </w:tblGrid>
      <w:tr w:rsidR="00896468"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896468" w:rsidRDefault="00B31E50">
            <w:pPr>
              <w:pStyle w:val="P68B1DB1-Normal31"/>
            </w:pPr>
            <w:r>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896468" w:rsidRDefault="00B31E50">
            <w:pPr>
              <w:pStyle w:val="P68B1DB1-Normal31"/>
            </w:pPr>
            <w:r>
              <w:t xml:space="preserve">Útmutató </w:t>
            </w:r>
          </w:p>
        </w:tc>
      </w:tr>
      <w:tr w:rsidR="00896468"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896468" w:rsidRDefault="00B31E50">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896468" w:rsidRDefault="00B31E50">
            <w:pPr>
              <w:pStyle w:val="P68B1DB1-TableParagraph73"/>
              <w:spacing w:before="108"/>
              <w:ind w:left="85"/>
              <w:jc w:val="both"/>
              <w:rPr>
                <w:bCs/>
              </w:rPr>
            </w:pPr>
            <w:r>
              <w:t xml:space="preserve">SORSZÁM </w:t>
            </w:r>
          </w:p>
          <w:p w14:paraId="7FE1D148" w14:textId="7090CAA7" w:rsidR="00896468" w:rsidRDefault="00B31E50">
            <w:pPr>
              <w:pStyle w:val="P68B1DB1-TableParagraph40"/>
              <w:spacing w:before="108"/>
              <w:ind w:left="85"/>
              <w:jc w:val="both"/>
            </w:pPr>
            <w:r>
              <w:t>Egyedi szám/elsődleges kulcs a sorok azonosítására.</w:t>
            </w:r>
          </w:p>
        </w:tc>
      </w:tr>
      <w:tr w:rsidR="00896468"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896468" w:rsidRDefault="00B31E50">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896468" w:rsidRDefault="00B31E50">
            <w:pPr>
              <w:pStyle w:val="P68B1DB1-TableParagraph73"/>
              <w:spacing w:before="108"/>
              <w:ind w:left="85"/>
              <w:jc w:val="both"/>
              <w:rPr>
                <w:bCs/>
              </w:rPr>
            </w:pPr>
            <w:r>
              <w:t xml:space="preserve">Oszlop </w:t>
            </w:r>
          </w:p>
          <w:p w14:paraId="7FE1D14C" w14:textId="784EF531" w:rsidR="00896468" w:rsidRDefault="00B31E50">
            <w:pPr>
              <w:pStyle w:val="P68B1DB1-TableParagraph40"/>
              <w:spacing w:before="108"/>
              <w:ind w:left="85"/>
              <w:jc w:val="both"/>
            </w:pPr>
            <w:r>
              <w:t xml:space="preserve">Minden egyes nettósítási halmaz esetében </w:t>
            </w:r>
            <w:r w:rsidR="00320D08">
              <w:t>meg kell adni</w:t>
            </w:r>
            <w:r>
              <w:t xml:space="preserve"> </w:t>
            </w:r>
            <w:r w:rsidR="00320D08" w:rsidRPr="00320D08">
              <w:t>a Z02.00 táblában szereplő kötelezettségszerkezet kötelezettségkategóriá</w:t>
            </w:r>
            <w:r w:rsidR="00AC5385">
              <w:t>ját</w:t>
            </w:r>
            <w:r w:rsidR="00320D08" w:rsidRPr="00320D08">
              <w:t>, az értékek előre meghatározott listájából</w:t>
            </w:r>
          </w:p>
        </w:tc>
      </w:tr>
      <w:tr w:rsidR="00896468"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896468" w:rsidRDefault="00B31E50">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896468" w:rsidRDefault="00B31E50">
            <w:pPr>
              <w:pStyle w:val="P68B1DB1-TableParagraph73"/>
              <w:spacing w:before="108"/>
              <w:ind w:left="85"/>
              <w:jc w:val="both"/>
              <w:rPr>
                <w:bCs/>
              </w:rPr>
            </w:pPr>
            <w:r>
              <w:t xml:space="preserve">Kielégítési sorrend  </w:t>
            </w:r>
          </w:p>
          <w:p w14:paraId="7FE1D150" w14:textId="00926D41"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896468" w:rsidRDefault="00B31E50">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896468" w:rsidRDefault="00B31E50">
            <w:pPr>
              <w:pStyle w:val="P68B1DB1-TableParagraph73"/>
              <w:spacing w:before="108"/>
              <w:ind w:left="85"/>
              <w:jc w:val="both"/>
              <w:rPr>
                <w:bCs/>
              </w:rPr>
            </w:pPr>
            <w:r>
              <w:t xml:space="preserve">Keretmegállapodás azonosítója  </w:t>
            </w:r>
          </w:p>
          <w:p w14:paraId="7FE1D154" w14:textId="77777777" w:rsidR="00896468" w:rsidRDefault="00B31E50">
            <w:pPr>
              <w:pStyle w:val="P68B1DB1-TableParagraph40"/>
              <w:spacing w:before="108"/>
              <w:ind w:left="85"/>
              <w:jc w:val="both"/>
            </w:pPr>
            <w:r>
              <w:t>A keretmegállapodás vagy egyetlen szerződés belső azonosítója.</w:t>
            </w:r>
          </w:p>
        </w:tc>
      </w:tr>
      <w:tr w:rsidR="00896468"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896468" w:rsidRDefault="00B31E50">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896468" w:rsidRDefault="00B31E50">
            <w:pPr>
              <w:pStyle w:val="P68B1DB1-TableParagraph73"/>
              <w:spacing w:before="108"/>
              <w:ind w:left="85"/>
              <w:jc w:val="both"/>
              <w:rPr>
                <w:bCs/>
              </w:rPr>
            </w:pPr>
            <w:r>
              <w:t xml:space="preserve">A keretmegállapodás típusa </w:t>
            </w:r>
          </w:p>
          <w:p w14:paraId="7FE1D158" w14:textId="240A33D3" w:rsidR="00896468" w:rsidRDefault="00B31E50">
            <w:pPr>
              <w:pStyle w:val="P68B1DB1-TableParagraph40"/>
              <w:spacing w:before="108"/>
              <w:ind w:left="85"/>
              <w:jc w:val="both"/>
            </w:pPr>
            <w:r>
              <w:t xml:space="preserve">Előre meghatározott listából adja meg </w:t>
            </w:r>
            <w:r w:rsidR="00320D08">
              <w:t>a keretmegállapodást:</w:t>
            </w:r>
            <w:r>
              <w:t xml:space="preserve"> „ISDA 2002 keretmegállapodás”, „ISDA 1992 keretmegállapodás”, „ISDA 1987 keretmegállapodás”, „ISDA 1986. évi keretmegállapodás”, „ISDA 1985. évi keretmegállapodás”, „egyéb keretmegállapodás”, „egyetlen szerződés”.</w:t>
            </w:r>
          </w:p>
        </w:tc>
      </w:tr>
      <w:tr w:rsidR="00896468"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896468" w:rsidRDefault="00B31E50">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896468" w:rsidRDefault="00B31E50">
            <w:pPr>
              <w:pStyle w:val="P68B1DB1-TableParagraph73"/>
              <w:spacing w:before="108"/>
              <w:ind w:left="85"/>
              <w:jc w:val="both"/>
              <w:rPr>
                <w:bCs/>
              </w:rPr>
            </w:pPr>
            <w:r>
              <w:t xml:space="preserve">ISDA-jegyzőkönyvhöz csatlakozó jogalany  </w:t>
            </w:r>
          </w:p>
          <w:p w14:paraId="7FE1D15C" w14:textId="470D0C3D" w:rsidR="00896468" w:rsidRDefault="00B31E50">
            <w:pPr>
              <w:pStyle w:val="P68B1DB1-TableParagraph40"/>
              <w:spacing w:before="108"/>
              <w:ind w:left="85"/>
              <w:jc w:val="both"/>
            </w:pPr>
            <w:r>
              <w:t xml:space="preserve">Tüntesse fel, hogy maga a szervezet írta-e alá az ISDA Universal </w:t>
            </w:r>
            <w:r w:rsidR="00F9328C">
              <w:t xml:space="preserve">Stay </w:t>
            </w:r>
            <w:r>
              <w:t>Protocol</w:t>
            </w:r>
            <w:r w:rsidR="00F9328C">
              <w:t>t</w:t>
            </w:r>
            <w:r>
              <w:t xml:space="preserve">, </w:t>
            </w:r>
            <w:r w:rsidR="00F9328C">
              <w:t xml:space="preserve">az előre meghatározott listából: </w:t>
            </w:r>
            <w:r>
              <w:t xml:space="preserve">„ISDA JMP Module”, „BRRD II Omnibus Jurisdictional Module” vagy „Nem”. </w:t>
            </w:r>
          </w:p>
        </w:tc>
      </w:tr>
      <w:tr w:rsidR="00896468"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896468" w:rsidRDefault="00B31E50">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1233A8E9" w:rsidR="00896468" w:rsidRDefault="00F9328C">
            <w:pPr>
              <w:pStyle w:val="P68B1DB1-TableParagraph73"/>
              <w:spacing w:before="108"/>
              <w:ind w:left="85"/>
              <w:jc w:val="both"/>
              <w:rPr>
                <w:bCs/>
              </w:rPr>
            </w:pPr>
            <w:r>
              <w:t>J</w:t>
            </w:r>
            <w:r w:rsidRPr="00F9328C">
              <w:t xml:space="preserve">ogfelfüggesztő szanálási hatáskör </w:t>
            </w:r>
            <w:r w:rsidR="00B31E50">
              <w:t xml:space="preserve"> elismerés</w:t>
            </w:r>
            <w:r>
              <w:t>e</w:t>
            </w:r>
            <w:r w:rsidR="00B31E50">
              <w:t xml:space="preserve">  </w:t>
            </w:r>
          </w:p>
          <w:p w14:paraId="7FE1D160" w14:textId="0CDDA73D" w:rsidR="00896468" w:rsidRDefault="00B31E50">
            <w:pPr>
              <w:pStyle w:val="P68B1DB1-TableParagraph40"/>
              <w:spacing w:before="108"/>
              <w:ind w:left="85"/>
              <w:jc w:val="both"/>
            </w:pPr>
            <w:r>
              <w:t>Tüntesse fel</w:t>
            </w:r>
            <w:r w:rsidR="001D4613">
              <w:t xml:space="preserve"> egy előre meghatározott listáról</w:t>
            </w:r>
            <w:r>
              <w:t xml:space="preserve">, hogy a </w:t>
            </w:r>
            <w:r w:rsidR="00F9328C">
              <w:t xml:space="preserve">partner </w:t>
            </w:r>
            <w:r>
              <w:t>csatlakozott-e az</w:t>
            </w:r>
            <w:r w:rsidR="00F9328C">
              <w:t xml:space="preserve"> alábbiakhoz</w:t>
            </w:r>
            <w:r w:rsidR="00732DDA">
              <w:t>:</w:t>
            </w:r>
            <w:r>
              <w:t xml:space="preserve"> „ISDA </w:t>
            </w:r>
            <w:r w:rsidR="00F9328C">
              <w:t>Universal Protocol</w:t>
            </w:r>
            <w:r>
              <w:t xml:space="preserve">”, az „ISDA JMP </w:t>
            </w:r>
            <w:r w:rsidR="00F9328C">
              <w:t>M</w:t>
            </w:r>
            <w:r>
              <w:t>odul</w:t>
            </w:r>
            <w:r w:rsidR="00F9328C">
              <w:t>e</w:t>
            </w:r>
            <w:r>
              <w:t xml:space="preserve">”, a „Más megállapodás </w:t>
            </w:r>
            <w:r w:rsidR="00732DDA">
              <w:t>a j</w:t>
            </w:r>
            <w:r w:rsidR="00732DDA" w:rsidRPr="00732DDA">
              <w:t>ogfelfüggesztő hatáskör elismerés</w:t>
            </w:r>
            <w:r w:rsidR="00732DDA">
              <w:t>ére</w:t>
            </w:r>
            <w:r w:rsidR="00732DDA" w:rsidRPr="00732DDA">
              <w:t xml:space="preserve"> </w:t>
            </w:r>
            <w:r>
              <w:t>” vagy a „</w:t>
            </w:r>
            <w:r w:rsidR="00732DDA" w:rsidRPr="00732DDA">
              <w:t xml:space="preserve">Jogfelfüggesztő hatáskör </w:t>
            </w:r>
            <w:r w:rsidR="00732DDA">
              <w:t>nincs elismerve</w:t>
            </w:r>
            <w:r>
              <w:t>”.</w:t>
            </w:r>
          </w:p>
        </w:tc>
      </w:tr>
      <w:tr w:rsidR="00896468"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896468" w:rsidRDefault="00B31E50">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896468" w:rsidRDefault="00B31E50">
            <w:pPr>
              <w:pStyle w:val="P68B1DB1-TableParagraph73"/>
              <w:spacing w:before="108"/>
              <w:ind w:left="85"/>
              <w:jc w:val="both"/>
              <w:rPr>
                <w:bCs/>
              </w:rPr>
            </w:pPr>
            <w:r>
              <w:t xml:space="preserve">A partner neve </w:t>
            </w:r>
          </w:p>
          <w:p w14:paraId="7FE1D164" w14:textId="2E65827D" w:rsidR="00896468" w:rsidRDefault="00B31E50">
            <w:pPr>
              <w:pStyle w:val="P68B1DB1-TableParagraph40"/>
              <w:spacing w:before="108"/>
              <w:ind w:left="85"/>
              <w:jc w:val="both"/>
            </w:pPr>
            <w:bookmarkStart w:id="254" w:name="_Hlk189839311"/>
            <w:r>
              <w:t xml:space="preserve">A </w:t>
            </w:r>
            <w:r w:rsidR="00F9328C">
              <w:t>partner</w:t>
            </w:r>
            <w:r>
              <w:t xml:space="preserve"> neve.</w:t>
            </w:r>
            <w:bookmarkEnd w:id="254"/>
            <w:r>
              <w:t xml:space="preserve"> A központi szerződő fél által elszámolt származtatott ügyletek esetében az érintett központi szerződő felet kell feltüntetni partnerként.</w:t>
            </w:r>
          </w:p>
        </w:tc>
      </w:tr>
      <w:tr w:rsidR="00896468"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896468" w:rsidRDefault="00B31E50">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896468" w:rsidRDefault="00B31E50">
            <w:pPr>
              <w:pStyle w:val="P68B1DB1-TableParagraph73"/>
              <w:spacing w:before="108"/>
              <w:ind w:left="85"/>
              <w:jc w:val="both"/>
              <w:rPr>
                <w:bCs/>
              </w:rPr>
            </w:pPr>
            <w:r>
              <w:t xml:space="preserve">Partner azonosító </w:t>
            </w:r>
          </w:p>
          <w:p w14:paraId="7FE1D168" w14:textId="7D4036D9" w:rsidR="00896468" w:rsidRDefault="00B31E50">
            <w:pPr>
              <w:pStyle w:val="P68B1DB1-TableParagraph40"/>
              <w:spacing w:before="108"/>
              <w:ind w:left="85"/>
              <w:jc w:val="both"/>
            </w:pPr>
            <w:r>
              <w:t>Adja meg a partner LEI-kódját. Jogalany-azonosító hiányában a banki adatszolgáltatás esetében a RIAD-ban használt EKB monetáris pénzügyi intézmények azonosítója (MPI-</w:t>
            </w:r>
            <w:r>
              <w:lastRenderedPageBreak/>
              <w:t xml:space="preserve">azonosító). Mindkét azonosító hiányában belső azonosítót kell megadni. </w:t>
            </w:r>
          </w:p>
        </w:tc>
      </w:tr>
      <w:tr w:rsidR="00896468"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896468" w:rsidRDefault="00B31E50">
            <w:pPr>
              <w:pStyle w:val="P68B1DB1-Normal31"/>
            </w:pPr>
            <w:r>
              <w:lastRenderedPageBreak/>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896468" w:rsidRDefault="00B31E50">
            <w:pPr>
              <w:pStyle w:val="P68B1DB1-TableParagraph73"/>
              <w:spacing w:before="108"/>
              <w:ind w:left="85"/>
              <w:jc w:val="both"/>
              <w:rPr>
                <w:bCs/>
              </w:rPr>
            </w:pPr>
            <w:r>
              <w:t xml:space="preserve">Azonosítótípus </w:t>
            </w:r>
          </w:p>
          <w:p w14:paraId="7FE1D16C"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896468" w:rsidRDefault="00B31E50">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896468" w:rsidRDefault="00B31E50">
            <w:pPr>
              <w:pStyle w:val="P68B1DB1-TableParagraph73"/>
              <w:spacing w:before="108"/>
              <w:ind w:left="85"/>
              <w:jc w:val="both"/>
              <w:rPr>
                <w:bCs/>
              </w:rPr>
            </w:pPr>
            <w:r>
              <w:t xml:space="preserve">Ország  </w:t>
            </w:r>
          </w:p>
          <w:p w14:paraId="7FE1D170" w14:textId="77777777" w:rsidR="00896468" w:rsidRDefault="00B31E50">
            <w:pPr>
              <w:pStyle w:val="P68B1DB1-TableParagraph40"/>
              <w:spacing w:before="108"/>
              <w:ind w:left="85"/>
              <w:jc w:val="both"/>
            </w:pPr>
            <w:r>
              <w:t>A partner bejegyzése szerinti ország ISO 3166–1 alpha-2 szerinti azonosítója.</w:t>
            </w:r>
          </w:p>
        </w:tc>
      </w:tr>
      <w:tr w:rsidR="00896468"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896468" w:rsidRDefault="00B31E50">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896468" w:rsidRDefault="00B31E50">
            <w:pPr>
              <w:pStyle w:val="P68B1DB1-TableParagraph73"/>
              <w:spacing w:before="108"/>
              <w:ind w:left="85"/>
              <w:jc w:val="both"/>
              <w:rPr>
                <w:bCs/>
              </w:rPr>
            </w:pPr>
            <w:r>
              <w:t>Csoporton belüli ügylet</w:t>
            </w:r>
          </w:p>
          <w:p w14:paraId="1EA32667" w14:textId="62B0D83A" w:rsidR="00896468" w:rsidRDefault="00B31E50">
            <w:pPr>
              <w:pStyle w:val="P68B1DB1-TableParagraph40"/>
              <w:spacing w:before="108"/>
              <w:ind w:left="85"/>
              <w:jc w:val="both"/>
            </w:pPr>
            <w:r>
              <w:t>A</w:t>
            </w:r>
            <w:r w:rsidR="00732DDA">
              <w:t xml:space="preserve">z adatszolgáltató szervezet </w:t>
            </w:r>
            <w:r>
              <w:t>jelez</w:t>
            </w:r>
            <w:r w:rsidR="00732DDA">
              <w:t>ze</w:t>
            </w:r>
            <w:r>
              <w:t>, hogy a jelentett ügyletre a végső anyavállalat számviteli konszolidációjának hatókörébe tartozó partnerrel került-e sor. Az elfogadható értékek „Igaz” vagy „Hamis”</w:t>
            </w:r>
          </w:p>
        </w:tc>
      </w:tr>
      <w:tr w:rsidR="00896468"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896468" w:rsidRDefault="00B31E50">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896468" w:rsidRDefault="00B31E50">
            <w:pPr>
              <w:pStyle w:val="P68B1DB1-TableParagraph73"/>
              <w:spacing w:before="108"/>
              <w:ind w:left="85"/>
              <w:jc w:val="both"/>
              <w:rPr>
                <w:bCs/>
              </w:rPr>
            </w:pPr>
            <w:r>
              <w:t>A keretmegállapodásra/egyetlen szerződésre irányadó jog</w:t>
            </w:r>
          </w:p>
          <w:p w14:paraId="7FE1D178" w14:textId="69ED3535" w:rsidR="00896468" w:rsidRDefault="00B31E50">
            <w:pPr>
              <w:pStyle w:val="P68B1DB1-TableParagraph40"/>
              <w:spacing w:before="108"/>
              <w:ind w:left="85"/>
              <w:jc w:val="both"/>
            </w:pPr>
            <w:r>
              <w:t xml:space="preserve">Annak az országnak az ISO 3166–1 alpha-2 szerinti kódja, amelynek joga a keretmegállapodásra/egyetlen szerződésre alkalmazandó (az ISO 3166–2 kódot kell használni, ha a közigazgatási alegység joga alkalmazandó, pl. „US-NY”). Ha a szerződésre egynél több ország joga irányadó, azt az országot kell jelenteni, amelynek joga a leginkább releváns a leírási és átalakítási hatáskörök elismerése szempontjából.  </w:t>
            </w:r>
          </w:p>
        </w:tc>
      </w:tr>
      <w:tr w:rsidR="00896468"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896468" w:rsidRDefault="00B31E50">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35641EA2" w:rsidR="00896468" w:rsidRDefault="00732DDA">
            <w:pPr>
              <w:pStyle w:val="P68B1DB1-TableParagraph73"/>
              <w:spacing w:before="108"/>
              <w:ind w:left="85"/>
              <w:jc w:val="both"/>
              <w:rPr>
                <w:bCs/>
              </w:rPr>
            </w:pPr>
            <w:r>
              <w:t>Érintett ügyletek száma</w:t>
            </w:r>
          </w:p>
          <w:p w14:paraId="7FE1D17C" w14:textId="77777777" w:rsidR="00896468" w:rsidRDefault="00B31E50">
            <w:pPr>
              <w:pStyle w:val="P68B1DB1-TableParagraph40"/>
              <w:spacing w:before="108"/>
              <w:ind w:left="85"/>
              <w:jc w:val="both"/>
            </w:pPr>
            <w:r>
              <w:t>Adja meg a keretmegállapodások nettósítási halmazába tartozó egyedi szerződések számát.</w:t>
            </w:r>
          </w:p>
        </w:tc>
      </w:tr>
      <w:tr w:rsidR="00896468"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896468" w:rsidRDefault="00B31E50">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896468" w:rsidRDefault="00B31E50">
            <w:pPr>
              <w:pStyle w:val="P68B1DB1-TableParagraph73"/>
              <w:spacing w:before="108"/>
              <w:ind w:left="85"/>
              <w:jc w:val="both"/>
              <w:rPr>
                <w:bCs/>
              </w:rPr>
            </w:pPr>
            <w:r>
              <w:t xml:space="preserve">Piaci értéken történő értékelés </w:t>
            </w:r>
          </w:p>
          <w:p w14:paraId="7FE1D180" w14:textId="229346B5" w:rsidR="00896468" w:rsidRDefault="00B31E50">
            <w:pPr>
              <w:pStyle w:val="P68B1DB1-TableParagraph40"/>
              <w:spacing w:before="108"/>
              <w:ind w:left="85"/>
              <w:jc w:val="both"/>
            </w:pPr>
            <w:r>
              <w:t xml:space="preserve">A származtatott kötelezettségek nettó piaci értéke szerződéses nettósítási halmazonként, a származtatott ügyletek a vonatkozási időpontban történő lezárását feltételezve. </w:t>
            </w:r>
          </w:p>
        </w:tc>
      </w:tr>
      <w:tr w:rsidR="00896468"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896468" w:rsidRDefault="00B31E50">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896468" w:rsidRDefault="00B31E50">
            <w:pPr>
              <w:pStyle w:val="P68B1DB1-TableParagraph73"/>
              <w:spacing w:before="108"/>
              <w:ind w:left="85"/>
              <w:jc w:val="both"/>
              <w:rPr>
                <w:bCs/>
              </w:rPr>
            </w:pPr>
            <w:r>
              <w:t xml:space="preserve">A nyújtott nettó biztosíték értéke </w:t>
            </w:r>
          </w:p>
          <w:p w14:paraId="7FE1D184" w14:textId="30B59BEF" w:rsidR="00896468" w:rsidRDefault="00B31E50">
            <w:pPr>
              <w:pStyle w:val="P68B1DB1-TableParagraph40"/>
              <w:spacing w:before="108"/>
              <w:ind w:left="85"/>
              <w:jc w:val="both"/>
            </w:pPr>
            <w:r>
              <w:t>A nettósítási halmazhoz tartozó biztosítéki pozíciók nettó piaci értéke (azaz a nyújtott biztosíték csökkent</w:t>
            </w:r>
            <w:r w:rsidR="001D4613">
              <w:t>ve</w:t>
            </w:r>
            <w:r>
              <w:t xml:space="preserve"> a kapott biztosítékkal). Ide tartoznak a nettósítási megállapodások szerinti letéti számlák. A partnereknek nyújtott nettó biztosíték pozitív értékeként kell megadni.</w:t>
            </w:r>
          </w:p>
        </w:tc>
      </w:tr>
      <w:tr w:rsidR="00896468"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896468" w:rsidRDefault="00B31E50">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5CF80677" w:rsidR="00896468" w:rsidRDefault="00B31E50">
            <w:pPr>
              <w:pStyle w:val="P68B1DB1-TableParagraph40"/>
              <w:spacing w:before="108"/>
              <w:ind w:left="85"/>
              <w:jc w:val="both"/>
              <w:rPr>
                <w:b/>
                <w:bCs/>
              </w:rPr>
            </w:pPr>
            <w:r>
              <w:t xml:space="preserve"> </w:t>
            </w:r>
            <w:r>
              <w:rPr>
                <w:b/>
              </w:rPr>
              <w:t xml:space="preserve">Becsült </w:t>
            </w:r>
            <w:r w:rsidR="0043105C">
              <w:rPr>
                <w:b/>
              </w:rPr>
              <w:t>lezárási összeg</w:t>
            </w:r>
          </w:p>
          <w:p w14:paraId="7FE1D188" w14:textId="19BE3D2D" w:rsidR="00896468" w:rsidRDefault="00B31E50">
            <w:pPr>
              <w:pStyle w:val="P68B1DB1-TableParagraph40"/>
              <w:spacing w:before="108"/>
              <w:ind w:left="85"/>
              <w:jc w:val="both"/>
            </w:pPr>
            <w:r>
              <w:t>A</w:t>
            </w:r>
            <w:r w:rsidR="00405B73" w:rsidRPr="00405B73">
              <w:t xml:space="preserve"> megszüntetett </w:t>
            </w:r>
            <w:r w:rsidR="0043105C">
              <w:t>szerződések</w:t>
            </w:r>
            <w:r w:rsidR="00405B73" w:rsidRPr="00405B73">
              <w:t xml:space="preserve"> lényegi feltételeinek megfelelő gazdasági értéknek, valamint a </w:t>
            </w:r>
            <w:r w:rsidR="0043105C">
              <w:t>szóban forgó</w:t>
            </w:r>
            <w:r w:rsidR="00405B73" w:rsidRPr="00405B73">
              <w:t xml:space="preserve"> ügyletek tekintetében a felek opciós jogainak a pótlása vagy megszerzése során a származtatott ügylet partnereinél felmerült veszteséget vagy költségeket, vagy az általuk elért nyereséget fedező</w:t>
            </w:r>
            <w:r w:rsidR="00405B73">
              <w:t xml:space="preserve"> becsült</w:t>
            </w:r>
            <w:r w:rsidR="00405B73" w:rsidRPr="00405B73">
              <w:t xml:space="preserve"> lezárási összeg</w:t>
            </w:r>
            <w:r>
              <w:t>. Egyes esetekben; az ezen értéknek az (EU) 2016/1401 felhatalmazáson alapuló rendelettel összhangban történő meghatározásához szükséges becsléseket nehéz egyedi alapon jelenteni. Ezért a rendelkezésre álló adatokon – például a piaci kockázatra vonatkozó prudenciális követelményeken – alapuló közelítő értékek alkalmazhatók. A becsült lezárási összeg pozitív értéke a lejárat előtti megszüntetés becsült összegének növekedését eredményezi, míg a lejárat előtti megszüntetés becsült összegét negatív előjel csökkentené.</w:t>
            </w:r>
          </w:p>
        </w:tc>
      </w:tr>
      <w:tr w:rsidR="00896468"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896468" w:rsidRDefault="00B31E50">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896468" w:rsidRDefault="00B31E50">
            <w:pPr>
              <w:pStyle w:val="P68B1DB1-TableParagraph40"/>
              <w:spacing w:before="108"/>
              <w:ind w:left="85"/>
              <w:jc w:val="both"/>
              <w:rPr>
                <w:b/>
                <w:bCs/>
              </w:rPr>
            </w:pPr>
            <w:r>
              <w:t xml:space="preserve"> </w:t>
            </w:r>
            <w:r>
              <w:rPr>
                <w:b/>
              </w:rPr>
              <w:t>A korai megszüntetés becsült összege</w:t>
            </w:r>
          </w:p>
          <w:p w14:paraId="7FE1D18C" w14:textId="77777777" w:rsidR="00896468" w:rsidRDefault="00B31E50">
            <w:pPr>
              <w:pStyle w:val="P68B1DB1-TableParagraph40"/>
              <w:spacing w:before="108"/>
              <w:ind w:left="85"/>
              <w:jc w:val="both"/>
            </w:pPr>
            <w:r>
              <w:t>Hivatkozással a származtatott ügyleteknek a bankok helyreállításáról és szanálásáról szóló irányelv 49. cikkének (4) bekezdése szerinti értékeléséről szóló (EU) 2016/1401 felhatalmazáson alapuló rendeletre, ezt az összeget a következőképpen kell meghatározni:</w:t>
            </w:r>
          </w:p>
        </w:tc>
      </w:tr>
      <w:tr w:rsidR="00896468" w14:paraId="7FE1D190" w14:textId="77777777">
        <w:tc>
          <w:tcPr>
            <w:tcW w:w="1183" w:type="dxa"/>
            <w:vMerge/>
            <w:tcBorders>
              <w:right w:val="single" w:sz="8" w:space="0" w:color="1A171C"/>
            </w:tcBorders>
            <w:vAlign w:val="center"/>
          </w:tcPr>
          <w:p w14:paraId="7FE1D18E" w14:textId="77777777" w:rsidR="00896468" w:rsidRDefault="00896468">
            <w:pPr>
              <w:rPr>
                <w:rFonts w:ascii="Times New Roman" w:hAnsi="Times New Roman" w:cs="Times New Roman"/>
              </w:rPr>
            </w:pPr>
          </w:p>
        </w:tc>
        <w:tc>
          <w:tcPr>
            <w:tcW w:w="7832" w:type="dxa"/>
            <w:tcBorders>
              <w:left w:val="single" w:sz="8" w:space="0" w:color="1A171C"/>
              <w:right w:val="nil"/>
            </w:tcBorders>
            <w:vAlign w:val="bottom"/>
          </w:tcPr>
          <w:p w14:paraId="7FE1D18F" w14:textId="54AA5228" w:rsidR="00896468" w:rsidRDefault="00B31E50">
            <w:pPr>
              <w:pStyle w:val="P68B1DB1-TableParagraph40"/>
              <w:spacing w:before="108"/>
              <w:ind w:left="85"/>
              <w:jc w:val="both"/>
            </w:pPr>
            <w:r>
              <w:t xml:space="preserve"> „Az értékelő a </w:t>
            </w:r>
            <w:r w:rsidR="00847A18">
              <w:t xml:space="preserve">nettósítási halmazba tartozó </w:t>
            </w:r>
            <w:r>
              <w:t xml:space="preserve">származtatott ügyletekből eredő </w:t>
            </w:r>
            <w:r w:rsidR="00405B73">
              <w:t xml:space="preserve">kötelezettségek értékét </w:t>
            </w:r>
            <w:r>
              <w:t xml:space="preserve">az idő előtti megszüntetéskor fizetendő összegként </w:t>
            </w:r>
            <w:r w:rsidR="00405B73">
              <w:t>határozza meg</w:t>
            </w:r>
            <w:r>
              <w:t xml:space="preserve">, amely a következő összegek összegeként kell kiszámítani: </w:t>
            </w:r>
          </w:p>
        </w:tc>
      </w:tr>
      <w:tr w:rsidR="00896468" w14:paraId="7FE1D193" w14:textId="77777777">
        <w:tc>
          <w:tcPr>
            <w:tcW w:w="1183" w:type="dxa"/>
            <w:vMerge/>
            <w:tcBorders>
              <w:right w:val="single" w:sz="8" w:space="0" w:color="1A171C"/>
            </w:tcBorders>
            <w:vAlign w:val="center"/>
          </w:tcPr>
          <w:p w14:paraId="7FE1D191" w14:textId="77777777" w:rsidR="00896468" w:rsidRDefault="00896468">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896468" w:rsidRDefault="00B31E50">
            <w:pPr>
              <w:pStyle w:val="P68B1DB1-TableParagraph40"/>
              <w:spacing w:before="108"/>
              <w:ind w:left="85"/>
              <w:jc w:val="both"/>
            </w:pPr>
            <w:r>
              <w:t xml:space="preserve"> A lezárási időpontban esedékes, a szanálás alatt álló intézménytől a partnernek járó kifizetetlen összegek, biztosíték vagy egyéb összegek, mínusz a partnertől a szanálás alatt álló intézménynek járó kifizetetlen összegek, biztosíték és egyéb összegek; valamint</w:t>
            </w:r>
          </w:p>
        </w:tc>
      </w:tr>
      <w:tr w:rsidR="00896468" w14:paraId="7FE1D196" w14:textId="77777777">
        <w:tc>
          <w:tcPr>
            <w:tcW w:w="1183" w:type="dxa"/>
            <w:vMerge/>
            <w:tcBorders>
              <w:right w:val="single" w:sz="8" w:space="0" w:color="1A171C"/>
            </w:tcBorders>
            <w:vAlign w:val="center"/>
          </w:tcPr>
          <w:p w14:paraId="7FE1D194" w14:textId="77777777" w:rsidR="00896468" w:rsidRDefault="00896468">
            <w:pPr>
              <w:rPr>
                <w:rFonts w:ascii="Times New Roman" w:hAnsi="Times New Roman" w:cs="Times New Roman"/>
              </w:rPr>
            </w:pPr>
          </w:p>
        </w:tc>
        <w:tc>
          <w:tcPr>
            <w:tcW w:w="7832" w:type="dxa"/>
            <w:tcBorders>
              <w:left w:val="single" w:sz="8" w:space="0" w:color="1A171C"/>
              <w:right w:val="nil"/>
            </w:tcBorders>
            <w:vAlign w:val="bottom"/>
          </w:tcPr>
          <w:p w14:paraId="7FE1D195" w14:textId="32321931" w:rsidR="00896468" w:rsidRDefault="00B31E50">
            <w:pPr>
              <w:pStyle w:val="P68B1DB1-TableParagraph40"/>
              <w:spacing w:before="108"/>
              <w:ind w:left="85"/>
              <w:jc w:val="both"/>
            </w:pPr>
            <w:r>
              <w:t xml:space="preserve"> </w:t>
            </w:r>
            <w:r w:rsidR="00405B73">
              <w:t>A megszüntetett</w:t>
            </w:r>
            <w:r>
              <w:t xml:space="preserve"> ügyletek lényegi feltételeinek megfelelő gazdasági értéknek, valamint a </w:t>
            </w:r>
            <w:r w:rsidR="00796837">
              <w:lastRenderedPageBreak/>
              <w:t xml:space="preserve">szóban forgó </w:t>
            </w:r>
            <w:r>
              <w:t>ügyletek tekintetében a felek opciós jogainak a pótlása vagy megszerzése során a származtatott ügylet partner</w:t>
            </w:r>
            <w:r w:rsidR="00405B73">
              <w:t>ei</w:t>
            </w:r>
            <w:r>
              <w:t>nél felmerült veszteséget vagy költségeket, vagy az általuk elért nyereséget fedező lezárási összeg.”</w:t>
            </w:r>
          </w:p>
        </w:tc>
      </w:tr>
      <w:tr w:rsidR="00896468" w14:paraId="7FE1D199" w14:textId="77777777">
        <w:tc>
          <w:tcPr>
            <w:tcW w:w="1183" w:type="dxa"/>
            <w:vMerge/>
            <w:tcBorders>
              <w:right w:val="single" w:sz="8" w:space="0" w:color="1A171C"/>
            </w:tcBorders>
            <w:vAlign w:val="center"/>
          </w:tcPr>
          <w:p w14:paraId="7FE1D197" w14:textId="77777777" w:rsidR="00896468" w:rsidRDefault="00896468">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9BD5F17" w:rsidR="00896468" w:rsidRDefault="00B31E50">
            <w:pPr>
              <w:pStyle w:val="P68B1DB1-TableParagraph40"/>
              <w:spacing w:before="108"/>
              <w:ind w:left="85"/>
              <w:jc w:val="both"/>
            </w:pPr>
            <w:r>
              <w:t xml:space="preserve"> Így a becsült </w:t>
            </w:r>
            <w:r w:rsidR="00405B73">
              <w:t>korai megszüntetéskor fizetendő</w:t>
            </w:r>
            <w:r>
              <w:t xml:space="preserve"> összegnek meg kell egyeznie a nettó piaci árazás szerinti értékkel (c0120) – A </w:t>
            </w:r>
            <w:r w:rsidR="00405B73">
              <w:t xml:space="preserve">nyújtott </w:t>
            </w:r>
            <w:r>
              <w:t>biztosíték nettó értéke (c0130) + becsült záróösszeg (c0140).</w:t>
            </w:r>
          </w:p>
        </w:tc>
      </w:tr>
    </w:tbl>
    <w:p w14:paraId="7FE1D19A" w14:textId="77777777" w:rsidR="00896468" w:rsidRDefault="00896468">
      <w:pPr>
        <w:pStyle w:val="Instructionsberschrift2"/>
        <w:ind w:left="357"/>
        <w:rPr>
          <w:rFonts w:ascii="Times New Roman" w:eastAsia="Calibri" w:hAnsi="Times New Roman" w:cs="Times New Roman"/>
          <w:szCs w:val="20"/>
        </w:rPr>
      </w:pPr>
      <w:bookmarkStart w:id="255" w:name="_Toc81454217"/>
    </w:p>
    <w:p w14:paraId="7FE1D19B" w14:textId="70F5DEB4" w:rsidR="00896468" w:rsidRDefault="00B31E50">
      <w:pPr>
        <w:pStyle w:val="Instructionsberschrift2"/>
        <w:numPr>
          <w:ilvl w:val="1"/>
          <w:numId w:val="49"/>
        </w:numPr>
        <w:spacing w:before="0"/>
        <w:ind w:left="357" w:hanging="357"/>
        <w:rPr>
          <w:rFonts w:ascii="Times New Roman" w:hAnsi="Times New Roman" w:cs="Times New Roman"/>
        </w:rPr>
      </w:pPr>
      <w:bookmarkStart w:id="256" w:name="_Toc210982903"/>
      <w:r>
        <w:rPr>
          <w:rFonts w:ascii="Times New Roman" w:eastAsiaTheme="minorEastAsia" w:hAnsi="Times New Roman" w:cs="Times New Roman"/>
        </w:rPr>
        <w:t xml:space="preserve">Z 16.00 – </w:t>
      </w:r>
      <w:r w:rsidR="00093F09">
        <w:rPr>
          <w:rFonts w:ascii="Times New Roman" w:eastAsiaTheme="minorEastAsia" w:hAnsi="Times New Roman" w:cs="Times New Roman"/>
        </w:rPr>
        <w:t>Fedezett finanszírozási</w:t>
      </w:r>
      <w:r>
        <w:rPr>
          <w:rFonts w:ascii="Times New Roman" w:eastAsiaTheme="minorEastAsia" w:hAnsi="Times New Roman" w:cs="Times New Roman"/>
        </w:rPr>
        <w:t xml:space="preserve"> tranzakciók a csoporton belüli</w:t>
      </w:r>
      <w:r w:rsidR="00B279C2">
        <w:rPr>
          <w:rFonts w:ascii="Times New Roman" w:eastAsiaTheme="minorEastAsia" w:hAnsi="Times New Roman" w:cs="Times New Roman"/>
        </w:rPr>
        <w:t>ek</w:t>
      </w:r>
      <w:r>
        <w:rPr>
          <w:rFonts w:ascii="Times New Roman" w:eastAsiaTheme="minorEastAsia" w:hAnsi="Times New Roman" w:cs="Times New Roman"/>
        </w:rPr>
        <w:t xml:space="preserve"> kivételével </w:t>
      </w:r>
      <w:r>
        <w:rPr>
          <w:rFonts w:ascii="Times New Roman" w:eastAsia="Calibri" w:hAnsi="Times New Roman" w:cs="Times New Roman"/>
          <w:szCs w:val="20"/>
        </w:rPr>
        <w:t>(LIAB-G-6)</w:t>
      </w:r>
      <w:bookmarkEnd w:id="256"/>
    </w:p>
    <w:p w14:paraId="7FE1D19C" w14:textId="07C13721" w:rsidR="00896468" w:rsidRDefault="00B31E50">
      <w:pPr>
        <w:pStyle w:val="P68B1DB1-Instructionsberschrift289"/>
        <w:rPr>
          <w:rFonts w:eastAsiaTheme="minorEastAsia"/>
        </w:rPr>
      </w:pPr>
      <w:r>
        <w:t xml:space="preserve"> </w:t>
      </w:r>
      <w:bookmarkEnd w:id="255"/>
    </w:p>
    <w:p w14:paraId="7FE1D19D" w14:textId="77777777" w:rsidR="00896468" w:rsidRDefault="00B31E50">
      <w:pPr>
        <w:pStyle w:val="P68B1DB1-Numberedtitlelevel388"/>
      </w:pPr>
      <w:r>
        <w:t>Általános megjegyzések</w:t>
      </w:r>
    </w:p>
    <w:p w14:paraId="7FE1D19E" w14:textId="466454E4" w:rsidR="00896468" w:rsidRDefault="00B31E50">
      <w:pPr>
        <w:pStyle w:val="P68B1DB1-InstructionsText286"/>
        <w:numPr>
          <w:ilvl w:val="2"/>
          <w:numId w:val="209"/>
        </w:numPr>
        <w:spacing w:before="0"/>
        <w:ind w:left="1276"/>
        <w:rPr>
          <w:rFonts w:eastAsiaTheme="majorEastAsia"/>
        </w:rPr>
      </w:pPr>
      <w:r>
        <w:t xml:space="preserve">A </w:t>
      </w:r>
      <w:r w:rsidR="00F24C49">
        <w:t>fedezett</w:t>
      </w:r>
      <w:r w:rsidR="0043105C">
        <w:t xml:space="preserve"> </w:t>
      </w:r>
      <w:r>
        <w:t xml:space="preserve">finanszírozás magában foglal minden olyan finanszírozási megállapodást, amely biztosíték, zálog vagy zálogjog tárgyát képezi, kivéve például azokat az értékpapírokat, amelyeket a Z12.00 mezőben kell jelenteni. </w:t>
      </w:r>
    </w:p>
    <w:p w14:paraId="7FE1D19F" w14:textId="77777777" w:rsidR="00896468" w:rsidRDefault="00B31E50">
      <w:pPr>
        <w:pStyle w:val="P68B1DB1-InstructionsText286"/>
        <w:numPr>
          <w:ilvl w:val="2"/>
          <w:numId w:val="209"/>
        </w:numPr>
        <w:spacing w:before="0"/>
        <w:ind w:left="1276"/>
      </w:pPr>
      <w:r>
        <w:t>Az ilyen megállapodások tipikus példái a központi banki finanszírozás vagy a visszavásárlási megállapodások.</w:t>
      </w:r>
    </w:p>
    <w:p w14:paraId="7FE1D1A0" w14:textId="77777777" w:rsidR="00896468" w:rsidRDefault="00B31E50">
      <w:pPr>
        <w:pStyle w:val="P68B1DB1-InstructionsText286"/>
        <w:numPr>
          <w:ilvl w:val="2"/>
          <w:numId w:val="209"/>
        </w:numPr>
        <w:spacing w:before="0"/>
        <w:ind w:left="1276"/>
      </w:pPr>
      <w:r>
        <w:t>A fedezett kötelezettséget, nem pedig magát a biztosítékot kell feltüntetni.</w:t>
      </w:r>
    </w:p>
    <w:p w14:paraId="7FE1D1A1" w14:textId="437B0574" w:rsidR="00896468" w:rsidRDefault="00B31E50">
      <w:pPr>
        <w:pStyle w:val="P68B1DB1-InstructionsText286"/>
        <w:numPr>
          <w:ilvl w:val="2"/>
          <w:numId w:val="209"/>
        </w:numPr>
        <w:spacing w:before="0"/>
        <w:ind w:left="1276"/>
      </w:pPr>
      <w:r>
        <w:t xml:space="preserve">E táblázat alkalmazásában a fedezett finanszírozási megállapodásokat nettósítási halmazként kell jelenteni, azaz minden egyes nettósítási halmazt egyedi sortételként kell jelenteni. Ugyanakkor ugyanazon nettósítási halmaz fedezett részét és fedezetlen részét különböző sorokban kell feltüntetni, amennyiben azok különböző kielégítési sorrendben szerepelnek. </w:t>
      </w:r>
    </w:p>
    <w:p w14:paraId="7FE1D1A2" w14:textId="77777777" w:rsidR="00896468" w:rsidRDefault="00B31E50">
      <w:pPr>
        <w:pStyle w:val="P68B1DB1-InstructionsText286"/>
        <w:numPr>
          <w:ilvl w:val="2"/>
          <w:numId w:val="209"/>
        </w:numPr>
        <w:spacing w:before="0"/>
        <w:ind w:left="1276"/>
      </w:pPr>
      <w:r>
        <w:t>E tekintetben nem alkalmazandók jelentéstételi küszöbértékek.</w:t>
      </w:r>
    </w:p>
    <w:p w14:paraId="7FE1D1A3" w14:textId="77777777" w:rsidR="00896468" w:rsidRDefault="00B31E50">
      <w:pPr>
        <w:pStyle w:val="P68B1DB1-Numberedtitlelevel388"/>
      </w:pPr>
      <w:r>
        <w:t>A táblák egyes részeire vonatkozó útmutatások</w:t>
      </w:r>
    </w:p>
    <w:tbl>
      <w:tblPr>
        <w:tblW w:w="9015" w:type="dxa"/>
        <w:tblInd w:w="135" w:type="dxa"/>
        <w:tblLayout w:type="fixed"/>
        <w:tblLook w:val="04A0" w:firstRow="1" w:lastRow="0" w:firstColumn="1" w:lastColumn="0" w:noHBand="0" w:noVBand="1"/>
      </w:tblPr>
      <w:tblGrid>
        <w:gridCol w:w="1183"/>
        <w:gridCol w:w="7832"/>
      </w:tblGrid>
      <w:tr w:rsidR="00896468"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896468" w:rsidRDefault="00B31E50">
            <w:pPr>
              <w:pStyle w:val="P68B1DB1-Normal31"/>
            </w:pPr>
            <w:r>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896468" w:rsidRDefault="00B31E50">
            <w:pPr>
              <w:pStyle w:val="P68B1DB1-Normal31"/>
            </w:pPr>
            <w:r>
              <w:t xml:space="preserve">Útmutató </w:t>
            </w:r>
          </w:p>
        </w:tc>
      </w:tr>
      <w:tr w:rsidR="00896468"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896468" w:rsidRDefault="00B31E50">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896468" w:rsidRDefault="00B31E50">
            <w:pPr>
              <w:pStyle w:val="P68B1DB1-TableParagraph40"/>
              <w:spacing w:before="108"/>
              <w:ind w:left="85"/>
              <w:jc w:val="both"/>
              <w:rPr>
                <w:b/>
                <w:bCs/>
              </w:rPr>
            </w:pPr>
            <w:r>
              <w:t xml:space="preserve"> </w:t>
            </w:r>
            <w:r>
              <w:rPr>
                <w:b/>
              </w:rPr>
              <w:t>SORSZÁM</w:t>
            </w:r>
          </w:p>
          <w:p w14:paraId="7FE1D1A9" w14:textId="7C09A169" w:rsidR="00896468" w:rsidRDefault="00B31E50">
            <w:pPr>
              <w:pStyle w:val="P68B1DB1-TableParagraph40"/>
              <w:spacing w:before="108"/>
              <w:ind w:left="85"/>
              <w:jc w:val="both"/>
            </w:pPr>
            <w:r>
              <w:t>Egyedi szám/elsődleges kulcs a sorok azonosítására.</w:t>
            </w:r>
          </w:p>
        </w:tc>
      </w:tr>
      <w:tr w:rsidR="00896468"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896468" w:rsidRDefault="00B31E50">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896468" w:rsidRDefault="00B31E50">
            <w:pPr>
              <w:pStyle w:val="P68B1DB1-TableParagraph40"/>
              <w:spacing w:before="108"/>
              <w:ind w:left="85"/>
              <w:jc w:val="both"/>
              <w:rPr>
                <w:b/>
                <w:bCs/>
              </w:rPr>
            </w:pPr>
            <w:r>
              <w:t xml:space="preserve"> </w:t>
            </w:r>
            <w:r>
              <w:rPr>
                <w:b/>
              </w:rPr>
              <w:t>Oszlop</w:t>
            </w:r>
          </w:p>
          <w:p w14:paraId="7FE1D1AD" w14:textId="2AF8C2ED" w:rsidR="00896468" w:rsidRDefault="00B31E50">
            <w:pPr>
              <w:pStyle w:val="P68B1DB1-TableParagraph40"/>
              <w:spacing w:before="108"/>
              <w:ind w:left="85"/>
              <w:jc w:val="both"/>
            </w:pPr>
            <w:r>
              <w:t xml:space="preserve">Minden egyes nettósítási halmaz esetében meg kell </w:t>
            </w:r>
            <w:r w:rsidR="008648E4" w:rsidRPr="008648E4">
              <w:t>adni a Z02.00 tábla azon partnerosztályát, amellyel szemben a kötelezettség fennáll, az értékek előre meghatározott listájából</w:t>
            </w:r>
          </w:p>
        </w:tc>
      </w:tr>
      <w:tr w:rsidR="00896468"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896468" w:rsidRDefault="00B31E50">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245ABD44" w:rsidR="00896468" w:rsidRDefault="00B31E50">
            <w:pPr>
              <w:pStyle w:val="P68B1DB1-TableParagraph40"/>
              <w:spacing w:before="108"/>
              <w:ind w:left="85"/>
              <w:jc w:val="both"/>
              <w:rPr>
                <w:b/>
                <w:bCs/>
              </w:rPr>
            </w:pPr>
            <w:r>
              <w:t xml:space="preserve"> </w:t>
            </w:r>
            <w:r w:rsidR="008648E4">
              <w:rPr>
                <w:b/>
              </w:rPr>
              <w:t>Kielégítési sorrend</w:t>
            </w:r>
          </w:p>
          <w:p w14:paraId="7FE1D1B1" w14:textId="0D780E4C"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896468" w:rsidRDefault="00B31E50">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896468" w:rsidRDefault="00B31E50">
            <w:pPr>
              <w:pStyle w:val="P68B1DB1-TableParagraph73"/>
              <w:spacing w:before="108"/>
              <w:ind w:left="85"/>
              <w:jc w:val="both"/>
              <w:rPr>
                <w:bCs/>
              </w:rPr>
            </w:pPr>
            <w:r>
              <w:t xml:space="preserve"> Keretmegállapodás azonosítója </w:t>
            </w:r>
          </w:p>
          <w:p w14:paraId="7FE1D1B5" w14:textId="77777777" w:rsidR="00896468" w:rsidRDefault="00B31E50">
            <w:pPr>
              <w:pStyle w:val="P68B1DB1-TableParagraph40"/>
              <w:spacing w:before="108"/>
              <w:ind w:left="85"/>
              <w:jc w:val="both"/>
            </w:pPr>
            <w:r>
              <w:t>A keretmegállapodás vagy egyetlen szerződés belső azonosítója.</w:t>
            </w:r>
          </w:p>
        </w:tc>
      </w:tr>
      <w:tr w:rsidR="00896468"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896468" w:rsidRDefault="00B31E50">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481B91E6" w:rsidR="00896468" w:rsidRDefault="00B31E50">
            <w:pPr>
              <w:pStyle w:val="P68B1DB1-TableParagraph73"/>
              <w:spacing w:before="108"/>
              <w:ind w:left="85"/>
              <w:jc w:val="both"/>
              <w:rPr>
                <w:bCs/>
              </w:rPr>
            </w:pPr>
            <w:r>
              <w:t xml:space="preserve"> A </w:t>
            </w:r>
            <w:r w:rsidR="008648E4">
              <w:t>keretmegállapodás</w:t>
            </w:r>
            <w:r>
              <w:t xml:space="preserve"> típusa (pl. GMRA) </w:t>
            </w:r>
          </w:p>
          <w:p w14:paraId="7FE1D1B9" w14:textId="29576B1B" w:rsidR="00896468" w:rsidRDefault="00B31E50">
            <w:pPr>
              <w:pStyle w:val="P68B1DB1-TableParagraph40"/>
              <w:spacing w:before="108"/>
              <w:ind w:left="85"/>
              <w:jc w:val="both"/>
            </w:pPr>
            <w:r>
              <w:t>Adja meg a keretmegállapodást</w:t>
            </w:r>
            <w:r w:rsidR="008648E4">
              <w:t>:</w:t>
            </w:r>
            <w:r>
              <w:t xml:space="preserve"> az „ICMA 2011 Global master repo agreements”, az „ICMA 2000 Global master repo agreements”, az „ICMA 1995 Global master repo agreements”, az „ICMA 1992 Global master repo agreements”, az „Egyéb globális visszavásárlási keretmegállapodások” vagy az „egységes szerződés” előre meghatározott listáról.</w:t>
            </w:r>
          </w:p>
        </w:tc>
      </w:tr>
      <w:tr w:rsidR="00896468"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896468" w:rsidRDefault="00B31E50">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896468" w:rsidRDefault="00B31E50">
            <w:pPr>
              <w:pStyle w:val="P68B1DB1-TableParagraph73"/>
              <w:spacing w:before="108"/>
              <w:ind w:left="85"/>
              <w:jc w:val="both"/>
              <w:rPr>
                <w:bCs/>
              </w:rPr>
            </w:pPr>
            <w:bookmarkStart w:id="257" w:name="_Hlk189839338"/>
            <w:r>
              <w:t xml:space="preserve">A partner neve </w:t>
            </w:r>
          </w:p>
          <w:bookmarkEnd w:id="257"/>
          <w:p w14:paraId="7FE1D1BD" w14:textId="19B4AA47" w:rsidR="00896468" w:rsidRDefault="00B31E50">
            <w:pPr>
              <w:pStyle w:val="P68B1DB1-TableParagraph40"/>
              <w:spacing w:before="108"/>
              <w:ind w:left="85"/>
              <w:jc w:val="both"/>
            </w:pPr>
            <w:r>
              <w:t xml:space="preserve">A </w:t>
            </w:r>
            <w:r w:rsidR="008648E4">
              <w:t>partnerszervezet</w:t>
            </w:r>
            <w:r>
              <w:t xml:space="preserve"> neve.</w:t>
            </w:r>
          </w:p>
        </w:tc>
      </w:tr>
      <w:tr w:rsidR="00896468"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896468" w:rsidRDefault="00B31E50">
            <w:pPr>
              <w:pStyle w:val="P68B1DB1-Normal31"/>
            </w:pPr>
            <w:r>
              <w:lastRenderedPageBreak/>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896468" w:rsidRDefault="00B31E50">
            <w:pPr>
              <w:pStyle w:val="P68B1DB1-TableParagraph40"/>
              <w:spacing w:before="108"/>
              <w:ind w:left="85"/>
              <w:jc w:val="both"/>
              <w:rPr>
                <w:b/>
                <w:bCs/>
              </w:rPr>
            </w:pPr>
            <w:r>
              <w:t xml:space="preserve"> </w:t>
            </w:r>
            <w:r>
              <w:rPr>
                <w:b/>
              </w:rPr>
              <w:t>Partner (LEI/MPI/helyi azonosító)</w:t>
            </w:r>
          </w:p>
          <w:p w14:paraId="7FE1D1C1" w14:textId="5ADC0AB9" w:rsidR="00896468" w:rsidRDefault="00B31E50">
            <w:pPr>
              <w:pStyle w:val="P68B1DB1-TableParagraph40"/>
              <w:spacing w:before="108"/>
              <w:ind w:left="85"/>
              <w:jc w:val="both"/>
            </w:pPr>
            <w:r>
              <w:t>Adja meg a hitelező LEI-kódját. Jogalany-azonosító hiányában a banki adatszolgáltatás esetében a RIAD-ban használt EKB monetáris pénzügyi intézmények azonosítója (MPI-azonosító). Mindkét azonosító hiányában belső azonosítót kell megadni.</w:t>
            </w:r>
          </w:p>
        </w:tc>
      </w:tr>
      <w:tr w:rsidR="00896468"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896468" w:rsidRDefault="00B31E50">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896468" w:rsidRDefault="00B31E50">
            <w:pPr>
              <w:pStyle w:val="P68B1DB1-TableParagraph73"/>
              <w:spacing w:before="108"/>
              <w:ind w:left="85"/>
              <w:jc w:val="both"/>
              <w:rPr>
                <w:bCs/>
              </w:rPr>
            </w:pPr>
            <w:r>
              <w:t xml:space="preserve">Azonosítótípus </w:t>
            </w:r>
          </w:p>
          <w:p w14:paraId="7FE1D1C5"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896468" w:rsidRDefault="00B31E50">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42F51380" w:rsidR="00896468" w:rsidRDefault="00B31E50">
            <w:pPr>
              <w:pStyle w:val="P68B1DB1-TableParagraph40"/>
              <w:spacing w:before="108"/>
              <w:ind w:left="85"/>
              <w:jc w:val="both"/>
              <w:rPr>
                <w:b/>
                <w:bCs/>
              </w:rPr>
            </w:pPr>
            <w:r>
              <w:t xml:space="preserve"> </w:t>
            </w:r>
            <w:r>
              <w:rPr>
                <w:b/>
              </w:rPr>
              <w:t xml:space="preserve">A </w:t>
            </w:r>
            <w:r w:rsidR="008648E4">
              <w:rPr>
                <w:b/>
              </w:rPr>
              <w:t>partner</w:t>
            </w:r>
            <w:r>
              <w:rPr>
                <w:b/>
              </w:rPr>
              <w:t xml:space="preserve"> országa</w:t>
            </w:r>
          </w:p>
          <w:p w14:paraId="7FE1D1C9" w14:textId="77777777" w:rsidR="00896468" w:rsidRDefault="00B31E50">
            <w:pPr>
              <w:pStyle w:val="P68B1DB1-TableParagraph40"/>
              <w:spacing w:before="108"/>
              <w:ind w:left="85"/>
              <w:jc w:val="both"/>
            </w:pPr>
            <w:r>
              <w:t>Annak az országnak a neve, ahol a partnert bejegyezték.</w:t>
            </w:r>
          </w:p>
        </w:tc>
      </w:tr>
      <w:tr w:rsidR="00896468"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896468" w:rsidRDefault="00B31E50">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4EF9E7B2" w:rsidR="00896468" w:rsidRDefault="00B31E50">
            <w:pPr>
              <w:pStyle w:val="P68B1DB1-TableParagraph40"/>
              <w:spacing w:before="108"/>
              <w:ind w:left="85"/>
              <w:jc w:val="both"/>
              <w:rPr>
                <w:b/>
                <w:bCs/>
              </w:rPr>
            </w:pPr>
            <w:r>
              <w:t xml:space="preserve"> </w:t>
            </w:r>
            <w:r>
              <w:rPr>
                <w:b/>
              </w:rPr>
              <w:t>A</w:t>
            </w:r>
            <w:r w:rsidR="008648E4">
              <w:rPr>
                <w:b/>
              </w:rPr>
              <w:t xml:space="preserve"> keretmegállapodás</w:t>
            </w:r>
            <w:r>
              <w:rPr>
                <w:b/>
              </w:rPr>
              <w:t>/egyetlen megállapodás irányadó joga</w:t>
            </w:r>
          </w:p>
          <w:p w14:paraId="7FE1D1CD" w14:textId="329F8256" w:rsidR="00896468" w:rsidRDefault="00B31E50">
            <w:pPr>
              <w:pStyle w:val="P68B1DB1-TableParagraph40"/>
              <w:spacing w:before="108"/>
              <w:ind w:left="85"/>
              <w:jc w:val="both"/>
            </w:pPr>
            <w:r>
              <w:t xml:space="preserve">Annak az országnak a neve, amelynek joga a </w:t>
            </w:r>
            <w:r w:rsidR="008648E4">
              <w:t>keretmegállapodásra</w:t>
            </w:r>
            <w:r>
              <w:t xml:space="preserve">/egyetlen szerződésre alkalmazandó. Ha a szerződésre egynél több ország joga irányadó, azt az országot kell jelenteni, amelynek joga a leginkább releváns a leírási és átalakítási hatáskörök elismerése szempontjából.  </w:t>
            </w:r>
          </w:p>
        </w:tc>
      </w:tr>
      <w:tr w:rsidR="00896468"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896468" w:rsidRDefault="00B31E50">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2C57EB9E" w:rsidR="00896468" w:rsidRDefault="00B31E50">
            <w:pPr>
              <w:pStyle w:val="P68B1DB1-TableParagraph40"/>
              <w:spacing w:before="108"/>
              <w:ind w:left="85"/>
              <w:jc w:val="both"/>
              <w:rPr>
                <w:b/>
                <w:bCs/>
              </w:rPr>
            </w:pPr>
            <w:r>
              <w:t xml:space="preserve"> </w:t>
            </w:r>
            <w:r>
              <w:rPr>
                <w:b/>
              </w:rPr>
              <w:t>A</w:t>
            </w:r>
            <w:r w:rsidR="00F24C49">
              <w:rPr>
                <w:b/>
              </w:rPr>
              <w:t>z</w:t>
            </w:r>
            <w:r>
              <w:rPr>
                <w:b/>
              </w:rPr>
              <w:t xml:space="preserve"> érintett</w:t>
            </w:r>
            <w:r w:rsidR="00F24C49">
              <w:rPr>
                <w:b/>
              </w:rPr>
              <w:t xml:space="preserve"> tranzakciók száma</w:t>
            </w:r>
          </w:p>
          <w:p w14:paraId="7FE1D1D1" w14:textId="43F6E616" w:rsidR="00896468" w:rsidRDefault="00B31E50">
            <w:pPr>
              <w:pStyle w:val="P68B1DB1-TableParagraph40"/>
              <w:spacing w:before="108"/>
              <w:ind w:left="85"/>
              <w:jc w:val="both"/>
            </w:pPr>
            <w:r>
              <w:t>Adja meg a</w:t>
            </w:r>
            <w:r w:rsidR="00F24C49">
              <w:t xml:space="preserve"> keretmegállapodés</w:t>
            </w:r>
            <w:r>
              <w:t xml:space="preserve"> nettósítási halmazába tartozó egyedi szerződések számát.</w:t>
            </w:r>
          </w:p>
        </w:tc>
      </w:tr>
      <w:tr w:rsidR="00896468"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896468" w:rsidRDefault="00B31E50">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896468" w:rsidRDefault="00B31E50">
            <w:pPr>
              <w:pStyle w:val="P68B1DB1-TableParagraph40"/>
              <w:spacing w:before="108"/>
              <w:ind w:left="85"/>
              <w:jc w:val="both"/>
              <w:rPr>
                <w:b/>
                <w:bCs/>
              </w:rPr>
            </w:pPr>
            <w:r>
              <w:t xml:space="preserve"> </w:t>
            </w:r>
            <w:r>
              <w:rPr>
                <w:b/>
              </w:rPr>
              <w:t>A kapott finanszírozás nettó összege</w:t>
            </w:r>
          </w:p>
          <w:p w14:paraId="7FE1D1D5" w14:textId="6A2F3EAD" w:rsidR="00896468" w:rsidRDefault="00B31E50">
            <w:pPr>
              <w:pStyle w:val="P68B1DB1-TableParagraph40"/>
              <w:spacing w:before="108"/>
              <w:ind w:left="85"/>
              <w:jc w:val="both"/>
            </w:pPr>
            <w:r>
              <w:t>Adja meg a fedezett finanszírozási megállapodások alapján kapott finanszírozás nettó összegét, figyelembe véve a nettósítási megállapodás hatálya alá tartozó valamennyi ügyletet. Megjegyzendő, hogy ez az összeg nem tartalmazza a felhalmozott kamatokat, míg a Z02.00 0120-as sorában szereplő kapcsolódó összeg</w:t>
            </w:r>
            <w:r w:rsidR="007E647E">
              <w:t xml:space="preserve"> igen</w:t>
            </w:r>
            <w:r>
              <w:t>.</w:t>
            </w:r>
          </w:p>
        </w:tc>
      </w:tr>
      <w:tr w:rsidR="00896468"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896468" w:rsidRDefault="00B31E50">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1E5C417" w:rsidR="00896468" w:rsidRDefault="00B31E50">
            <w:pPr>
              <w:pStyle w:val="P68B1DB1-TableParagraph73"/>
              <w:spacing w:before="108"/>
              <w:ind w:left="85"/>
              <w:jc w:val="both"/>
              <w:rPr>
                <w:bCs/>
              </w:rPr>
            </w:pPr>
            <w:r>
              <w:t xml:space="preserve"> A </w:t>
            </w:r>
            <w:r w:rsidR="00F24C49">
              <w:t xml:space="preserve">nyújtott </w:t>
            </w:r>
            <w:r>
              <w:t xml:space="preserve">biztosítékok nettó összege  </w:t>
            </w:r>
          </w:p>
          <w:p w14:paraId="7FE1D1D9" w14:textId="6D452434" w:rsidR="00896468" w:rsidRDefault="00B31E50">
            <w:pPr>
              <w:pStyle w:val="P68B1DB1-TableParagraph40"/>
              <w:spacing w:before="108"/>
              <w:ind w:left="85"/>
              <w:jc w:val="both"/>
            </w:pPr>
            <w:r>
              <w:t>Nettósítási halmazonként adja meg a fedezett finanszírozási ügyletek fedezésére nyújtott biztosíték nettó értékét, figyelembe véve a nettósítási megállapodásban figyelembe vett valamennyi biztosítéki pozíciót. Ez magában foglalja a biztosíték vagy letét minden olyan összegét, amelyet kicserélnek.</w:t>
            </w:r>
          </w:p>
        </w:tc>
      </w:tr>
    </w:tbl>
    <w:p w14:paraId="7FE1D1DB" w14:textId="77777777" w:rsidR="00896468" w:rsidRDefault="00896468">
      <w:pPr>
        <w:pStyle w:val="Instructionsberschrift2"/>
        <w:ind w:left="357"/>
        <w:rPr>
          <w:rFonts w:ascii="Times New Roman" w:eastAsia="Calibri" w:hAnsi="Times New Roman" w:cs="Times New Roman"/>
          <w:szCs w:val="20"/>
        </w:rPr>
      </w:pPr>
      <w:bookmarkStart w:id="258" w:name="_Toc81454218"/>
    </w:p>
    <w:p w14:paraId="7FE1D1DC" w14:textId="16A087FD" w:rsidR="00896468" w:rsidRDefault="00B31E50">
      <w:pPr>
        <w:pStyle w:val="Instructionsberschrift2"/>
        <w:numPr>
          <w:ilvl w:val="1"/>
          <w:numId w:val="49"/>
        </w:numPr>
        <w:spacing w:before="0"/>
        <w:ind w:left="357" w:hanging="357"/>
        <w:rPr>
          <w:rFonts w:ascii="Times New Roman" w:hAnsi="Times New Roman" w:cs="Times New Roman"/>
        </w:rPr>
      </w:pPr>
      <w:bookmarkStart w:id="259" w:name="_Toc210982904"/>
      <w:r>
        <w:rPr>
          <w:rFonts w:ascii="Times New Roman" w:eastAsiaTheme="minorEastAsia" w:hAnsi="Times New Roman" w:cs="Times New Roman"/>
        </w:rPr>
        <w:t xml:space="preserve">Z 17.00 – </w:t>
      </w:r>
      <w:r>
        <w:rPr>
          <w:rFonts w:ascii="Times New Roman" w:hAnsi="Times New Roman" w:cs="Times New Roman"/>
          <w:color w:val="000000" w:themeColor="text1"/>
        </w:rPr>
        <w:t>Egyéb nem pénzügyi kötelezettségek (</w:t>
      </w:r>
      <w:r w:rsidR="007E647E">
        <w:rPr>
          <w:rFonts w:ascii="Times New Roman" w:hAnsi="Times New Roman" w:cs="Times New Roman"/>
          <w:color w:val="000000" w:themeColor="text1"/>
        </w:rPr>
        <w:t>nem szerepelnek más füleken, kivéve a csoporton belüli kötelezettségek</w:t>
      </w:r>
      <w:r>
        <w:rPr>
          <w:rFonts w:ascii="Times New Roman" w:hAnsi="Times New Roman" w:cs="Times New Roman"/>
          <w:color w:val="000000" w:themeColor="text1"/>
        </w:rPr>
        <w:t xml:space="preserve">) </w:t>
      </w:r>
      <w:r>
        <w:rPr>
          <w:rFonts w:ascii="Times New Roman" w:eastAsia="Calibri" w:hAnsi="Times New Roman" w:cs="Times New Roman"/>
          <w:szCs w:val="20"/>
        </w:rPr>
        <w:t>(LIAB-G-7)</w:t>
      </w:r>
      <w:bookmarkEnd w:id="259"/>
    </w:p>
    <w:bookmarkEnd w:id="258"/>
    <w:p w14:paraId="7FE1D1DD" w14:textId="28BEEC11" w:rsidR="00896468" w:rsidRDefault="00896468">
      <w:pPr>
        <w:pStyle w:val="Instructionsberschrift2"/>
        <w:ind w:left="357"/>
        <w:rPr>
          <w:rFonts w:ascii="Times New Roman" w:eastAsiaTheme="minorEastAsia" w:hAnsi="Times New Roman" w:cs="Times New Roman"/>
          <w:u w:val="none"/>
        </w:rPr>
      </w:pPr>
    </w:p>
    <w:p w14:paraId="7FE1D1DE" w14:textId="77777777" w:rsidR="00896468" w:rsidRDefault="00B31E50">
      <w:pPr>
        <w:pStyle w:val="P68B1DB1-Numberedtitlelevel388"/>
      </w:pPr>
      <w:r>
        <w:t>Általános megjegyzések</w:t>
      </w:r>
    </w:p>
    <w:p w14:paraId="7FE1D1DF" w14:textId="062750FB" w:rsidR="00896468" w:rsidRDefault="00B31E50">
      <w:pPr>
        <w:pStyle w:val="P68B1DB1-InstructionsText286"/>
        <w:numPr>
          <w:ilvl w:val="2"/>
          <w:numId w:val="209"/>
        </w:numPr>
        <w:spacing w:before="0"/>
        <w:ind w:left="1276"/>
        <w:rPr>
          <w:rFonts w:eastAsiaTheme="majorEastAsia"/>
        </w:rPr>
      </w:pPr>
      <w:r>
        <w:t>Ez a táblázat az olyan nem pénzügyi kötelezettségeket tartalmaz, mint a céltartalékok, az adókötelezettségek és a halasztott bevételek.</w:t>
      </w:r>
    </w:p>
    <w:p w14:paraId="7FE1D1E0" w14:textId="2D5A6648" w:rsidR="00896468" w:rsidRDefault="00B31E50">
      <w:pPr>
        <w:pStyle w:val="P68B1DB1-InstructionsText286"/>
        <w:numPr>
          <w:ilvl w:val="2"/>
          <w:numId w:val="209"/>
        </w:numPr>
        <w:spacing w:before="0"/>
        <w:ind w:left="1276"/>
      </w:pPr>
      <w:r>
        <w:t>Ezeket a kötelezettségeket a nem pénzügyi kötelezettség típusa és a kielégítési sorrendben elfoglalt hely szerint csoportosít</w:t>
      </w:r>
      <w:r w:rsidR="006D644F">
        <w:t>sa</w:t>
      </w:r>
      <w:r>
        <w:t>.</w:t>
      </w:r>
    </w:p>
    <w:p w14:paraId="7FE1D1E2" w14:textId="77777777" w:rsidR="00896468" w:rsidRDefault="00B31E50">
      <w:pPr>
        <w:pStyle w:val="P68B1DB1-Numberedtitlelevel388"/>
      </w:pPr>
      <w:r>
        <w:t>A táblák egyes részeire vonatkozó útmutatások</w:t>
      </w:r>
    </w:p>
    <w:tbl>
      <w:tblPr>
        <w:tblW w:w="9015" w:type="dxa"/>
        <w:tblInd w:w="135" w:type="dxa"/>
        <w:tblLayout w:type="fixed"/>
        <w:tblLook w:val="04A0" w:firstRow="1" w:lastRow="0" w:firstColumn="1" w:lastColumn="0" w:noHBand="0" w:noVBand="1"/>
      </w:tblPr>
      <w:tblGrid>
        <w:gridCol w:w="1183"/>
        <w:gridCol w:w="7832"/>
      </w:tblGrid>
      <w:tr w:rsidR="00896468"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896468" w:rsidRDefault="00B31E50">
            <w:pPr>
              <w:pStyle w:val="P68B1DB1-Normal31"/>
            </w:pPr>
            <w:r>
              <w:t xml:space="preserve">Oszlopok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896468" w:rsidRDefault="00B31E50">
            <w:pPr>
              <w:pStyle w:val="P68B1DB1-Normal31"/>
            </w:pPr>
            <w:r>
              <w:t xml:space="preserve">Útmutató </w:t>
            </w:r>
          </w:p>
        </w:tc>
      </w:tr>
      <w:tr w:rsidR="00896468"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896468" w:rsidRDefault="00B31E50">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896468" w:rsidRDefault="00B31E50">
            <w:pPr>
              <w:pStyle w:val="P68B1DB1-TableParagraph73"/>
              <w:spacing w:before="108"/>
              <w:ind w:left="85"/>
              <w:jc w:val="both"/>
              <w:rPr>
                <w:bCs/>
              </w:rPr>
            </w:pPr>
            <w:r>
              <w:t xml:space="preserve"> SORSZÁM </w:t>
            </w:r>
          </w:p>
          <w:p w14:paraId="7FE1D1E8" w14:textId="5AB7F74C" w:rsidR="00896468" w:rsidRDefault="00B31E50">
            <w:pPr>
              <w:pStyle w:val="P68B1DB1-TableParagraph40"/>
              <w:spacing w:before="108"/>
              <w:ind w:left="85"/>
              <w:jc w:val="both"/>
            </w:pPr>
            <w:r>
              <w:t>Egyedi szám/elsődleges kulcs a sorok azonosítására.</w:t>
            </w:r>
          </w:p>
        </w:tc>
      </w:tr>
      <w:tr w:rsidR="00896468"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896468" w:rsidRDefault="00B31E50">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896468" w:rsidRDefault="00B31E50">
            <w:pPr>
              <w:pStyle w:val="P68B1DB1-TableParagraph73"/>
              <w:spacing w:before="108"/>
              <w:ind w:left="85"/>
              <w:jc w:val="both"/>
              <w:rPr>
                <w:bCs/>
              </w:rPr>
            </w:pPr>
            <w:r>
              <w:t xml:space="preserve"> Sor </w:t>
            </w:r>
          </w:p>
          <w:p w14:paraId="7FE1D1EC" w14:textId="00129B5F" w:rsidR="00896468" w:rsidRDefault="00B31E50">
            <w:pPr>
              <w:pStyle w:val="P68B1DB1-TableParagraph40"/>
              <w:spacing w:before="108"/>
              <w:ind w:left="85"/>
              <w:jc w:val="both"/>
            </w:pPr>
            <w:r>
              <w:lastRenderedPageBreak/>
              <w:t xml:space="preserve">Minden kötelezettség esetében meg kell adni </w:t>
            </w:r>
            <w:r w:rsidR="00222732" w:rsidRPr="00222732">
              <w:t>a Z02.00 táblában szereplő kötelezettségszerkezet kötelezettségkategóriá</w:t>
            </w:r>
            <w:r w:rsidR="00AC5385">
              <w:t>ját</w:t>
            </w:r>
            <w:r w:rsidR="00222732" w:rsidRPr="00222732">
              <w:t xml:space="preserve"> a lejárat szintjén, az értékek előre meghatározott listájából.</w:t>
            </w:r>
          </w:p>
        </w:tc>
      </w:tr>
      <w:tr w:rsidR="00896468"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896468" w:rsidRDefault="00B31E50">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896468" w:rsidRDefault="00B31E50">
            <w:pPr>
              <w:pStyle w:val="P68B1DB1-TableParagraph40"/>
              <w:spacing w:before="108"/>
              <w:ind w:left="85"/>
              <w:jc w:val="both"/>
              <w:rPr>
                <w:b/>
                <w:bCs/>
              </w:rPr>
            </w:pPr>
            <w:r>
              <w:t xml:space="preserve"> </w:t>
            </w:r>
            <w:r>
              <w:rPr>
                <w:b/>
              </w:rPr>
              <w:t>Oszlop</w:t>
            </w:r>
          </w:p>
          <w:p w14:paraId="7FE1D1F0" w14:textId="0CE24FE9" w:rsidR="00896468" w:rsidRDefault="00222732">
            <w:pPr>
              <w:pStyle w:val="P68B1DB1-TableParagraph40"/>
              <w:spacing w:before="108"/>
              <w:ind w:left="85"/>
              <w:jc w:val="both"/>
            </w:pPr>
            <w:r>
              <w:t>M</w:t>
            </w:r>
            <w:r w:rsidR="00B31E50">
              <w:t xml:space="preserve">inden kötelezettségre vonatkozóan meg kell adni </w:t>
            </w:r>
            <w:r w:rsidRPr="00222732">
              <w:t>a Z02.00 tábla azon partnerosztályát, amellyel szemben a kötelezettség fennáll, az értékek előre meghatározott listájából</w:t>
            </w:r>
            <w:r w:rsidR="00B31E50">
              <w:t>.</w:t>
            </w:r>
          </w:p>
        </w:tc>
      </w:tr>
      <w:tr w:rsidR="00896468"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896468" w:rsidRDefault="00B31E50">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61205C6F" w:rsidR="00896468" w:rsidRDefault="00B31E50">
            <w:pPr>
              <w:pStyle w:val="P68B1DB1-TableParagraph40"/>
              <w:spacing w:before="108"/>
              <w:ind w:left="85"/>
              <w:jc w:val="both"/>
              <w:rPr>
                <w:b/>
                <w:bCs/>
              </w:rPr>
            </w:pPr>
            <w:r>
              <w:t xml:space="preserve"> </w:t>
            </w:r>
            <w:r w:rsidR="00222732" w:rsidRPr="00222732">
              <w:rPr>
                <w:b/>
              </w:rPr>
              <w:t>Kielégítési sorrend</w:t>
            </w:r>
          </w:p>
          <w:p w14:paraId="7FE1D1F4" w14:textId="16989963" w:rsidR="00896468" w:rsidRDefault="00B31E50">
            <w:pPr>
              <w:pStyle w:val="P68B1DB1-TableParagraph40"/>
              <w:spacing w:before="108"/>
              <w:ind w:left="85"/>
              <w:jc w:val="both"/>
            </w:pPr>
            <w:r>
              <w:t>A kielégítési ranghely az adott joghatóság szanálási hatósága által közzétett kielégítési sorrendben elfoglalt valamely ranghely.</w:t>
            </w:r>
          </w:p>
        </w:tc>
      </w:tr>
      <w:tr w:rsidR="00896468"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896468" w:rsidRDefault="00B31E50">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896468" w:rsidRDefault="00B31E50">
            <w:pPr>
              <w:pStyle w:val="P68B1DB1-TableParagraph73"/>
              <w:spacing w:before="108"/>
              <w:ind w:left="85"/>
              <w:jc w:val="both"/>
              <w:rPr>
                <w:bCs/>
              </w:rPr>
            </w:pPr>
            <w:r>
              <w:t xml:space="preserve">Szerződésazonosító </w:t>
            </w:r>
          </w:p>
          <w:p w14:paraId="7FE1D1F8" w14:textId="77777777" w:rsidR="00896468" w:rsidRDefault="00B31E50">
            <w:pPr>
              <w:pStyle w:val="P68B1DB1-TableParagraph40"/>
              <w:spacing w:before="108"/>
              <w:ind w:left="85"/>
              <w:jc w:val="both"/>
            </w:pPr>
            <w:r>
              <w:t>A szerződés belső azonosítója, mint az értékpapírok ISIN-kódja.</w:t>
            </w:r>
          </w:p>
        </w:tc>
      </w:tr>
      <w:tr w:rsidR="00896468"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896468" w:rsidRDefault="00B31E50">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896468" w:rsidRDefault="00B31E50">
            <w:pPr>
              <w:pStyle w:val="P68B1DB1-TableParagraph73"/>
              <w:spacing w:before="108"/>
              <w:ind w:left="85"/>
              <w:jc w:val="both"/>
              <w:rPr>
                <w:bCs/>
              </w:rPr>
            </w:pPr>
            <w:r>
              <w:t xml:space="preserve"> Partner azonosító </w:t>
            </w:r>
          </w:p>
          <w:p w14:paraId="7FE1D1FC" w14:textId="3D6CB4CA" w:rsidR="00896468" w:rsidRDefault="00B31E50">
            <w:pPr>
              <w:pStyle w:val="P68B1DB1-TableParagraph40"/>
              <w:spacing w:before="108"/>
              <w:ind w:left="85"/>
              <w:jc w:val="both"/>
            </w:pPr>
            <w:r>
              <w:t>Adja meg a hitelező LEI-kódját. Jogalany-azonosító hiányában a banki adatszolgáltatás esetében a RIAD-ban használt EKB monetáris pénzügyi intézmények azonosítója (MPI-azonosító). Mindkét azonosító hiányában belső azonosítót kell megadni.</w:t>
            </w:r>
          </w:p>
        </w:tc>
      </w:tr>
      <w:tr w:rsidR="00896468"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896468" w:rsidRDefault="00B31E50">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896468" w:rsidRDefault="00B31E50">
            <w:pPr>
              <w:pStyle w:val="P68B1DB1-TableParagraph73"/>
              <w:spacing w:before="108"/>
              <w:ind w:left="85"/>
              <w:jc w:val="both"/>
              <w:rPr>
                <w:bCs/>
              </w:rPr>
            </w:pPr>
            <w:r>
              <w:t xml:space="preserve">Azonosítótípus </w:t>
            </w:r>
          </w:p>
          <w:p w14:paraId="7FE1D200" w14:textId="77777777" w:rsidR="00896468" w:rsidRDefault="00B31E50">
            <w:pPr>
              <w:pStyle w:val="P68B1DB1-TableParagraph40"/>
              <w:spacing w:before="108"/>
              <w:ind w:left="85"/>
              <w:jc w:val="both"/>
            </w:pPr>
            <w:r>
              <w:t>A következő listából választandó: „LEI-kód”, „MPI-kód” vagy „Az azonosító típusa, a LEI- vagy MPI-kód kivételével”.</w:t>
            </w:r>
          </w:p>
        </w:tc>
      </w:tr>
      <w:tr w:rsidR="00896468"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896468" w:rsidRDefault="00B31E50">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896468" w:rsidRDefault="00B31E50">
            <w:pPr>
              <w:pStyle w:val="P68B1DB1-TableParagraph40"/>
              <w:spacing w:before="108"/>
              <w:ind w:left="85"/>
              <w:jc w:val="both"/>
              <w:rPr>
                <w:b/>
                <w:bCs/>
              </w:rPr>
            </w:pPr>
            <w:r>
              <w:t xml:space="preserve"> </w:t>
            </w:r>
            <w:r>
              <w:rPr>
                <w:b/>
              </w:rPr>
              <w:t>Irányadó jog</w:t>
            </w:r>
          </w:p>
          <w:p w14:paraId="7FE1D204" w14:textId="3186F068" w:rsidR="00896468" w:rsidRDefault="00B31E50">
            <w:pPr>
              <w:pStyle w:val="P68B1DB1-TableParagraph40"/>
              <w:spacing w:before="108"/>
              <w:ind w:left="85"/>
              <w:jc w:val="both"/>
            </w:pPr>
            <w:r>
              <w:t xml:space="preserve">Annak az országnak a neve, amelynek joga a </w:t>
            </w:r>
            <w:r w:rsidR="00222732">
              <w:t xml:space="preserve">kötelezettséget </w:t>
            </w:r>
            <w:r>
              <w:t xml:space="preserve">szabályozza. Ha a szerződésre egynél több ország joga irányadó, azt az országot kell jelenteni, amelynek joga a leginkább releváns a leírási és átalakítási hatáskörök elismerése szempontjából.  </w:t>
            </w:r>
          </w:p>
        </w:tc>
      </w:tr>
      <w:tr w:rsidR="00896468"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896468" w:rsidRDefault="00B31E50">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896468" w:rsidRDefault="00B31E50">
            <w:pPr>
              <w:pStyle w:val="P68B1DB1-TableParagraph40"/>
              <w:spacing w:before="108"/>
              <w:ind w:left="85"/>
              <w:jc w:val="both"/>
              <w:rPr>
                <w:b/>
                <w:bCs/>
              </w:rPr>
            </w:pPr>
            <w:r>
              <w:t xml:space="preserve"> </w:t>
            </w:r>
            <w:r>
              <w:rPr>
                <w:b/>
              </w:rPr>
              <w:t>Nem pénzügyi kötelezettségek típusa</w:t>
            </w:r>
          </w:p>
          <w:p w14:paraId="7FE1D208" w14:textId="234E81AF" w:rsidR="00896468" w:rsidRDefault="00B31E50">
            <w:pPr>
              <w:pStyle w:val="P68B1DB1-TableParagraph40"/>
              <w:spacing w:before="108"/>
              <w:ind w:left="85"/>
              <w:jc w:val="both"/>
            </w:pPr>
            <w:r>
              <w:t>A következő listából választandó:</w:t>
            </w:r>
          </w:p>
          <w:p w14:paraId="7FE1D209" w14:textId="1B19E45B" w:rsidR="00896468" w:rsidRDefault="00B31E50">
            <w:pPr>
              <w:pStyle w:val="P68B1DB1-TableParagraph40"/>
              <w:numPr>
                <w:ilvl w:val="0"/>
                <w:numId w:val="269"/>
              </w:numPr>
              <w:spacing w:before="108"/>
              <w:jc w:val="both"/>
            </w:pPr>
            <w:r>
              <w:t>Általános banki kockázatok fedezetére képzett tartalékok</w:t>
            </w:r>
          </w:p>
          <w:p w14:paraId="7FE1D20A" w14:textId="20C196B5" w:rsidR="00896468" w:rsidRDefault="00B31E50">
            <w:pPr>
              <w:pStyle w:val="P68B1DB1-TableParagraph40"/>
              <w:numPr>
                <w:ilvl w:val="0"/>
                <w:numId w:val="269"/>
              </w:numPr>
              <w:spacing w:before="108"/>
              <w:jc w:val="both"/>
            </w:pPr>
            <w:r>
              <w:t>Nyugdíj és egyéb, munkaviszony megszűnése utáni juttatási kötelmek</w:t>
            </w:r>
          </w:p>
          <w:p w14:paraId="7FE1D20B" w14:textId="3DBF57D3" w:rsidR="00896468" w:rsidRDefault="00B31E50">
            <w:pPr>
              <w:pStyle w:val="P68B1DB1-TableParagraph40"/>
              <w:numPr>
                <w:ilvl w:val="0"/>
                <w:numId w:val="269"/>
              </w:numPr>
              <w:spacing w:before="108"/>
              <w:jc w:val="both"/>
            </w:pPr>
            <w:r>
              <w:t>Munkavállalói juttatások. Nyugdíjtól és egyéb, munkaviszony megszűnése utáni juttatási kötelmektől eltérő</w:t>
            </w:r>
          </w:p>
          <w:p w14:paraId="7FE1D20C" w14:textId="66AEA5AF" w:rsidR="00896468" w:rsidRDefault="00B31E50">
            <w:pPr>
              <w:pStyle w:val="P68B1DB1-TableParagraph40"/>
              <w:numPr>
                <w:ilvl w:val="0"/>
                <w:numId w:val="269"/>
              </w:numPr>
              <w:spacing w:before="108"/>
              <w:jc w:val="both"/>
            </w:pPr>
            <w:r>
              <w:t>Szerkezetátalakítás</w:t>
            </w:r>
          </w:p>
          <w:p w14:paraId="7FE1D20D" w14:textId="70990AB9" w:rsidR="00896468" w:rsidRDefault="00B31E50">
            <w:pPr>
              <w:pStyle w:val="P68B1DB1-TableParagraph40"/>
              <w:numPr>
                <w:ilvl w:val="0"/>
                <w:numId w:val="269"/>
              </w:numPr>
              <w:spacing w:before="108"/>
              <w:jc w:val="both"/>
            </w:pPr>
            <w:r>
              <w:t xml:space="preserve">Függő jogi ügyek és adóügyi </w:t>
            </w:r>
            <w:r w:rsidR="00222732">
              <w:t>jogviták</w:t>
            </w:r>
          </w:p>
          <w:p w14:paraId="7FE1D20E" w14:textId="6A9A65DF" w:rsidR="00896468" w:rsidRDefault="00B31E50">
            <w:pPr>
              <w:pStyle w:val="P68B1DB1-TableParagraph40"/>
              <w:numPr>
                <w:ilvl w:val="0"/>
                <w:numId w:val="269"/>
              </w:numPr>
              <w:spacing w:before="108"/>
              <w:jc w:val="both"/>
            </w:pPr>
            <w:r>
              <w:t>Hitelkockázattal érintett, mérlegen kívüli kitettségek</w:t>
            </w:r>
          </w:p>
          <w:p w14:paraId="7FE1D20F" w14:textId="09A8E649" w:rsidR="00896468" w:rsidRDefault="00B31E50">
            <w:pPr>
              <w:pStyle w:val="P68B1DB1-TableParagraph40"/>
              <w:numPr>
                <w:ilvl w:val="0"/>
                <w:numId w:val="269"/>
              </w:numPr>
              <w:spacing w:before="108"/>
              <w:jc w:val="both"/>
            </w:pPr>
            <w:r>
              <w:t xml:space="preserve">Munkavállalói juttatásoktól, szerkezetátalakítástól, függőben levő jogi </w:t>
            </w:r>
            <w:r w:rsidR="00222732">
              <w:t xml:space="preserve">ügyektől </w:t>
            </w:r>
            <w:r>
              <w:t>és adóügyi jogvitáktól, hitelkockázat</w:t>
            </w:r>
            <w:r w:rsidR="00222732">
              <w:t>tal</w:t>
            </w:r>
            <w:r>
              <w:t xml:space="preserve"> </w:t>
            </w:r>
            <w:r w:rsidR="00222732">
              <w:t xml:space="preserve">érintett </w:t>
            </w:r>
            <w:r>
              <w:t xml:space="preserve">mérlegen kívüli </w:t>
            </w:r>
            <w:r w:rsidR="00222732">
              <w:t xml:space="preserve">kitettségektől </w:t>
            </w:r>
            <w:r>
              <w:t>eltérő</w:t>
            </w:r>
          </w:p>
          <w:p w14:paraId="7FE1D210" w14:textId="00431AB4" w:rsidR="00896468" w:rsidRDefault="00B31E50">
            <w:pPr>
              <w:pStyle w:val="P68B1DB1-TableParagraph40"/>
              <w:numPr>
                <w:ilvl w:val="0"/>
                <w:numId w:val="269"/>
              </w:numPr>
              <w:spacing w:before="108"/>
              <w:jc w:val="both"/>
            </w:pPr>
            <w:r>
              <w:t>Adókötelezettségek</w:t>
            </w:r>
          </w:p>
          <w:p w14:paraId="7FE1D211" w14:textId="29640DA2" w:rsidR="00896468" w:rsidRDefault="00B31E50">
            <w:pPr>
              <w:pStyle w:val="P68B1DB1-TableParagraph40"/>
              <w:numPr>
                <w:ilvl w:val="0"/>
                <w:numId w:val="269"/>
              </w:numPr>
              <w:spacing w:before="108"/>
              <w:jc w:val="both"/>
            </w:pPr>
            <w:r>
              <w:t>Halasztott bevételek</w:t>
            </w:r>
          </w:p>
          <w:p w14:paraId="7FE1D212" w14:textId="7E6BDA10" w:rsidR="00896468" w:rsidRDefault="00B31E50">
            <w:pPr>
              <w:pStyle w:val="P68B1DB1-TableParagraph40"/>
              <w:numPr>
                <w:ilvl w:val="0"/>
                <w:numId w:val="269"/>
              </w:numPr>
              <w:spacing w:before="108"/>
              <w:jc w:val="both"/>
            </w:pPr>
            <w:r>
              <w:t>Pénzügyi kötelezettségektől, céltartalékoktól, adókötelezettségektől, halasztott bevételektől eltérő kötelezettségek</w:t>
            </w:r>
          </w:p>
        </w:tc>
      </w:tr>
      <w:tr w:rsidR="00896468"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896468" w:rsidRDefault="00B31E50">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2F9744CE" w:rsidR="00896468" w:rsidRDefault="00B31E50">
            <w:pPr>
              <w:pStyle w:val="P68B1DB1-TableParagraph40"/>
              <w:spacing w:before="108"/>
              <w:ind w:left="85"/>
              <w:jc w:val="both"/>
              <w:rPr>
                <w:b/>
                <w:bCs/>
              </w:rPr>
            </w:pPr>
            <w:r>
              <w:t xml:space="preserve"> </w:t>
            </w:r>
            <w:r w:rsidR="00222732">
              <w:rPr>
                <w:b/>
              </w:rPr>
              <w:t xml:space="preserve">Kintlévő </w:t>
            </w:r>
            <w:r>
              <w:rPr>
                <w:b/>
              </w:rPr>
              <w:t>összeg</w:t>
            </w:r>
          </w:p>
          <w:p w14:paraId="7FE1D216" w14:textId="41D11E8B" w:rsidR="00896468" w:rsidRDefault="00B31E50">
            <w:pPr>
              <w:pStyle w:val="P68B1DB1-TableParagraph40"/>
              <w:spacing w:before="108"/>
              <w:ind w:left="85"/>
              <w:jc w:val="both"/>
            </w:pPr>
            <w:r>
              <w:t>A kötelezettség fennálló összege.</w:t>
            </w:r>
          </w:p>
        </w:tc>
      </w:tr>
      <w:tr w:rsidR="00896468"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896468" w:rsidRDefault="00B31E50">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896468" w:rsidRDefault="00B31E50">
            <w:pPr>
              <w:pStyle w:val="P68B1DB1-TableParagraph73"/>
              <w:spacing w:before="108"/>
              <w:ind w:left="85"/>
              <w:jc w:val="both"/>
              <w:rPr>
                <w:bCs/>
              </w:rPr>
            </w:pPr>
            <w:r>
              <w:t xml:space="preserve">Pénznem  </w:t>
            </w:r>
          </w:p>
          <w:p w14:paraId="7FE1D21A" w14:textId="0E8D9FF4" w:rsidR="00896468" w:rsidRDefault="00B31E50">
            <w:pPr>
              <w:pStyle w:val="P68B1DB1-TableParagraph40"/>
              <w:spacing w:before="108"/>
              <w:ind w:left="85"/>
              <w:jc w:val="both"/>
            </w:pPr>
            <w:r>
              <w:t>A kötelezettség pénzneme a hárombetűs ISO 4217 kódnak megfelelően kerül kibocsátásra.</w:t>
            </w:r>
          </w:p>
        </w:tc>
      </w:tr>
      <w:tr w:rsidR="00896468"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896468" w:rsidRDefault="00B31E50">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896468" w:rsidRDefault="00B31E50">
            <w:pPr>
              <w:pStyle w:val="P68B1DB1-TableParagraph73"/>
              <w:spacing w:before="108"/>
              <w:ind w:left="85"/>
              <w:jc w:val="both"/>
              <w:rPr>
                <w:bCs/>
              </w:rPr>
            </w:pPr>
            <w:r>
              <w:t xml:space="preserve"> Elismerés időpontja </w:t>
            </w:r>
          </w:p>
          <w:p w14:paraId="7FE1D21E" w14:textId="6A3E04DE" w:rsidR="00896468" w:rsidRDefault="00B31E50">
            <w:pPr>
              <w:pStyle w:val="P68B1DB1-TableParagraph40"/>
              <w:spacing w:before="108"/>
              <w:ind w:left="85"/>
              <w:jc w:val="both"/>
            </w:pPr>
            <w:r>
              <w:lastRenderedPageBreak/>
              <w:t>Az az időpont, amikor a kötelezettséget az alkalmazandó számviteli standardoknak megfelelően a pénzügyi számlákon megjelenítették.</w:t>
            </w:r>
          </w:p>
        </w:tc>
      </w:tr>
      <w:tr w:rsidR="00896468"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896468" w:rsidRDefault="00B31E50">
            <w:pPr>
              <w:pStyle w:val="P68B1DB1-Normal31"/>
            </w:pPr>
            <w:r>
              <w:lastRenderedPageBreak/>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896468" w:rsidRDefault="00B31E50">
            <w:pPr>
              <w:pStyle w:val="P68B1DB1-TableParagraph73"/>
              <w:spacing w:before="108"/>
              <w:ind w:left="85"/>
              <w:jc w:val="both"/>
              <w:rPr>
                <w:bCs/>
              </w:rPr>
            </w:pPr>
            <w:r>
              <w:t xml:space="preserve">Lejárat dátuma </w:t>
            </w:r>
          </w:p>
          <w:p w14:paraId="7FE1D222" w14:textId="41BB691A" w:rsidR="00896468" w:rsidRDefault="00B31E50">
            <w:pPr>
              <w:pStyle w:val="P68B1DB1-TableParagraph40"/>
              <w:spacing w:before="108"/>
              <w:ind w:left="85"/>
              <w:jc w:val="both"/>
            </w:pPr>
            <w:r>
              <w:t>A kötelezettség jogi, végső lejáratának időpontja. A lejárat nélküli kötelezettségek esetében a „2099–01–31” kódot kell használni.</w:t>
            </w:r>
          </w:p>
        </w:tc>
      </w:tr>
      <w:tr w:rsidR="00896468"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896468" w:rsidRDefault="00B31E50">
            <w:pPr>
              <w:pStyle w:val="P68B1DB1-Normal31"/>
            </w:pPr>
            <w:r>
              <w:t>0130</w:t>
            </w:r>
          </w:p>
        </w:tc>
        <w:tc>
          <w:tcPr>
            <w:tcW w:w="7832" w:type="dxa"/>
            <w:tcBorders>
              <w:top w:val="single" w:sz="8" w:space="0" w:color="1A171C"/>
              <w:left w:val="single" w:sz="8" w:space="0" w:color="1A171C"/>
              <w:right w:val="nil"/>
            </w:tcBorders>
            <w:vAlign w:val="bottom"/>
          </w:tcPr>
          <w:p w14:paraId="7FE1D225" w14:textId="77C6F04B" w:rsidR="00896468" w:rsidRDefault="00B31E50">
            <w:pPr>
              <w:pStyle w:val="P68B1DB1-TableParagraph40"/>
              <w:spacing w:before="108"/>
              <w:ind w:left="85"/>
              <w:jc w:val="both"/>
              <w:rPr>
                <w:b/>
                <w:bCs/>
              </w:rPr>
            </w:pPr>
            <w:r>
              <w:t xml:space="preserve"> </w:t>
            </w:r>
            <w:r>
              <w:rPr>
                <w:b/>
              </w:rPr>
              <w:t>Szavatoló</w:t>
            </w:r>
            <w:r w:rsidR="00082480">
              <w:rPr>
                <w:b/>
              </w:rPr>
              <w:t xml:space="preserve"> </w:t>
            </w:r>
            <w:r>
              <w:rPr>
                <w:b/>
              </w:rPr>
              <w:t>tőkének való minősítés</w:t>
            </w:r>
          </w:p>
          <w:p w14:paraId="7FE1D226" w14:textId="4830107A" w:rsidR="00896468" w:rsidRDefault="00B31E50">
            <w:pPr>
              <w:pStyle w:val="P68B1DB1-TableParagraph40"/>
              <w:spacing w:before="108"/>
              <w:ind w:left="85"/>
              <w:jc w:val="both"/>
            </w:pPr>
            <w:r>
              <w:t>Tüntesse fel, hogy az instrumentum szerepel-e a szavatoló</w:t>
            </w:r>
            <w:r w:rsidR="00082480">
              <w:t xml:space="preserve"> </w:t>
            </w:r>
            <w:r>
              <w:t>tőkében, és ha igen, milyen szinten, a kivezetési rendszerre és a szerzett jogokra vonatkozó megállapodásokra vonatkozó információk mellett. Egy előre meghatározott listából az érték lehet „Nem”, „</w:t>
            </w:r>
            <w:r w:rsidR="00222732">
              <w:t>R</w:t>
            </w:r>
            <w:r>
              <w:t>észben AT1, T1 és T2”, „T2 kivezetés alatt”, „Grandfathered T2”, „</w:t>
            </w:r>
            <w:r w:rsidR="00222732">
              <w:t xml:space="preserve">Teljes mértékben megfelelő </w:t>
            </w:r>
            <w:r>
              <w:t xml:space="preserve">T2”, „Grandfathered AT1”, „Teljes mértékben megfelelő AT1” vagy „CET1”. </w:t>
            </w:r>
          </w:p>
          <w:p w14:paraId="7FE1D227" w14:textId="2BA21B99" w:rsidR="00896468" w:rsidRDefault="00B31E50">
            <w:pPr>
              <w:pStyle w:val="P68B1DB1-TableParagraph40"/>
              <w:spacing w:before="108"/>
              <w:ind w:left="85"/>
              <w:jc w:val="both"/>
            </w:pPr>
            <w:r>
              <w:t xml:space="preserve"> Az opciók felsorolásában a „fokozatos kivezetés” kifejezés az adott T2 instrumentum lejáratát megelőző 5 éves időszakra vonatkozik, amelynek során csak arányos </w:t>
            </w:r>
            <w:r w:rsidR="00222732">
              <w:t>elismerés történik a lejáratig hátralévő idő alapján</w:t>
            </w:r>
            <w:r>
              <w:t>. „Szerzett jogok”: bármely, a T2 eszközre alkalmazandó átmeneti intézkedés, amely nem foglalja magában a „fokozatos kivezetést”. E „szerzett jogok” során az elismerés lehet teljes vagy részleges.</w:t>
            </w:r>
          </w:p>
        </w:tc>
      </w:tr>
      <w:tr w:rsidR="00896468" w14:paraId="7FE1D22C" w14:textId="77777777">
        <w:tc>
          <w:tcPr>
            <w:tcW w:w="1183" w:type="dxa"/>
            <w:tcBorders>
              <w:top w:val="nil"/>
              <w:left w:val="nil"/>
              <w:bottom w:val="single" w:sz="8" w:space="0" w:color="1A171C"/>
              <w:right w:val="single" w:sz="8" w:space="0" w:color="1A171C"/>
            </w:tcBorders>
            <w:vAlign w:val="center"/>
          </w:tcPr>
          <w:p w14:paraId="7FE1D229" w14:textId="77777777" w:rsidR="00896468" w:rsidRDefault="00B31E50">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040101B0" w:rsidR="00896468" w:rsidRDefault="00B31E50">
            <w:pPr>
              <w:pStyle w:val="P68B1DB1-TableParagraph40"/>
              <w:spacing w:before="108"/>
              <w:ind w:left="85"/>
              <w:jc w:val="both"/>
              <w:rPr>
                <w:b/>
                <w:bCs/>
              </w:rPr>
            </w:pPr>
            <w:r>
              <w:t xml:space="preserve"> </w:t>
            </w:r>
            <w:r>
              <w:rPr>
                <w:b/>
              </w:rPr>
              <w:t>Szavatoló</w:t>
            </w:r>
            <w:r w:rsidR="00082480">
              <w:rPr>
                <w:b/>
              </w:rPr>
              <w:t xml:space="preserve"> </w:t>
            </w:r>
            <w:r>
              <w:rPr>
                <w:b/>
              </w:rPr>
              <w:t>tőkeként elismerhető összeg</w:t>
            </w:r>
          </w:p>
          <w:p w14:paraId="7FE1D22B" w14:textId="35AA6600" w:rsidR="00896468" w:rsidRDefault="00B31E50">
            <w:pPr>
              <w:pStyle w:val="P68B1DB1-TableParagraph40"/>
              <w:spacing w:before="108"/>
              <w:ind w:left="85"/>
              <w:jc w:val="both"/>
            </w:pPr>
            <w:r>
              <w:t>A szavatoló</w:t>
            </w:r>
            <w:r w:rsidR="00082480">
              <w:t xml:space="preserve"> </w:t>
            </w:r>
            <w:r>
              <w:t>tőkének minősülő instrumentum összege.</w:t>
            </w:r>
          </w:p>
        </w:tc>
      </w:tr>
    </w:tbl>
    <w:p w14:paraId="7FE1D22D" w14:textId="01F1CEAB" w:rsidR="00896468" w:rsidRDefault="00896468">
      <w:pPr>
        <w:pStyle w:val="body"/>
        <w:rPr>
          <w:rFonts w:ascii="Times New Roman" w:hAnsi="Times New Roman" w:cs="Times New Roman"/>
          <w:sz w:val="20"/>
          <w:szCs w:val="20"/>
        </w:rPr>
      </w:pPr>
    </w:p>
    <w:p w14:paraId="349218F7" w14:textId="77777777" w:rsidR="00896468" w:rsidRDefault="00B31E50">
      <w:pPr>
        <w:pStyle w:val="P68B1DB1-Normal19"/>
        <w:spacing w:after="200" w:line="276" w:lineRule="auto"/>
      </w:pPr>
      <w:r>
        <w:br w:type="page"/>
      </w:r>
    </w:p>
    <w:p w14:paraId="42DED9B4" w14:textId="77777777" w:rsidR="00896468" w:rsidRDefault="00896468">
      <w:pPr>
        <w:pStyle w:val="Instructionsberschrift2"/>
        <w:ind w:left="357"/>
        <w:rPr>
          <w:rFonts w:ascii="Times New Roman" w:eastAsia="Calibri" w:hAnsi="Times New Roman" w:cs="Times New Roman"/>
          <w:szCs w:val="20"/>
        </w:rPr>
      </w:pPr>
    </w:p>
    <w:p w14:paraId="4BD624F8" w14:textId="77777777" w:rsidR="00896468" w:rsidRDefault="00896468">
      <w:pPr>
        <w:spacing w:after="200" w:line="276" w:lineRule="auto"/>
        <w:rPr>
          <w:rFonts w:ascii="Times New Roman" w:hAnsi="Times New Roman" w:cs="Times New Roman"/>
          <w:sz w:val="20"/>
          <w:szCs w:val="20"/>
        </w:rPr>
      </w:pPr>
    </w:p>
    <w:p w14:paraId="715529B0" w14:textId="64A141F4" w:rsidR="00896468" w:rsidRDefault="00B31E50">
      <w:pPr>
        <w:pStyle w:val="P68B1DB1-Instructionsberschrift284"/>
        <w:numPr>
          <w:ilvl w:val="1"/>
          <w:numId w:val="49"/>
        </w:numPr>
        <w:spacing w:before="0"/>
        <w:ind w:left="357" w:hanging="357"/>
      </w:pPr>
      <w:bookmarkStart w:id="260" w:name="_Toc192248856"/>
      <w:bookmarkStart w:id="261" w:name="_Toc210982905"/>
      <w:r>
        <w:t>I. melléklet – A Z 09.01–c0050 esetében használandó FMI-k jegyzéke</w:t>
      </w:r>
      <w:bookmarkEnd w:id="260"/>
      <w:bookmarkEnd w:id="261"/>
    </w:p>
    <w:p w14:paraId="31681B73" w14:textId="51FEAE08" w:rsidR="00896468" w:rsidRDefault="00896468">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896468"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896468" w:rsidRDefault="00B31E50">
            <w:pPr>
              <w:pStyle w:val="P68B1DB1-Normal90"/>
            </w:pPr>
            <w:r>
              <w:t>Bejegyzés az FMI-k legördülő listájába</w:t>
            </w:r>
          </w:p>
        </w:tc>
      </w:tr>
      <w:tr w:rsidR="00D230D1" w14:paraId="09736821" w14:textId="77777777">
        <w:trPr>
          <w:trHeight w:val="300"/>
        </w:trPr>
        <w:tc>
          <w:tcPr>
            <w:tcW w:w="9072" w:type="dxa"/>
            <w:tcBorders>
              <w:top w:val="nil"/>
              <w:left w:val="nil"/>
              <w:bottom w:val="nil"/>
              <w:right w:val="nil"/>
            </w:tcBorders>
            <w:noWrap/>
            <w:vAlign w:val="bottom"/>
            <w:hideMark/>
          </w:tcPr>
          <w:p w14:paraId="65FBD6FC" w14:textId="050980FF" w:rsidR="00D230D1" w:rsidRDefault="00D230D1" w:rsidP="00D230D1">
            <w:pPr>
              <w:pStyle w:val="P68B1DB1-Normal91"/>
            </w:pPr>
            <w:bookmarkStart w:id="262" w:name="RANGE!A3:A168"/>
            <w:r w:rsidRPr="00F22F68">
              <w:t>Athens Clearing Office (ACO)</w:t>
            </w:r>
            <w:bookmarkEnd w:id="262"/>
          </w:p>
        </w:tc>
      </w:tr>
      <w:tr w:rsidR="00D230D1" w14:paraId="447EB604" w14:textId="77777777">
        <w:trPr>
          <w:trHeight w:val="300"/>
        </w:trPr>
        <w:tc>
          <w:tcPr>
            <w:tcW w:w="9072" w:type="dxa"/>
            <w:tcBorders>
              <w:top w:val="nil"/>
              <w:left w:val="nil"/>
              <w:bottom w:val="nil"/>
              <w:right w:val="nil"/>
            </w:tcBorders>
            <w:noWrap/>
            <w:vAlign w:val="bottom"/>
            <w:hideMark/>
          </w:tcPr>
          <w:p w14:paraId="2B6E60A7" w14:textId="6EAEB6B2" w:rsidR="00D230D1" w:rsidRDefault="00D230D1" w:rsidP="00D230D1">
            <w:pPr>
              <w:pStyle w:val="P68B1DB1-Normal91"/>
            </w:pPr>
            <w:r w:rsidRPr="00F22F68">
              <w:t>ATHEX (Athens Stock Exchange)</w:t>
            </w:r>
          </w:p>
        </w:tc>
      </w:tr>
      <w:tr w:rsidR="00D230D1" w14:paraId="0DF5C441" w14:textId="77777777">
        <w:trPr>
          <w:trHeight w:val="300"/>
        </w:trPr>
        <w:tc>
          <w:tcPr>
            <w:tcW w:w="9072" w:type="dxa"/>
            <w:tcBorders>
              <w:top w:val="nil"/>
              <w:left w:val="nil"/>
              <w:bottom w:val="nil"/>
              <w:right w:val="nil"/>
            </w:tcBorders>
            <w:noWrap/>
            <w:vAlign w:val="bottom"/>
            <w:hideMark/>
          </w:tcPr>
          <w:p w14:paraId="4C199F01" w14:textId="3FA3BC2E" w:rsidR="00D230D1" w:rsidRDefault="00D230D1" w:rsidP="00D230D1">
            <w:pPr>
              <w:pStyle w:val="P68B1DB1-Normal91"/>
            </w:pPr>
            <w:r w:rsidRPr="00F22F68">
              <w:t>ATHEX CSD</w:t>
            </w:r>
          </w:p>
        </w:tc>
      </w:tr>
      <w:tr w:rsidR="00D230D1" w14:paraId="6C8DFF2B" w14:textId="77777777">
        <w:trPr>
          <w:trHeight w:val="300"/>
        </w:trPr>
        <w:tc>
          <w:tcPr>
            <w:tcW w:w="9072" w:type="dxa"/>
            <w:tcBorders>
              <w:top w:val="nil"/>
              <w:left w:val="nil"/>
              <w:bottom w:val="nil"/>
              <w:right w:val="nil"/>
            </w:tcBorders>
            <w:noWrap/>
            <w:vAlign w:val="bottom"/>
            <w:hideMark/>
          </w:tcPr>
          <w:p w14:paraId="2876B1C1" w14:textId="077711BF" w:rsidR="00D230D1" w:rsidRDefault="00D230D1" w:rsidP="00D230D1">
            <w:pPr>
              <w:pStyle w:val="P68B1DB1-Normal91"/>
            </w:pPr>
            <w:r w:rsidRPr="00F22F68">
              <w:t>ATHEXClear SA</w:t>
            </w:r>
          </w:p>
        </w:tc>
      </w:tr>
      <w:tr w:rsidR="00D230D1" w14:paraId="24CE5F78" w14:textId="77777777">
        <w:trPr>
          <w:trHeight w:val="300"/>
        </w:trPr>
        <w:tc>
          <w:tcPr>
            <w:tcW w:w="9072" w:type="dxa"/>
            <w:tcBorders>
              <w:top w:val="nil"/>
              <w:left w:val="nil"/>
              <w:bottom w:val="nil"/>
              <w:right w:val="nil"/>
            </w:tcBorders>
            <w:noWrap/>
            <w:vAlign w:val="bottom"/>
            <w:hideMark/>
          </w:tcPr>
          <w:p w14:paraId="1E830E75" w14:textId="7DF0887A" w:rsidR="00D230D1" w:rsidRDefault="00D230D1" w:rsidP="00D230D1">
            <w:pPr>
              <w:pStyle w:val="P68B1DB1-Normal91"/>
            </w:pPr>
            <w:r w:rsidRPr="00F22F68">
              <w:t>The Clearing House ACH</w:t>
            </w:r>
          </w:p>
        </w:tc>
      </w:tr>
      <w:tr w:rsidR="00D230D1" w14:paraId="2920AE45" w14:textId="77777777">
        <w:trPr>
          <w:trHeight w:val="300"/>
        </w:trPr>
        <w:tc>
          <w:tcPr>
            <w:tcW w:w="9072" w:type="dxa"/>
            <w:tcBorders>
              <w:top w:val="nil"/>
              <w:left w:val="nil"/>
              <w:bottom w:val="nil"/>
              <w:right w:val="nil"/>
            </w:tcBorders>
            <w:noWrap/>
            <w:vAlign w:val="bottom"/>
            <w:hideMark/>
          </w:tcPr>
          <w:p w14:paraId="1C314494" w14:textId="0FB0A416" w:rsidR="00D230D1" w:rsidRDefault="00D230D1" w:rsidP="00D230D1">
            <w:pPr>
              <w:pStyle w:val="P68B1DB1-Normal91"/>
            </w:pPr>
            <w:r w:rsidRPr="00F22F68">
              <w:t>Automated Clearing Settlement System (ACSS)</w:t>
            </w:r>
          </w:p>
        </w:tc>
      </w:tr>
      <w:tr w:rsidR="00D230D1" w14:paraId="1DB8A80A" w14:textId="77777777">
        <w:trPr>
          <w:trHeight w:val="300"/>
        </w:trPr>
        <w:tc>
          <w:tcPr>
            <w:tcW w:w="9072" w:type="dxa"/>
            <w:tcBorders>
              <w:top w:val="nil"/>
              <w:left w:val="nil"/>
              <w:bottom w:val="nil"/>
              <w:right w:val="nil"/>
            </w:tcBorders>
            <w:noWrap/>
            <w:vAlign w:val="bottom"/>
            <w:hideMark/>
          </w:tcPr>
          <w:p w14:paraId="65CA5200" w14:textId="0693ABE6" w:rsidR="00D230D1" w:rsidRDefault="00D230D1" w:rsidP="00D230D1">
            <w:pPr>
              <w:pStyle w:val="P68B1DB1-Normal91"/>
            </w:pPr>
            <w:r w:rsidRPr="00F22F68">
              <w:t>BACS (Bankers' Automated Clearing Services)</w:t>
            </w:r>
          </w:p>
        </w:tc>
      </w:tr>
      <w:tr w:rsidR="00D230D1" w14:paraId="0C931590" w14:textId="77777777">
        <w:trPr>
          <w:trHeight w:val="300"/>
        </w:trPr>
        <w:tc>
          <w:tcPr>
            <w:tcW w:w="9072" w:type="dxa"/>
            <w:tcBorders>
              <w:top w:val="nil"/>
              <w:left w:val="nil"/>
              <w:bottom w:val="nil"/>
              <w:right w:val="nil"/>
            </w:tcBorders>
            <w:noWrap/>
            <w:vAlign w:val="bottom"/>
            <w:hideMark/>
          </w:tcPr>
          <w:p w14:paraId="50133989" w14:textId="6A364A1A" w:rsidR="00D230D1" w:rsidRDefault="00D230D1" w:rsidP="00D230D1">
            <w:pPr>
              <w:pStyle w:val="P68B1DB1-Normal91"/>
            </w:pPr>
            <w:r w:rsidRPr="00F22F68">
              <w:t>Bankgirot (Bankgirocentralen BGC AB)</w:t>
            </w:r>
          </w:p>
        </w:tc>
      </w:tr>
      <w:tr w:rsidR="00D230D1" w14:paraId="2F8CAEE4" w14:textId="77777777">
        <w:trPr>
          <w:trHeight w:val="300"/>
        </w:trPr>
        <w:tc>
          <w:tcPr>
            <w:tcW w:w="9072" w:type="dxa"/>
            <w:tcBorders>
              <w:top w:val="nil"/>
              <w:left w:val="nil"/>
              <w:bottom w:val="nil"/>
              <w:right w:val="nil"/>
            </w:tcBorders>
            <w:noWrap/>
            <w:vAlign w:val="bottom"/>
            <w:hideMark/>
          </w:tcPr>
          <w:p w14:paraId="01AEF229" w14:textId="3FC5C673" w:rsidR="00D230D1" w:rsidRDefault="00D230D1" w:rsidP="00D230D1">
            <w:pPr>
              <w:pStyle w:val="P68B1DB1-Normal91"/>
            </w:pPr>
            <w:r w:rsidRPr="00F22F68">
              <w:t>BI-COMP</w:t>
            </w:r>
          </w:p>
        </w:tc>
      </w:tr>
      <w:tr w:rsidR="00D230D1" w14:paraId="7736D7E4" w14:textId="77777777">
        <w:trPr>
          <w:trHeight w:val="300"/>
        </w:trPr>
        <w:tc>
          <w:tcPr>
            <w:tcW w:w="9072" w:type="dxa"/>
            <w:tcBorders>
              <w:top w:val="nil"/>
              <w:left w:val="nil"/>
              <w:bottom w:val="nil"/>
              <w:right w:val="nil"/>
            </w:tcBorders>
            <w:noWrap/>
            <w:vAlign w:val="bottom"/>
            <w:hideMark/>
          </w:tcPr>
          <w:p w14:paraId="431E29D0" w14:textId="215AFF0C" w:rsidR="00D230D1" w:rsidRDefault="00D230D1" w:rsidP="00D230D1">
            <w:pPr>
              <w:pStyle w:val="P68B1DB1-Normal91"/>
            </w:pPr>
            <w:r w:rsidRPr="00F22F68">
              <w:t>BISERA (Bank Integrated System for Electronic Payments)</w:t>
            </w:r>
          </w:p>
        </w:tc>
      </w:tr>
      <w:tr w:rsidR="00D230D1" w14:paraId="7AE977D3" w14:textId="77777777">
        <w:trPr>
          <w:trHeight w:val="300"/>
        </w:trPr>
        <w:tc>
          <w:tcPr>
            <w:tcW w:w="9072" w:type="dxa"/>
            <w:tcBorders>
              <w:top w:val="nil"/>
              <w:left w:val="nil"/>
              <w:bottom w:val="nil"/>
              <w:right w:val="nil"/>
            </w:tcBorders>
            <w:noWrap/>
            <w:vAlign w:val="bottom"/>
            <w:hideMark/>
          </w:tcPr>
          <w:p w14:paraId="0E054309" w14:textId="3AF73DF6" w:rsidR="00D230D1" w:rsidRDefault="00D230D1" w:rsidP="00D230D1">
            <w:pPr>
              <w:pStyle w:val="P68B1DB1-Normal91"/>
            </w:pPr>
            <w:r w:rsidRPr="00F22F68">
              <w:t>Bloomberg Trade Repository Limited</w:t>
            </w:r>
          </w:p>
        </w:tc>
      </w:tr>
      <w:tr w:rsidR="00D230D1" w14:paraId="3DEFBBB0" w14:textId="77777777">
        <w:trPr>
          <w:trHeight w:val="300"/>
        </w:trPr>
        <w:tc>
          <w:tcPr>
            <w:tcW w:w="9072" w:type="dxa"/>
            <w:tcBorders>
              <w:top w:val="nil"/>
              <w:left w:val="nil"/>
              <w:bottom w:val="nil"/>
              <w:right w:val="nil"/>
            </w:tcBorders>
            <w:noWrap/>
            <w:vAlign w:val="bottom"/>
            <w:hideMark/>
          </w:tcPr>
          <w:p w14:paraId="69A6C566" w14:textId="3A10CE99" w:rsidR="00D230D1" w:rsidRDefault="00D230D1" w:rsidP="00D230D1">
            <w:pPr>
              <w:pStyle w:val="P68B1DB1-Normal91"/>
            </w:pPr>
            <w:r w:rsidRPr="00F22F68">
              <w:t>BME</w:t>
            </w:r>
          </w:p>
        </w:tc>
      </w:tr>
      <w:tr w:rsidR="00D230D1" w14:paraId="6C4EE14D" w14:textId="77777777">
        <w:trPr>
          <w:trHeight w:val="300"/>
        </w:trPr>
        <w:tc>
          <w:tcPr>
            <w:tcW w:w="9072" w:type="dxa"/>
            <w:tcBorders>
              <w:top w:val="nil"/>
              <w:left w:val="nil"/>
              <w:bottom w:val="nil"/>
              <w:right w:val="nil"/>
            </w:tcBorders>
            <w:noWrap/>
            <w:vAlign w:val="bottom"/>
            <w:hideMark/>
          </w:tcPr>
          <w:p w14:paraId="31001C6A" w14:textId="31D2A152" w:rsidR="00D230D1" w:rsidRDefault="00D230D1" w:rsidP="00D230D1">
            <w:pPr>
              <w:pStyle w:val="P68B1DB1-Normal91"/>
            </w:pPr>
            <w:r w:rsidRPr="00F22F68">
              <w:t>BME Clearing</w:t>
            </w:r>
          </w:p>
        </w:tc>
      </w:tr>
      <w:tr w:rsidR="00D230D1" w14:paraId="3ADECE08" w14:textId="77777777">
        <w:trPr>
          <w:trHeight w:val="300"/>
        </w:trPr>
        <w:tc>
          <w:tcPr>
            <w:tcW w:w="9072" w:type="dxa"/>
            <w:tcBorders>
              <w:top w:val="nil"/>
              <w:left w:val="nil"/>
              <w:bottom w:val="nil"/>
              <w:right w:val="nil"/>
            </w:tcBorders>
            <w:noWrap/>
            <w:vAlign w:val="bottom"/>
            <w:hideMark/>
          </w:tcPr>
          <w:p w14:paraId="29263C2A" w14:textId="7883832E" w:rsidR="00D230D1" w:rsidRDefault="00D230D1" w:rsidP="00D230D1">
            <w:pPr>
              <w:pStyle w:val="P68B1DB1-Normal91"/>
            </w:pPr>
            <w:r w:rsidRPr="00F22F68">
              <w:t>BOGS (Bank of Greece Securities Settlement System)</w:t>
            </w:r>
          </w:p>
        </w:tc>
      </w:tr>
      <w:tr w:rsidR="00D230D1" w14:paraId="6CCCB9AC" w14:textId="77777777">
        <w:trPr>
          <w:trHeight w:val="300"/>
        </w:trPr>
        <w:tc>
          <w:tcPr>
            <w:tcW w:w="9072" w:type="dxa"/>
            <w:tcBorders>
              <w:top w:val="nil"/>
              <w:left w:val="nil"/>
              <w:bottom w:val="nil"/>
              <w:right w:val="nil"/>
            </w:tcBorders>
            <w:noWrap/>
            <w:vAlign w:val="bottom"/>
            <w:hideMark/>
          </w:tcPr>
          <w:p w14:paraId="1092DA48" w14:textId="684C64FC" w:rsidR="00D230D1" w:rsidRDefault="00D230D1" w:rsidP="00D230D1">
            <w:pPr>
              <w:pStyle w:val="P68B1DB1-Normal91"/>
            </w:pPr>
            <w:r w:rsidRPr="00F22F68">
              <w:t>BOJ-NET</w:t>
            </w:r>
          </w:p>
        </w:tc>
      </w:tr>
      <w:tr w:rsidR="00D230D1" w14:paraId="4CEE7A6B" w14:textId="77777777">
        <w:trPr>
          <w:trHeight w:val="300"/>
        </w:trPr>
        <w:tc>
          <w:tcPr>
            <w:tcW w:w="9072" w:type="dxa"/>
            <w:tcBorders>
              <w:top w:val="nil"/>
              <w:left w:val="nil"/>
              <w:bottom w:val="nil"/>
              <w:right w:val="nil"/>
            </w:tcBorders>
            <w:noWrap/>
            <w:vAlign w:val="bottom"/>
            <w:hideMark/>
          </w:tcPr>
          <w:p w14:paraId="04FBDA33" w14:textId="55CAF954" w:rsidR="00D230D1" w:rsidRDefault="00D230D1" w:rsidP="00D230D1">
            <w:pPr>
              <w:pStyle w:val="P68B1DB1-Normal91"/>
            </w:pPr>
            <w:r w:rsidRPr="00F22F68">
              <w:t>BondSpot S.A.</w:t>
            </w:r>
          </w:p>
        </w:tc>
      </w:tr>
      <w:tr w:rsidR="00D230D1" w14:paraId="3B8A9B67" w14:textId="77777777">
        <w:trPr>
          <w:trHeight w:val="300"/>
        </w:trPr>
        <w:tc>
          <w:tcPr>
            <w:tcW w:w="9072" w:type="dxa"/>
            <w:tcBorders>
              <w:top w:val="nil"/>
              <w:left w:val="nil"/>
              <w:bottom w:val="nil"/>
              <w:right w:val="nil"/>
            </w:tcBorders>
            <w:noWrap/>
            <w:vAlign w:val="bottom"/>
            <w:hideMark/>
          </w:tcPr>
          <w:p w14:paraId="73DB34EF" w14:textId="66CBE6ED" w:rsidR="00D230D1" w:rsidRDefault="00D230D1" w:rsidP="00D230D1">
            <w:pPr>
              <w:pStyle w:val="P68B1DB1-Normal91"/>
            </w:pPr>
            <w:r w:rsidRPr="00F22F68">
              <w:t>BORICA</w:t>
            </w:r>
          </w:p>
        </w:tc>
      </w:tr>
      <w:tr w:rsidR="00D230D1" w14:paraId="5E8D43A2" w14:textId="77777777">
        <w:trPr>
          <w:trHeight w:val="300"/>
        </w:trPr>
        <w:tc>
          <w:tcPr>
            <w:tcW w:w="9072" w:type="dxa"/>
            <w:tcBorders>
              <w:top w:val="nil"/>
              <w:left w:val="nil"/>
              <w:bottom w:val="nil"/>
              <w:right w:val="nil"/>
            </w:tcBorders>
            <w:noWrap/>
            <w:vAlign w:val="bottom"/>
            <w:hideMark/>
          </w:tcPr>
          <w:p w14:paraId="4F788B85" w14:textId="37670304" w:rsidR="00D230D1" w:rsidRDefault="00D230D1" w:rsidP="00D230D1">
            <w:pPr>
              <w:pStyle w:val="P68B1DB1-Normal91"/>
            </w:pPr>
            <w:r w:rsidRPr="00F22F68">
              <w:t>Borsa Italiana SpA</w:t>
            </w:r>
          </w:p>
        </w:tc>
      </w:tr>
      <w:tr w:rsidR="00D230D1" w14:paraId="0034826C" w14:textId="77777777">
        <w:trPr>
          <w:trHeight w:val="300"/>
        </w:trPr>
        <w:tc>
          <w:tcPr>
            <w:tcW w:w="9072" w:type="dxa"/>
            <w:tcBorders>
              <w:top w:val="nil"/>
              <w:left w:val="nil"/>
              <w:bottom w:val="nil"/>
              <w:right w:val="nil"/>
            </w:tcBorders>
            <w:noWrap/>
            <w:vAlign w:val="bottom"/>
            <w:hideMark/>
          </w:tcPr>
          <w:p w14:paraId="6C688147" w14:textId="05EB8008" w:rsidR="00D230D1" w:rsidRDefault="00D230D1" w:rsidP="00D230D1">
            <w:pPr>
              <w:pStyle w:val="P68B1DB1-Normal91"/>
            </w:pPr>
            <w:r w:rsidRPr="00F22F68">
              <w:t>Bratislava Stock Exchange</w:t>
            </w:r>
          </w:p>
        </w:tc>
      </w:tr>
      <w:tr w:rsidR="00D230D1" w14:paraId="2ACAB3C1" w14:textId="77777777">
        <w:trPr>
          <w:trHeight w:val="300"/>
        </w:trPr>
        <w:tc>
          <w:tcPr>
            <w:tcW w:w="9072" w:type="dxa"/>
            <w:tcBorders>
              <w:top w:val="nil"/>
              <w:left w:val="nil"/>
              <w:bottom w:val="nil"/>
              <w:right w:val="nil"/>
            </w:tcBorders>
            <w:noWrap/>
            <w:vAlign w:val="bottom"/>
            <w:hideMark/>
          </w:tcPr>
          <w:p w14:paraId="797C25FF" w14:textId="369B62A3" w:rsidR="00D230D1" w:rsidRDefault="00D230D1" w:rsidP="00D230D1">
            <w:pPr>
              <w:pStyle w:val="P68B1DB1-Normal91"/>
            </w:pPr>
            <w:r w:rsidRPr="00F22F68">
              <w:t>Budapest Stock Exchange</w:t>
            </w:r>
          </w:p>
        </w:tc>
      </w:tr>
      <w:tr w:rsidR="00D230D1" w14:paraId="7928BB77" w14:textId="77777777">
        <w:trPr>
          <w:trHeight w:val="300"/>
        </w:trPr>
        <w:tc>
          <w:tcPr>
            <w:tcW w:w="9072" w:type="dxa"/>
            <w:tcBorders>
              <w:top w:val="nil"/>
              <w:left w:val="nil"/>
              <w:bottom w:val="nil"/>
              <w:right w:val="nil"/>
            </w:tcBorders>
            <w:noWrap/>
            <w:vAlign w:val="bottom"/>
            <w:hideMark/>
          </w:tcPr>
          <w:p w14:paraId="3D5ECE9A" w14:textId="0223D5BE" w:rsidR="00D230D1" w:rsidRDefault="00D230D1" w:rsidP="00D230D1">
            <w:pPr>
              <w:pStyle w:val="P68B1DB1-Normal91"/>
            </w:pPr>
            <w:r w:rsidRPr="00F22F68">
              <w:t>Bulgarian Stock Exchange</w:t>
            </w:r>
          </w:p>
        </w:tc>
      </w:tr>
      <w:tr w:rsidR="00D230D1" w14:paraId="3ED0C0E7" w14:textId="77777777">
        <w:trPr>
          <w:trHeight w:val="300"/>
        </w:trPr>
        <w:tc>
          <w:tcPr>
            <w:tcW w:w="9072" w:type="dxa"/>
            <w:tcBorders>
              <w:top w:val="nil"/>
              <w:left w:val="nil"/>
              <w:bottom w:val="nil"/>
              <w:right w:val="nil"/>
            </w:tcBorders>
            <w:noWrap/>
            <w:vAlign w:val="bottom"/>
            <w:hideMark/>
          </w:tcPr>
          <w:p w14:paraId="2AACB60C" w14:textId="33CB9B49" w:rsidR="00D230D1" w:rsidRDefault="00D230D1" w:rsidP="00D230D1">
            <w:pPr>
              <w:pStyle w:val="P68B1DB1-Normal91"/>
            </w:pPr>
            <w:r w:rsidRPr="00F22F68">
              <w:t>Bursa de Valori Bucaresti</w:t>
            </w:r>
          </w:p>
        </w:tc>
      </w:tr>
      <w:tr w:rsidR="00D230D1" w14:paraId="358B0CBB" w14:textId="77777777">
        <w:trPr>
          <w:trHeight w:val="300"/>
        </w:trPr>
        <w:tc>
          <w:tcPr>
            <w:tcW w:w="9072" w:type="dxa"/>
            <w:tcBorders>
              <w:top w:val="nil"/>
              <w:left w:val="nil"/>
              <w:bottom w:val="nil"/>
              <w:right w:val="nil"/>
            </w:tcBorders>
            <w:noWrap/>
            <w:vAlign w:val="bottom"/>
            <w:hideMark/>
          </w:tcPr>
          <w:p w14:paraId="69852FE3" w14:textId="25112161" w:rsidR="00D230D1" w:rsidRDefault="00D230D1" w:rsidP="00D230D1">
            <w:pPr>
              <w:pStyle w:val="P68B1DB1-Normal91"/>
            </w:pPr>
            <w:r w:rsidRPr="00F22F68">
              <w:t>Burza cenných papírů Praha, a.s. (Prague Stock Exchange)</w:t>
            </w:r>
          </w:p>
        </w:tc>
      </w:tr>
      <w:tr w:rsidR="00D230D1" w14:paraId="2BEFFD1A" w14:textId="77777777">
        <w:trPr>
          <w:trHeight w:val="300"/>
        </w:trPr>
        <w:tc>
          <w:tcPr>
            <w:tcW w:w="9072" w:type="dxa"/>
            <w:tcBorders>
              <w:top w:val="nil"/>
              <w:left w:val="nil"/>
              <w:bottom w:val="nil"/>
              <w:right w:val="nil"/>
            </w:tcBorders>
            <w:noWrap/>
            <w:vAlign w:val="bottom"/>
            <w:hideMark/>
          </w:tcPr>
          <w:p w14:paraId="32741FAD" w14:textId="1D3A5943" w:rsidR="00D230D1" w:rsidRDefault="00D230D1" w:rsidP="00D230D1">
            <w:pPr>
              <w:pStyle w:val="P68B1DB1-Normal91"/>
            </w:pPr>
            <w:r w:rsidRPr="00F22F68">
              <w:t>Canadian depository for securities (CDS)</w:t>
            </w:r>
          </w:p>
        </w:tc>
      </w:tr>
      <w:tr w:rsidR="00D230D1" w14:paraId="588D9A6E" w14:textId="77777777">
        <w:trPr>
          <w:trHeight w:val="300"/>
        </w:trPr>
        <w:tc>
          <w:tcPr>
            <w:tcW w:w="9072" w:type="dxa"/>
            <w:tcBorders>
              <w:top w:val="nil"/>
              <w:left w:val="nil"/>
              <w:bottom w:val="nil"/>
              <w:right w:val="nil"/>
            </w:tcBorders>
            <w:noWrap/>
            <w:vAlign w:val="bottom"/>
            <w:hideMark/>
          </w:tcPr>
          <w:p w14:paraId="30CD8C56" w14:textId="627F1CB4" w:rsidR="00D230D1" w:rsidRDefault="00D230D1" w:rsidP="00D230D1">
            <w:pPr>
              <w:pStyle w:val="P68B1DB1-Normal91"/>
            </w:pPr>
            <w:r w:rsidRPr="00F22F68">
              <w:t>Canadian Derivatives Clearing Corporation</w:t>
            </w:r>
          </w:p>
        </w:tc>
      </w:tr>
      <w:tr w:rsidR="00D230D1" w14:paraId="47A4B165" w14:textId="77777777">
        <w:trPr>
          <w:trHeight w:val="300"/>
        </w:trPr>
        <w:tc>
          <w:tcPr>
            <w:tcW w:w="9072" w:type="dxa"/>
            <w:tcBorders>
              <w:top w:val="nil"/>
              <w:left w:val="nil"/>
              <w:bottom w:val="nil"/>
              <w:right w:val="nil"/>
            </w:tcBorders>
            <w:noWrap/>
            <w:vAlign w:val="bottom"/>
          </w:tcPr>
          <w:p w14:paraId="4B6A49F9" w14:textId="417D1C87" w:rsidR="00D230D1" w:rsidRDefault="00D230D1" w:rsidP="00D230D1">
            <w:pPr>
              <w:pStyle w:val="P68B1DB1-Normal91"/>
            </w:pPr>
            <w:r w:rsidRPr="00EB7BE1">
              <w:t>Cboe Clear Europe</w:t>
            </w:r>
          </w:p>
        </w:tc>
      </w:tr>
      <w:tr w:rsidR="00D230D1" w14:paraId="00F4E07D" w14:textId="77777777">
        <w:trPr>
          <w:trHeight w:val="300"/>
        </w:trPr>
        <w:tc>
          <w:tcPr>
            <w:tcW w:w="9072" w:type="dxa"/>
            <w:tcBorders>
              <w:top w:val="nil"/>
              <w:left w:val="nil"/>
              <w:bottom w:val="nil"/>
              <w:right w:val="nil"/>
            </w:tcBorders>
            <w:noWrap/>
            <w:vAlign w:val="bottom"/>
            <w:hideMark/>
          </w:tcPr>
          <w:p w14:paraId="143644AA" w14:textId="77BC3989" w:rsidR="00D230D1" w:rsidRDefault="00D230D1" w:rsidP="00D230D1">
            <w:pPr>
              <w:pStyle w:val="P68B1DB1-Normal91"/>
            </w:pPr>
            <w:r w:rsidRPr="00F22F68">
              <w:t>CCP Austria</w:t>
            </w:r>
          </w:p>
        </w:tc>
      </w:tr>
      <w:tr w:rsidR="00D230D1" w14:paraId="49668E14" w14:textId="77777777">
        <w:trPr>
          <w:trHeight w:val="300"/>
        </w:trPr>
        <w:tc>
          <w:tcPr>
            <w:tcW w:w="9072" w:type="dxa"/>
            <w:tcBorders>
              <w:top w:val="nil"/>
              <w:left w:val="nil"/>
              <w:bottom w:val="nil"/>
              <w:right w:val="nil"/>
            </w:tcBorders>
            <w:noWrap/>
            <w:vAlign w:val="bottom"/>
            <w:hideMark/>
          </w:tcPr>
          <w:p w14:paraId="4D54CDC3" w14:textId="0AF83C73" w:rsidR="00D230D1" w:rsidRDefault="00D230D1" w:rsidP="00D230D1">
            <w:pPr>
              <w:pStyle w:val="P68B1DB1-Normal91"/>
            </w:pPr>
            <w:r w:rsidRPr="00F22F68">
              <w:t>CEC/UCV</w:t>
            </w:r>
          </w:p>
        </w:tc>
      </w:tr>
      <w:tr w:rsidR="00D230D1" w14:paraId="13CEB735" w14:textId="77777777">
        <w:trPr>
          <w:trHeight w:val="300"/>
        </w:trPr>
        <w:tc>
          <w:tcPr>
            <w:tcW w:w="9072" w:type="dxa"/>
            <w:tcBorders>
              <w:top w:val="nil"/>
              <w:left w:val="nil"/>
              <w:bottom w:val="nil"/>
              <w:right w:val="nil"/>
            </w:tcBorders>
            <w:noWrap/>
            <w:vAlign w:val="bottom"/>
            <w:hideMark/>
          </w:tcPr>
          <w:p w14:paraId="7E656B34" w14:textId="7033CF08" w:rsidR="00D230D1" w:rsidRDefault="00D230D1" w:rsidP="00D230D1">
            <w:pPr>
              <w:pStyle w:val="P68B1DB1-Normal91"/>
            </w:pPr>
            <w:r w:rsidRPr="00F22F68">
              <w:t>CEESEG AG (Wiener Borse)</w:t>
            </w:r>
          </w:p>
        </w:tc>
      </w:tr>
      <w:tr w:rsidR="00D230D1" w14:paraId="38BBF453" w14:textId="77777777">
        <w:trPr>
          <w:trHeight w:val="300"/>
        </w:trPr>
        <w:tc>
          <w:tcPr>
            <w:tcW w:w="9072" w:type="dxa"/>
            <w:tcBorders>
              <w:top w:val="nil"/>
              <w:left w:val="nil"/>
              <w:bottom w:val="nil"/>
              <w:right w:val="nil"/>
            </w:tcBorders>
            <w:noWrap/>
            <w:vAlign w:val="bottom"/>
            <w:hideMark/>
          </w:tcPr>
          <w:p w14:paraId="7C5735E8" w14:textId="0E9A5C25" w:rsidR="00D230D1" w:rsidRDefault="00D230D1" w:rsidP="00D230D1">
            <w:pPr>
              <w:pStyle w:val="P68B1DB1-Normal91"/>
            </w:pPr>
            <w:r w:rsidRPr="00F22F68">
              <w:t>Central Depository &amp; Clearing Company</w:t>
            </w:r>
          </w:p>
        </w:tc>
      </w:tr>
      <w:tr w:rsidR="00D230D1" w14:paraId="100E6E04" w14:textId="77777777">
        <w:trPr>
          <w:trHeight w:val="300"/>
        </w:trPr>
        <w:tc>
          <w:tcPr>
            <w:tcW w:w="9072" w:type="dxa"/>
            <w:tcBorders>
              <w:top w:val="nil"/>
              <w:left w:val="nil"/>
              <w:bottom w:val="nil"/>
              <w:right w:val="nil"/>
            </w:tcBorders>
            <w:noWrap/>
            <w:vAlign w:val="bottom"/>
            <w:hideMark/>
          </w:tcPr>
          <w:p w14:paraId="1D98F57D" w14:textId="52CDC331" w:rsidR="00D230D1" w:rsidRDefault="00D230D1" w:rsidP="00D230D1">
            <w:pPr>
              <w:pStyle w:val="P68B1DB1-Normal91"/>
            </w:pPr>
            <w:r w:rsidRPr="00F22F68">
              <w:t>Central Depository AD</w:t>
            </w:r>
          </w:p>
        </w:tc>
      </w:tr>
      <w:tr w:rsidR="00D230D1" w14:paraId="3E41A5D7" w14:textId="77777777">
        <w:trPr>
          <w:trHeight w:val="300"/>
        </w:trPr>
        <w:tc>
          <w:tcPr>
            <w:tcW w:w="9072" w:type="dxa"/>
            <w:tcBorders>
              <w:top w:val="nil"/>
              <w:left w:val="nil"/>
              <w:bottom w:val="nil"/>
              <w:right w:val="nil"/>
            </w:tcBorders>
            <w:noWrap/>
            <w:vAlign w:val="bottom"/>
            <w:hideMark/>
          </w:tcPr>
          <w:p w14:paraId="149F4C5F" w14:textId="3AC62124" w:rsidR="00D230D1" w:rsidRDefault="00D230D1" w:rsidP="00D230D1">
            <w:pPr>
              <w:pStyle w:val="P68B1DB1-Normal91"/>
            </w:pPr>
            <w:r w:rsidRPr="00F22F68">
              <w:t>Central Depository and Central Registry</w:t>
            </w:r>
          </w:p>
        </w:tc>
      </w:tr>
      <w:tr w:rsidR="00D230D1" w14:paraId="1B4CF3CD" w14:textId="77777777">
        <w:trPr>
          <w:trHeight w:val="300"/>
        </w:trPr>
        <w:tc>
          <w:tcPr>
            <w:tcW w:w="9072" w:type="dxa"/>
            <w:tcBorders>
              <w:top w:val="nil"/>
              <w:left w:val="nil"/>
              <w:bottom w:val="nil"/>
              <w:right w:val="nil"/>
            </w:tcBorders>
            <w:noWrap/>
            <w:vAlign w:val="bottom"/>
            <w:hideMark/>
          </w:tcPr>
          <w:p w14:paraId="7783EDF6" w14:textId="5DF242F5" w:rsidR="00D230D1" w:rsidRDefault="00D230D1" w:rsidP="00D230D1">
            <w:pPr>
              <w:pStyle w:val="P68B1DB1-Normal91"/>
            </w:pPr>
            <w:r w:rsidRPr="002E4F76">
              <w:rPr>
                <w:lang w:val="sv-SE"/>
              </w:rPr>
              <w:t>Centralna klirinško depotna družba (KDD)</w:t>
            </w:r>
          </w:p>
        </w:tc>
      </w:tr>
      <w:tr w:rsidR="00D230D1" w14:paraId="7812614A" w14:textId="77777777">
        <w:trPr>
          <w:trHeight w:val="300"/>
        </w:trPr>
        <w:tc>
          <w:tcPr>
            <w:tcW w:w="9072" w:type="dxa"/>
            <w:tcBorders>
              <w:top w:val="nil"/>
              <w:left w:val="nil"/>
              <w:bottom w:val="nil"/>
              <w:right w:val="nil"/>
            </w:tcBorders>
            <w:noWrap/>
            <w:vAlign w:val="bottom"/>
            <w:hideMark/>
          </w:tcPr>
          <w:p w14:paraId="7231B5A5" w14:textId="31FFABE3" w:rsidR="00D230D1" w:rsidRDefault="00D230D1" w:rsidP="00D230D1">
            <w:pPr>
              <w:pStyle w:val="P68B1DB1-Normal91"/>
            </w:pPr>
            <w:r w:rsidRPr="00F22F68">
              <w:t>Centrální depozitár cenných papíru SR a.s. (CDCP) / Central Depository of Securities Prague</w:t>
            </w:r>
          </w:p>
        </w:tc>
      </w:tr>
      <w:tr w:rsidR="00D230D1" w14:paraId="3DFD9976" w14:textId="77777777">
        <w:trPr>
          <w:trHeight w:val="300"/>
        </w:trPr>
        <w:tc>
          <w:tcPr>
            <w:tcW w:w="9072" w:type="dxa"/>
            <w:tcBorders>
              <w:top w:val="nil"/>
              <w:left w:val="nil"/>
              <w:bottom w:val="nil"/>
              <w:right w:val="nil"/>
            </w:tcBorders>
            <w:noWrap/>
            <w:vAlign w:val="bottom"/>
            <w:hideMark/>
          </w:tcPr>
          <w:p w14:paraId="742B58E1" w14:textId="3871F91C" w:rsidR="00D230D1" w:rsidRDefault="00D230D1" w:rsidP="00D230D1">
            <w:pPr>
              <w:pStyle w:val="P68B1DB1-Normal91"/>
            </w:pPr>
            <w:r w:rsidRPr="00F22F68">
              <w:t>Centrálny Depositár Cenných Papierov (CDCP) SR</w:t>
            </w:r>
          </w:p>
        </w:tc>
      </w:tr>
      <w:tr w:rsidR="00D230D1" w14:paraId="0C3666C6" w14:textId="77777777">
        <w:trPr>
          <w:trHeight w:val="300"/>
        </w:trPr>
        <w:tc>
          <w:tcPr>
            <w:tcW w:w="9072" w:type="dxa"/>
            <w:tcBorders>
              <w:top w:val="nil"/>
              <w:left w:val="nil"/>
              <w:bottom w:val="nil"/>
              <w:right w:val="nil"/>
            </w:tcBorders>
            <w:noWrap/>
            <w:vAlign w:val="bottom"/>
            <w:hideMark/>
          </w:tcPr>
          <w:p w14:paraId="44F52918" w14:textId="076E7241" w:rsidR="00D230D1" w:rsidRDefault="00D230D1" w:rsidP="00D230D1">
            <w:pPr>
              <w:pStyle w:val="P68B1DB1-Normal91"/>
            </w:pPr>
            <w:r w:rsidRPr="00F22F68">
              <w:t>CENTROlink</w:t>
            </w:r>
          </w:p>
        </w:tc>
      </w:tr>
      <w:tr w:rsidR="00D230D1" w14:paraId="1BAAD6F5" w14:textId="77777777">
        <w:trPr>
          <w:trHeight w:val="300"/>
        </w:trPr>
        <w:tc>
          <w:tcPr>
            <w:tcW w:w="9072" w:type="dxa"/>
            <w:tcBorders>
              <w:top w:val="nil"/>
              <w:left w:val="nil"/>
              <w:bottom w:val="nil"/>
              <w:right w:val="nil"/>
            </w:tcBorders>
            <w:noWrap/>
            <w:vAlign w:val="bottom"/>
            <w:hideMark/>
          </w:tcPr>
          <w:p w14:paraId="1E11605F" w14:textId="3321DB3D" w:rsidR="00D230D1" w:rsidRDefault="00D230D1" w:rsidP="00D230D1">
            <w:pPr>
              <w:pStyle w:val="P68B1DB1-Normal91"/>
            </w:pPr>
            <w:r w:rsidRPr="00F22F68">
              <w:t>CERTIS (Czech Express Real Time Interbank Gross Settlement System)</w:t>
            </w:r>
          </w:p>
        </w:tc>
      </w:tr>
      <w:tr w:rsidR="00D230D1" w14:paraId="58D71B59" w14:textId="77777777">
        <w:trPr>
          <w:trHeight w:val="300"/>
        </w:trPr>
        <w:tc>
          <w:tcPr>
            <w:tcW w:w="9072" w:type="dxa"/>
            <w:tcBorders>
              <w:top w:val="nil"/>
              <w:left w:val="nil"/>
              <w:bottom w:val="nil"/>
              <w:right w:val="nil"/>
            </w:tcBorders>
            <w:noWrap/>
            <w:vAlign w:val="bottom"/>
            <w:hideMark/>
          </w:tcPr>
          <w:p w14:paraId="0405428F" w14:textId="34E492C5" w:rsidR="00D230D1" w:rsidRDefault="00D230D1" w:rsidP="00D230D1">
            <w:pPr>
              <w:pStyle w:val="P68B1DB1-Normal91"/>
            </w:pPr>
            <w:r w:rsidRPr="00F22F68">
              <w:t>CHAPS (Clearing House Automated Payment System )</w:t>
            </w:r>
          </w:p>
        </w:tc>
      </w:tr>
      <w:tr w:rsidR="00D230D1" w14:paraId="0F052492" w14:textId="77777777">
        <w:trPr>
          <w:trHeight w:val="300"/>
        </w:trPr>
        <w:tc>
          <w:tcPr>
            <w:tcW w:w="9072" w:type="dxa"/>
            <w:tcBorders>
              <w:top w:val="nil"/>
              <w:left w:val="nil"/>
              <w:bottom w:val="nil"/>
              <w:right w:val="nil"/>
            </w:tcBorders>
            <w:noWrap/>
            <w:vAlign w:val="bottom"/>
            <w:hideMark/>
          </w:tcPr>
          <w:p w14:paraId="4F411666" w14:textId="3FDF60B7" w:rsidR="00D230D1" w:rsidRDefault="00D230D1" w:rsidP="00D230D1">
            <w:pPr>
              <w:pStyle w:val="P68B1DB1-Normal91"/>
            </w:pPr>
            <w:r w:rsidRPr="00F22F68">
              <w:t>Cheque &amp; Credit Clearing System Ltd</w:t>
            </w:r>
          </w:p>
        </w:tc>
      </w:tr>
      <w:tr w:rsidR="00D230D1" w14:paraId="0979B652" w14:textId="77777777">
        <w:trPr>
          <w:trHeight w:val="300"/>
        </w:trPr>
        <w:tc>
          <w:tcPr>
            <w:tcW w:w="9072" w:type="dxa"/>
            <w:tcBorders>
              <w:top w:val="nil"/>
              <w:left w:val="nil"/>
              <w:bottom w:val="nil"/>
              <w:right w:val="nil"/>
            </w:tcBorders>
            <w:noWrap/>
            <w:vAlign w:val="bottom"/>
            <w:hideMark/>
          </w:tcPr>
          <w:p w14:paraId="53589C87" w14:textId="778E1B74" w:rsidR="00D230D1" w:rsidRDefault="00D230D1" w:rsidP="00D230D1">
            <w:pPr>
              <w:pStyle w:val="P68B1DB1-Normal91"/>
            </w:pPr>
            <w:r w:rsidRPr="00F22F68">
              <w:lastRenderedPageBreak/>
              <w:t>CHIPS</w:t>
            </w:r>
          </w:p>
        </w:tc>
      </w:tr>
      <w:tr w:rsidR="00D230D1" w14:paraId="3FA985BC" w14:textId="77777777">
        <w:trPr>
          <w:trHeight w:val="300"/>
        </w:trPr>
        <w:tc>
          <w:tcPr>
            <w:tcW w:w="9072" w:type="dxa"/>
            <w:tcBorders>
              <w:top w:val="nil"/>
              <w:left w:val="nil"/>
              <w:bottom w:val="nil"/>
              <w:right w:val="nil"/>
            </w:tcBorders>
            <w:noWrap/>
            <w:vAlign w:val="bottom"/>
            <w:hideMark/>
          </w:tcPr>
          <w:p w14:paraId="1D542203" w14:textId="21C01C37" w:rsidR="00D230D1" w:rsidRDefault="00D230D1" w:rsidP="00D230D1">
            <w:pPr>
              <w:pStyle w:val="P68B1DB1-Normal91"/>
            </w:pPr>
            <w:r w:rsidRPr="00F22F68">
              <w:t>Clearing Service Austria (CSA)</w:t>
            </w:r>
          </w:p>
        </w:tc>
      </w:tr>
      <w:tr w:rsidR="00D230D1" w14:paraId="6FFF162D" w14:textId="77777777">
        <w:trPr>
          <w:trHeight w:val="300"/>
        </w:trPr>
        <w:tc>
          <w:tcPr>
            <w:tcW w:w="9072" w:type="dxa"/>
            <w:tcBorders>
              <w:top w:val="nil"/>
              <w:left w:val="nil"/>
              <w:bottom w:val="nil"/>
              <w:right w:val="nil"/>
            </w:tcBorders>
            <w:noWrap/>
            <w:vAlign w:val="bottom"/>
            <w:hideMark/>
          </w:tcPr>
          <w:p w14:paraId="657C636C" w14:textId="6207332F" w:rsidR="00D230D1" w:rsidRDefault="00D230D1" w:rsidP="00D230D1">
            <w:pPr>
              <w:pStyle w:val="P68B1DB1-Normal91"/>
            </w:pPr>
            <w:r w:rsidRPr="00F22F68">
              <w:t>Clearing Service International (CSI)</w:t>
            </w:r>
          </w:p>
        </w:tc>
      </w:tr>
      <w:tr w:rsidR="00D230D1" w14:paraId="086AA89E" w14:textId="77777777">
        <w:trPr>
          <w:trHeight w:val="300"/>
        </w:trPr>
        <w:tc>
          <w:tcPr>
            <w:tcW w:w="9072" w:type="dxa"/>
            <w:tcBorders>
              <w:top w:val="nil"/>
              <w:left w:val="nil"/>
              <w:bottom w:val="nil"/>
              <w:right w:val="nil"/>
            </w:tcBorders>
            <w:noWrap/>
            <w:vAlign w:val="bottom"/>
            <w:hideMark/>
          </w:tcPr>
          <w:p w14:paraId="2802A46D" w14:textId="49437DAC" w:rsidR="00D230D1" w:rsidRDefault="00D230D1" w:rsidP="00D230D1">
            <w:pPr>
              <w:pStyle w:val="P68B1DB1-Normal91"/>
            </w:pPr>
            <w:r w:rsidRPr="00F22F68">
              <w:t>Clearstream Banking AG</w:t>
            </w:r>
          </w:p>
        </w:tc>
      </w:tr>
      <w:tr w:rsidR="00D230D1" w14:paraId="0E099AF5" w14:textId="77777777">
        <w:trPr>
          <w:trHeight w:val="300"/>
        </w:trPr>
        <w:tc>
          <w:tcPr>
            <w:tcW w:w="9072" w:type="dxa"/>
            <w:tcBorders>
              <w:top w:val="nil"/>
              <w:left w:val="nil"/>
              <w:bottom w:val="nil"/>
              <w:right w:val="nil"/>
            </w:tcBorders>
            <w:noWrap/>
            <w:vAlign w:val="bottom"/>
            <w:hideMark/>
          </w:tcPr>
          <w:p w14:paraId="7ED35FA8" w14:textId="3D390308" w:rsidR="00D230D1" w:rsidRDefault="00D230D1" w:rsidP="00D230D1">
            <w:pPr>
              <w:pStyle w:val="P68B1DB1-Normal91"/>
            </w:pPr>
            <w:r w:rsidRPr="00F22F68">
              <w:t>Clearstream Banking Luxembourg</w:t>
            </w:r>
          </w:p>
        </w:tc>
      </w:tr>
      <w:tr w:rsidR="00D230D1" w14:paraId="55359EE8" w14:textId="77777777">
        <w:trPr>
          <w:trHeight w:val="300"/>
        </w:trPr>
        <w:tc>
          <w:tcPr>
            <w:tcW w:w="9072" w:type="dxa"/>
            <w:tcBorders>
              <w:top w:val="nil"/>
              <w:left w:val="nil"/>
              <w:bottom w:val="nil"/>
              <w:right w:val="nil"/>
            </w:tcBorders>
            <w:noWrap/>
            <w:vAlign w:val="bottom"/>
            <w:hideMark/>
          </w:tcPr>
          <w:p w14:paraId="218A6446" w14:textId="4F3611B0" w:rsidR="00D230D1" w:rsidRDefault="00D230D1" w:rsidP="00D230D1">
            <w:pPr>
              <w:pStyle w:val="P68B1DB1-Normal91"/>
            </w:pPr>
            <w:r w:rsidRPr="00F22F68">
              <w:t>CLS</w:t>
            </w:r>
          </w:p>
        </w:tc>
      </w:tr>
      <w:tr w:rsidR="00D230D1" w14:paraId="6A82B717" w14:textId="77777777">
        <w:trPr>
          <w:trHeight w:val="300"/>
        </w:trPr>
        <w:tc>
          <w:tcPr>
            <w:tcW w:w="9072" w:type="dxa"/>
            <w:tcBorders>
              <w:top w:val="nil"/>
              <w:left w:val="nil"/>
              <w:bottom w:val="nil"/>
              <w:right w:val="nil"/>
            </w:tcBorders>
            <w:noWrap/>
            <w:vAlign w:val="bottom"/>
            <w:hideMark/>
          </w:tcPr>
          <w:p w14:paraId="051DFD15" w14:textId="68516739" w:rsidR="00D230D1" w:rsidRDefault="00D230D1" w:rsidP="00D230D1">
            <w:pPr>
              <w:pStyle w:val="P68B1DB1-Normal91"/>
            </w:pPr>
            <w:r w:rsidRPr="00F22F68">
              <w:t>CME Trade Repository Ltd (CME TR)</w:t>
            </w:r>
          </w:p>
        </w:tc>
      </w:tr>
      <w:tr w:rsidR="00D230D1" w14:paraId="06831526" w14:textId="77777777">
        <w:trPr>
          <w:trHeight w:val="300"/>
        </w:trPr>
        <w:tc>
          <w:tcPr>
            <w:tcW w:w="9072" w:type="dxa"/>
            <w:tcBorders>
              <w:top w:val="nil"/>
              <w:left w:val="nil"/>
              <w:bottom w:val="nil"/>
              <w:right w:val="nil"/>
            </w:tcBorders>
            <w:noWrap/>
            <w:vAlign w:val="bottom"/>
            <w:hideMark/>
          </w:tcPr>
          <w:p w14:paraId="33B6CA7E" w14:textId="15F1F131" w:rsidR="00D230D1" w:rsidRDefault="00D230D1" w:rsidP="00D230D1">
            <w:pPr>
              <w:pStyle w:val="P68B1DB1-Normal91"/>
            </w:pPr>
            <w:r w:rsidRPr="00F22F68">
              <w:t>Cyprus Clearing House</w:t>
            </w:r>
          </w:p>
        </w:tc>
      </w:tr>
      <w:tr w:rsidR="00D230D1" w14:paraId="3BB1F880" w14:textId="77777777">
        <w:trPr>
          <w:trHeight w:val="300"/>
        </w:trPr>
        <w:tc>
          <w:tcPr>
            <w:tcW w:w="9072" w:type="dxa"/>
            <w:tcBorders>
              <w:top w:val="nil"/>
              <w:left w:val="nil"/>
              <w:bottom w:val="nil"/>
              <w:right w:val="nil"/>
            </w:tcBorders>
            <w:noWrap/>
            <w:vAlign w:val="bottom"/>
            <w:hideMark/>
          </w:tcPr>
          <w:p w14:paraId="6DCF1051" w14:textId="7DBEA576" w:rsidR="00D230D1" w:rsidRDefault="00D230D1" w:rsidP="00D230D1">
            <w:pPr>
              <w:pStyle w:val="P68B1DB1-Normal91"/>
            </w:pPr>
            <w:r w:rsidRPr="00F22F68">
              <w:t>Cyprus Stock Exchange</w:t>
            </w:r>
          </w:p>
        </w:tc>
      </w:tr>
      <w:tr w:rsidR="00D230D1" w14:paraId="7F6A962C" w14:textId="77777777">
        <w:trPr>
          <w:trHeight w:val="300"/>
        </w:trPr>
        <w:tc>
          <w:tcPr>
            <w:tcW w:w="9072" w:type="dxa"/>
            <w:tcBorders>
              <w:top w:val="nil"/>
              <w:left w:val="nil"/>
              <w:bottom w:val="nil"/>
              <w:right w:val="nil"/>
            </w:tcBorders>
            <w:noWrap/>
            <w:vAlign w:val="bottom"/>
            <w:hideMark/>
          </w:tcPr>
          <w:p w14:paraId="359710C1" w14:textId="15DE96B5" w:rsidR="00D230D1" w:rsidRDefault="00D230D1" w:rsidP="00D230D1">
            <w:pPr>
              <w:pStyle w:val="P68B1DB1-Normal91"/>
            </w:pPr>
            <w:r w:rsidRPr="00F22F68">
              <w:t>Dataclearing</w:t>
            </w:r>
          </w:p>
        </w:tc>
      </w:tr>
      <w:tr w:rsidR="00D230D1" w14:paraId="0118AB34" w14:textId="77777777">
        <w:trPr>
          <w:trHeight w:val="300"/>
        </w:trPr>
        <w:tc>
          <w:tcPr>
            <w:tcW w:w="9072" w:type="dxa"/>
            <w:tcBorders>
              <w:top w:val="nil"/>
              <w:left w:val="nil"/>
              <w:bottom w:val="nil"/>
              <w:right w:val="nil"/>
            </w:tcBorders>
            <w:noWrap/>
            <w:vAlign w:val="bottom"/>
            <w:hideMark/>
          </w:tcPr>
          <w:p w14:paraId="371022ED" w14:textId="17485488" w:rsidR="00D230D1" w:rsidRDefault="00D230D1" w:rsidP="00D230D1">
            <w:pPr>
              <w:pStyle w:val="P68B1DB1-Normal91"/>
            </w:pPr>
            <w:r w:rsidRPr="00F22F68">
              <w:t>Depozitarul Central S.A.</w:t>
            </w:r>
          </w:p>
        </w:tc>
      </w:tr>
      <w:tr w:rsidR="00D230D1" w14:paraId="2356D6E7" w14:textId="77777777">
        <w:trPr>
          <w:trHeight w:val="300"/>
        </w:trPr>
        <w:tc>
          <w:tcPr>
            <w:tcW w:w="9072" w:type="dxa"/>
            <w:tcBorders>
              <w:top w:val="nil"/>
              <w:left w:val="nil"/>
              <w:bottom w:val="nil"/>
              <w:right w:val="nil"/>
            </w:tcBorders>
            <w:noWrap/>
            <w:vAlign w:val="bottom"/>
            <w:hideMark/>
          </w:tcPr>
          <w:p w14:paraId="2A6C99D9" w14:textId="4CDF906A" w:rsidR="00D230D1" w:rsidRDefault="00D230D1" w:rsidP="00D230D1">
            <w:pPr>
              <w:pStyle w:val="P68B1DB1-Normal91"/>
            </w:pPr>
            <w:r w:rsidRPr="00F22F68">
              <w:t>Deutsche Börse AG</w:t>
            </w:r>
          </w:p>
        </w:tc>
      </w:tr>
      <w:tr w:rsidR="00D230D1" w14:paraId="086E410F" w14:textId="77777777">
        <w:trPr>
          <w:trHeight w:val="300"/>
        </w:trPr>
        <w:tc>
          <w:tcPr>
            <w:tcW w:w="9072" w:type="dxa"/>
            <w:tcBorders>
              <w:top w:val="nil"/>
              <w:left w:val="nil"/>
              <w:bottom w:val="nil"/>
              <w:right w:val="nil"/>
            </w:tcBorders>
            <w:noWrap/>
            <w:vAlign w:val="bottom"/>
            <w:hideMark/>
          </w:tcPr>
          <w:p w14:paraId="557F1C51" w14:textId="37B41663" w:rsidR="00D230D1" w:rsidRDefault="00D230D1" w:rsidP="00D230D1">
            <w:pPr>
              <w:pStyle w:val="P68B1DB1-Normal91"/>
            </w:pPr>
            <w:r w:rsidRPr="002E4F76">
              <w:rPr>
                <w:lang w:val="sv-SE"/>
              </w:rPr>
              <w:t>DIAS (Interbanking Systems S.A.)</w:t>
            </w:r>
          </w:p>
        </w:tc>
      </w:tr>
      <w:tr w:rsidR="00D230D1" w14:paraId="2ADBEB7D" w14:textId="77777777">
        <w:trPr>
          <w:trHeight w:val="300"/>
        </w:trPr>
        <w:tc>
          <w:tcPr>
            <w:tcW w:w="9072" w:type="dxa"/>
            <w:tcBorders>
              <w:top w:val="nil"/>
              <w:left w:val="nil"/>
              <w:bottom w:val="nil"/>
              <w:right w:val="nil"/>
            </w:tcBorders>
            <w:noWrap/>
            <w:vAlign w:val="bottom"/>
            <w:hideMark/>
          </w:tcPr>
          <w:p w14:paraId="08C28E5B" w14:textId="12CBB2AD" w:rsidR="00D230D1" w:rsidRDefault="00D230D1" w:rsidP="00D230D1">
            <w:pPr>
              <w:pStyle w:val="P68B1DB1-Normal91"/>
            </w:pPr>
            <w:r w:rsidRPr="00F22F68">
              <w:t>DTC (Depository Trust Company)</w:t>
            </w:r>
          </w:p>
        </w:tc>
      </w:tr>
      <w:tr w:rsidR="00D230D1" w14:paraId="797F9EF8" w14:textId="77777777">
        <w:trPr>
          <w:trHeight w:val="300"/>
        </w:trPr>
        <w:tc>
          <w:tcPr>
            <w:tcW w:w="9072" w:type="dxa"/>
            <w:tcBorders>
              <w:top w:val="nil"/>
              <w:left w:val="nil"/>
              <w:bottom w:val="nil"/>
              <w:right w:val="nil"/>
            </w:tcBorders>
            <w:noWrap/>
            <w:vAlign w:val="bottom"/>
            <w:hideMark/>
          </w:tcPr>
          <w:p w14:paraId="51E5D740" w14:textId="2B92611A" w:rsidR="00D230D1" w:rsidRDefault="00D230D1" w:rsidP="00D230D1">
            <w:pPr>
              <w:pStyle w:val="P68B1DB1-Normal91"/>
            </w:pPr>
            <w:r w:rsidRPr="00F22F68">
              <w:t>DTCC Derivatives Repository Plc</w:t>
            </w:r>
          </w:p>
        </w:tc>
      </w:tr>
      <w:tr w:rsidR="00D230D1" w14:paraId="6ADFC287" w14:textId="77777777">
        <w:trPr>
          <w:trHeight w:val="300"/>
        </w:trPr>
        <w:tc>
          <w:tcPr>
            <w:tcW w:w="9072" w:type="dxa"/>
            <w:tcBorders>
              <w:top w:val="nil"/>
              <w:left w:val="nil"/>
              <w:bottom w:val="nil"/>
              <w:right w:val="nil"/>
            </w:tcBorders>
            <w:noWrap/>
            <w:vAlign w:val="bottom"/>
            <w:hideMark/>
          </w:tcPr>
          <w:p w14:paraId="30027F70" w14:textId="29A3FC83" w:rsidR="00D230D1" w:rsidRDefault="00D230D1" w:rsidP="00D230D1">
            <w:pPr>
              <w:pStyle w:val="P68B1DB1-Normal91"/>
            </w:pPr>
            <w:r w:rsidRPr="00F22F68">
              <w:t>Electronic Clearing System (EKS)</w:t>
            </w:r>
          </w:p>
        </w:tc>
      </w:tr>
      <w:tr w:rsidR="00D230D1" w14:paraId="3C13C365" w14:textId="77777777">
        <w:trPr>
          <w:trHeight w:val="300"/>
        </w:trPr>
        <w:tc>
          <w:tcPr>
            <w:tcW w:w="9072" w:type="dxa"/>
            <w:tcBorders>
              <w:top w:val="nil"/>
              <w:left w:val="nil"/>
              <w:bottom w:val="nil"/>
              <w:right w:val="nil"/>
            </w:tcBorders>
            <w:noWrap/>
            <w:vAlign w:val="bottom"/>
            <w:hideMark/>
          </w:tcPr>
          <w:p w14:paraId="2536A2E4" w14:textId="131AEDCE" w:rsidR="00D230D1" w:rsidRDefault="00D230D1" w:rsidP="00D230D1">
            <w:pPr>
              <w:pStyle w:val="P68B1DB1-Normal91"/>
            </w:pPr>
            <w:r w:rsidRPr="00F22F68">
              <w:t>ELIXIR</w:t>
            </w:r>
          </w:p>
        </w:tc>
      </w:tr>
      <w:tr w:rsidR="00D230D1" w14:paraId="59490FEF" w14:textId="77777777">
        <w:trPr>
          <w:trHeight w:val="300"/>
        </w:trPr>
        <w:tc>
          <w:tcPr>
            <w:tcW w:w="9072" w:type="dxa"/>
            <w:tcBorders>
              <w:top w:val="nil"/>
              <w:left w:val="nil"/>
              <w:bottom w:val="nil"/>
              <w:right w:val="nil"/>
            </w:tcBorders>
            <w:noWrap/>
            <w:vAlign w:val="bottom"/>
            <w:hideMark/>
          </w:tcPr>
          <w:p w14:paraId="5D3BC6DE" w14:textId="0B21C4DE" w:rsidR="00D230D1" w:rsidRDefault="00D230D1" w:rsidP="00D230D1">
            <w:pPr>
              <w:pStyle w:val="P68B1DB1-Normal91"/>
            </w:pPr>
            <w:r w:rsidRPr="00F22F68">
              <w:t>Equens</w:t>
            </w:r>
          </w:p>
        </w:tc>
      </w:tr>
      <w:tr w:rsidR="00D230D1" w14:paraId="7151AAFC" w14:textId="77777777">
        <w:trPr>
          <w:trHeight w:val="300"/>
        </w:trPr>
        <w:tc>
          <w:tcPr>
            <w:tcW w:w="9072" w:type="dxa"/>
            <w:tcBorders>
              <w:top w:val="nil"/>
              <w:left w:val="nil"/>
              <w:bottom w:val="nil"/>
              <w:right w:val="nil"/>
            </w:tcBorders>
            <w:noWrap/>
            <w:vAlign w:val="bottom"/>
            <w:hideMark/>
          </w:tcPr>
          <w:p w14:paraId="62F52322" w14:textId="298A21A3" w:rsidR="00D230D1" w:rsidRDefault="00D230D1" w:rsidP="00D230D1">
            <w:pPr>
              <w:pStyle w:val="P68B1DB1-Normal91"/>
            </w:pPr>
            <w:r w:rsidRPr="00F22F68">
              <w:t>EUREX Clearing AG</w:t>
            </w:r>
          </w:p>
        </w:tc>
      </w:tr>
      <w:tr w:rsidR="00D230D1" w14:paraId="20047EE0" w14:textId="77777777">
        <w:trPr>
          <w:trHeight w:val="300"/>
        </w:trPr>
        <w:tc>
          <w:tcPr>
            <w:tcW w:w="9072" w:type="dxa"/>
            <w:tcBorders>
              <w:top w:val="nil"/>
              <w:left w:val="nil"/>
              <w:bottom w:val="nil"/>
              <w:right w:val="nil"/>
            </w:tcBorders>
            <w:noWrap/>
            <w:vAlign w:val="bottom"/>
            <w:hideMark/>
          </w:tcPr>
          <w:p w14:paraId="65198B5E" w14:textId="33392B67" w:rsidR="00D230D1" w:rsidRDefault="00D230D1" w:rsidP="00D230D1">
            <w:pPr>
              <w:pStyle w:val="P68B1DB1-Normal91"/>
            </w:pPr>
            <w:r w:rsidRPr="00F22F68">
              <w:t>EURO 1</w:t>
            </w:r>
          </w:p>
        </w:tc>
      </w:tr>
      <w:tr w:rsidR="00D230D1" w14:paraId="51532B57" w14:textId="77777777">
        <w:trPr>
          <w:trHeight w:val="300"/>
        </w:trPr>
        <w:tc>
          <w:tcPr>
            <w:tcW w:w="9072" w:type="dxa"/>
            <w:tcBorders>
              <w:top w:val="nil"/>
              <w:left w:val="nil"/>
              <w:bottom w:val="nil"/>
              <w:right w:val="nil"/>
            </w:tcBorders>
            <w:noWrap/>
            <w:vAlign w:val="bottom"/>
            <w:hideMark/>
          </w:tcPr>
          <w:p w14:paraId="6784162A" w14:textId="3342E94F" w:rsidR="00D230D1" w:rsidRDefault="00D230D1" w:rsidP="00D230D1">
            <w:pPr>
              <w:pStyle w:val="P68B1DB1-Normal91"/>
            </w:pPr>
            <w:r w:rsidRPr="00F22F68">
              <w:t>Euroclear Bank</w:t>
            </w:r>
          </w:p>
        </w:tc>
      </w:tr>
      <w:tr w:rsidR="00D230D1" w14:paraId="1FED107A" w14:textId="77777777">
        <w:trPr>
          <w:trHeight w:val="300"/>
        </w:trPr>
        <w:tc>
          <w:tcPr>
            <w:tcW w:w="9072" w:type="dxa"/>
            <w:tcBorders>
              <w:top w:val="nil"/>
              <w:left w:val="nil"/>
              <w:bottom w:val="nil"/>
              <w:right w:val="nil"/>
            </w:tcBorders>
            <w:noWrap/>
            <w:vAlign w:val="bottom"/>
            <w:hideMark/>
          </w:tcPr>
          <w:p w14:paraId="7EB27986" w14:textId="28FD3BD7" w:rsidR="00D230D1" w:rsidRDefault="00D230D1" w:rsidP="00D230D1">
            <w:pPr>
              <w:pStyle w:val="P68B1DB1-Normal91"/>
            </w:pPr>
            <w:r w:rsidRPr="00F22F68">
              <w:t>Euroclear Belgium (ESES)</w:t>
            </w:r>
          </w:p>
        </w:tc>
      </w:tr>
      <w:tr w:rsidR="00D230D1" w14:paraId="19126F92" w14:textId="77777777">
        <w:trPr>
          <w:trHeight w:val="300"/>
        </w:trPr>
        <w:tc>
          <w:tcPr>
            <w:tcW w:w="9072" w:type="dxa"/>
            <w:tcBorders>
              <w:top w:val="nil"/>
              <w:left w:val="nil"/>
              <w:bottom w:val="nil"/>
              <w:right w:val="nil"/>
            </w:tcBorders>
            <w:noWrap/>
            <w:vAlign w:val="bottom"/>
            <w:hideMark/>
          </w:tcPr>
          <w:p w14:paraId="649DE977" w14:textId="15ED6D2B" w:rsidR="00D230D1" w:rsidRDefault="00D230D1" w:rsidP="00D230D1">
            <w:pPr>
              <w:pStyle w:val="P68B1DB1-Normal91"/>
            </w:pPr>
            <w:r w:rsidRPr="00F22F68">
              <w:t>Euroclear Finland</w:t>
            </w:r>
          </w:p>
        </w:tc>
      </w:tr>
      <w:tr w:rsidR="00D230D1" w14:paraId="37A9A6E1" w14:textId="77777777">
        <w:trPr>
          <w:trHeight w:val="300"/>
        </w:trPr>
        <w:tc>
          <w:tcPr>
            <w:tcW w:w="9072" w:type="dxa"/>
            <w:tcBorders>
              <w:top w:val="nil"/>
              <w:left w:val="nil"/>
              <w:bottom w:val="nil"/>
              <w:right w:val="nil"/>
            </w:tcBorders>
            <w:noWrap/>
            <w:vAlign w:val="bottom"/>
            <w:hideMark/>
          </w:tcPr>
          <w:p w14:paraId="734EF8BF" w14:textId="5081B7BA" w:rsidR="00D230D1" w:rsidRDefault="00D230D1" w:rsidP="00D230D1">
            <w:pPr>
              <w:pStyle w:val="P68B1DB1-Normal91"/>
            </w:pPr>
            <w:r w:rsidRPr="00F22F68">
              <w:t>Euroclear France (ESES)</w:t>
            </w:r>
          </w:p>
        </w:tc>
      </w:tr>
      <w:tr w:rsidR="00D230D1" w14:paraId="33F2EFD1" w14:textId="77777777">
        <w:trPr>
          <w:trHeight w:val="300"/>
        </w:trPr>
        <w:tc>
          <w:tcPr>
            <w:tcW w:w="9072" w:type="dxa"/>
            <w:tcBorders>
              <w:top w:val="nil"/>
              <w:left w:val="nil"/>
              <w:bottom w:val="nil"/>
              <w:right w:val="nil"/>
            </w:tcBorders>
            <w:noWrap/>
            <w:vAlign w:val="bottom"/>
            <w:hideMark/>
          </w:tcPr>
          <w:p w14:paraId="0273EA5F" w14:textId="1B7241C0" w:rsidR="00D230D1" w:rsidRDefault="00D230D1" w:rsidP="00D230D1">
            <w:pPr>
              <w:pStyle w:val="P68B1DB1-Normal91"/>
            </w:pPr>
            <w:r w:rsidRPr="00F22F68">
              <w:t>Euroclear Netherlands (ESES)</w:t>
            </w:r>
          </w:p>
        </w:tc>
      </w:tr>
      <w:tr w:rsidR="00D230D1" w14:paraId="7B056DB0" w14:textId="77777777">
        <w:trPr>
          <w:trHeight w:val="300"/>
        </w:trPr>
        <w:tc>
          <w:tcPr>
            <w:tcW w:w="9072" w:type="dxa"/>
            <w:tcBorders>
              <w:top w:val="nil"/>
              <w:left w:val="nil"/>
              <w:bottom w:val="nil"/>
              <w:right w:val="nil"/>
            </w:tcBorders>
            <w:noWrap/>
            <w:vAlign w:val="bottom"/>
            <w:hideMark/>
          </w:tcPr>
          <w:p w14:paraId="09E6EC57" w14:textId="09511ACD" w:rsidR="00D230D1" w:rsidRDefault="00D230D1" w:rsidP="00D230D1">
            <w:pPr>
              <w:pStyle w:val="P68B1DB1-Normal91"/>
            </w:pPr>
            <w:proofErr w:type="spellStart"/>
            <w:r w:rsidRPr="00EB7BE1">
              <w:rPr>
                <w:lang w:val="de-DE"/>
              </w:rPr>
              <w:t>Euroclear</w:t>
            </w:r>
            <w:proofErr w:type="spellEnd"/>
            <w:r w:rsidRPr="00EB7BE1">
              <w:rPr>
                <w:lang w:val="de-DE"/>
              </w:rPr>
              <w:t xml:space="preserve"> </w:t>
            </w:r>
            <w:proofErr w:type="spellStart"/>
            <w:r w:rsidRPr="00EB7BE1">
              <w:rPr>
                <w:lang w:val="de-DE"/>
              </w:rPr>
              <w:t>Sweden</w:t>
            </w:r>
            <w:proofErr w:type="spellEnd"/>
            <w:r w:rsidRPr="00EB7BE1">
              <w:rPr>
                <w:lang w:val="de-DE"/>
              </w:rPr>
              <w:t xml:space="preserve"> AB (VPC </w:t>
            </w:r>
            <w:proofErr w:type="spellStart"/>
            <w:r w:rsidRPr="00EB7BE1">
              <w:rPr>
                <w:lang w:val="de-DE"/>
              </w:rPr>
              <w:t>systemet</w:t>
            </w:r>
            <w:proofErr w:type="spellEnd"/>
            <w:r w:rsidRPr="00EB7BE1">
              <w:rPr>
                <w:lang w:val="de-DE"/>
              </w:rPr>
              <w:t>)</w:t>
            </w:r>
          </w:p>
        </w:tc>
      </w:tr>
      <w:tr w:rsidR="00D230D1" w14:paraId="3D614022" w14:textId="77777777">
        <w:trPr>
          <w:trHeight w:val="300"/>
        </w:trPr>
        <w:tc>
          <w:tcPr>
            <w:tcW w:w="9072" w:type="dxa"/>
            <w:tcBorders>
              <w:top w:val="nil"/>
              <w:left w:val="nil"/>
              <w:bottom w:val="nil"/>
              <w:right w:val="nil"/>
            </w:tcBorders>
            <w:noWrap/>
            <w:vAlign w:val="bottom"/>
            <w:hideMark/>
          </w:tcPr>
          <w:p w14:paraId="1A4DFFF6" w14:textId="077DD8DB" w:rsidR="00D230D1" w:rsidRDefault="00D230D1" w:rsidP="00D230D1">
            <w:pPr>
              <w:pStyle w:val="P68B1DB1-Normal91"/>
            </w:pPr>
            <w:r w:rsidRPr="00F22F68">
              <w:t>Euroclear UK &amp; Ireland Limited (EUI) (CREST)</w:t>
            </w:r>
          </w:p>
        </w:tc>
      </w:tr>
      <w:tr w:rsidR="00D230D1" w14:paraId="55B08F89" w14:textId="77777777">
        <w:trPr>
          <w:trHeight w:val="300"/>
        </w:trPr>
        <w:tc>
          <w:tcPr>
            <w:tcW w:w="9072" w:type="dxa"/>
            <w:tcBorders>
              <w:top w:val="nil"/>
              <w:left w:val="nil"/>
              <w:bottom w:val="nil"/>
              <w:right w:val="nil"/>
            </w:tcBorders>
            <w:noWrap/>
            <w:vAlign w:val="bottom"/>
            <w:hideMark/>
          </w:tcPr>
          <w:p w14:paraId="56E621EE" w14:textId="01F50DBF" w:rsidR="00D230D1" w:rsidRDefault="00D230D1" w:rsidP="00D230D1">
            <w:pPr>
              <w:pStyle w:val="P68B1DB1-Normal91"/>
            </w:pPr>
            <w:r w:rsidRPr="00F22F68">
              <w:t>Euronext Amsterdam Cash Market</w:t>
            </w:r>
          </w:p>
        </w:tc>
      </w:tr>
      <w:tr w:rsidR="00D230D1" w14:paraId="08BE70B5" w14:textId="77777777">
        <w:trPr>
          <w:trHeight w:val="300"/>
        </w:trPr>
        <w:tc>
          <w:tcPr>
            <w:tcW w:w="9072" w:type="dxa"/>
            <w:tcBorders>
              <w:top w:val="nil"/>
              <w:left w:val="nil"/>
              <w:bottom w:val="nil"/>
              <w:right w:val="nil"/>
            </w:tcBorders>
            <w:noWrap/>
            <w:vAlign w:val="bottom"/>
            <w:hideMark/>
          </w:tcPr>
          <w:p w14:paraId="7EEC9CDF" w14:textId="77777777" w:rsidR="00D230D1" w:rsidRDefault="00D230D1" w:rsidP="00D230D1">
            <w:pPr>
              <w:rPr>
                <w:rFonts w:eastAsia="Times New Roman" w:cs="Calibri"/>
                <w:color w:val="000000"/>
                <w:sz w:val="18"/>
                <w:szCs w:val="18"/>
              </w:rPr>
            </w:pPr>
            <w:r w:rsidRPr="00F22F68">
              <w:rPr>
                <w:rFonts w:eastAsia="Times New Roman" w:cs="Calibri"/>
                <w:color w:val="000000"/>
                <w:sz w:val="18"/>
                <w:szCs w:val="18"/>
              </w:rPr>
              <w:t>Euronext Brussels SA</w:t>
            </w:r>
          </w:p>
          <w:p w14:paraId="3E95828F" w14:textId="125395A2" w:rsidR="00D230D1" w:rsidRDefault="00D230D1" w:rsidP="00D230D1">
            <w:pPr>
              <w:rPr>
                <w:rFonts w:eastAsia="Times New Roman" w:cs="Calibri"/>
                <w:color w:val="000000"/>
                <w:sz w:val="18"/>
                <w:szCs w:val="18"/>
              </w:rPr>
            </w:pPr>
            <w:r w:rsidRPr="00CD44DF">
              <w:rPr>
                <w:bCs/>
              </w:rPr>
              <w:t>Euronext Clearing</w:t>
            </w:r>
            <w:r>
              <w:rPr>
                <w:rStyle w:val="FootnoteReference"/>
                <w:bCs/>
                <w:sz w:val="18"/>
              </w:rPr>
              <w:footnoteReference w:id="36"/>
            </w:r>
          </w:p>
        </w:tc>
      </w:tr>
      <w:tr w:rsidR="00D230D1" w14:paraId="6A3A4767" w14:textId="77777777">
        <w:trPr>
          <w:trHeight w:val="300"/>
        </w:trPr>
        <w:tc>
          <w:tcPr>
            <w:tcW w:w="9072" w:type="dxa"/>
            <w:tcBorders>
              <w:top w:val="nil"/>
              <w:left w:val="nil"/>
              <w:bottom w:val="nil"/>
              <w:right w:val="nil"/>
            </w:tcBorders>
            <w:noWrap/>
            <w:vAlign w:val="bottom"/>
            <w:hideMark/>
          </w:tcPr>
          <w:p w14:paraId="0CF6918B" w14:textId="2BA016E8" w:rsidR="00D230D1" w:rsidRDefault="00D230D1" w:rsidP="00D230D1">
            <w:pPr>
              <w:pStyle w:val="P68B1DB1-Normal91"/>
            </w:pPr>
            <w:r w:rsidRPr="00F22F68">
              <w:t>Euronext Lisbon SA</w:t>
            </w:r>
          </w:p>
        </w:tc>
      </w:tr>
      <w:tr w:rsidR="00D230D1" w14:paraId="1114BA7C" w14:textId="77777777">
        <w:trPr>
          <w:trHeight w:val="300"/>
        </w:trPr>
        <w:tc>
          <w:tcPr>
            <w:tcW w:w="9072" w:type="dxa"/>
            <w:tcBorders>
              <w:top w:val="nil"/>
              <w:left w:val="nil"/>
              <w:bottom w:val="nil"/>
              <w:right w:val="nil"/>
            </w:tcBorders>
            <w:noWrap/>
            <w:vAlign w:val="bottom"/>
            <w:hideMark/>
          </w:tcPr>
          <w:p w14:paraId="58D22650" w14:textId="379B9ED2" w:rsidR="00D230D1" w:rsidRDefault="00D230D1" w:rsidP="00D230D1">
            <w:pPr>
              <w:pStyle w:val="P68B1DB1-Normal91"/>
            </w:pPr>
            <w:r w:rsidRPr="00F22F68">
              <w:t>European CCP NV</w:t>
            </w:r>
          </w:p>
        </w:tc>
      </w:tr>
      <w:tr w:rsidR="00D230D1" w14:paraId="1758B1C2" w14:textId="77777777">
        <w:trPr>
          <w:trHeight w:val="300"/>
        </w:trPr>
        <w:tc>
          <w:tcPr>
            <w:tcW w:w="9072" w:type="dxa"/>
            <w:tcBorders>
              <w:top w:val="nil"/>
              <w:left w:val="nil"/>
              <w:bottom w:val="nil"/>
              <w:right w:val="nil"/>
            </w:tcBorders>
            <w:noWrap/>
            <w:vAlign w:val="bottom"/>
            <w:hideMark/>
          </w:tcPr>
          <w:p w14:paraId="6342DE58" w14:textId="68289E47" w:rsidR="00D230D1" w:rsidRDefault="00D230D1" w:rsidP="00D230D1">
            <w:pPr>
              <w:pStyle w:val="P68B1DB1-Normal91"/>
            </w:pPr>
            <w:r w:rsidRPr="00F22F68">
              <w:t>European Commodity Clearing (ECC)</w:t>
            </w:r>
          </w:p>
        </w:tc>
      </w:tr>
      <w:tr w:rsidR="00D230D1" w14:paraId="0DDA2A90" w14:textId="77777777">
        <w:trPr>
          <w:trHeight w:val="300"/>
        </w:trPr>
        <w:tc>
          <w:tcPr>
            <w:tcW w:w="9072" w:type="dxa"/>
            <w:tcBorders>
              <w:top w:val="nil"/>
              <w:left w:val="nil"/>
              <w:bottom w:val="nil"/>
              <w:right w:val="nil"/>
            </w:tcBorders>
            <w:noWrap/>
            <w:vAlign w:val="bottom"/>
            <w:hideMark/>
          </w:tcPr>
          <w:p w14:paraId="40A82682" w14:textId="794CE846" w:rsidR="00D230D1" w:rsidRDefault="00D230D1" w:rsidP="00D230D1">
            <w:pPr>
              <w:pStyle w:val="P68B1DB1-Normal91"/>
            </w:pPr>
            <w:r w:rsidRPr="00F22F68">
              <w:t>Express Elixir</w:t>
            </w:r>
          </w:p>
        </w:tc>
      </w:tr>
      <w:tr w:rsidR="00D230D1" w14:paraId="542DFF49" w14:textId="77777777">
        <w:trPr>
          <w:trHeight w:val="300"/>
        </w:trPr>
        <w:tc>
          <w:tcPr>
            <w:tcW w:w="9072" w:type="dxa"/>
            <w:tcBorders>
              <w:top w:val="nil"/>
              <w:left w:val="nil"/>
              <w:bottom w:val="nil"/>
              <w:right w:val="nil"/>
            </w:tcBorders>
            <w:noWrap/>
            <w:vAlign w:val="bottom"/>
            <w:hideMark/>
          </w:tcPr>
          <w:p w14:paraId="059F87EB" w14:textId="1677C782" w:rsidR="00D230D1" w:rsidRDefault="00D230D1" w:rsidP="00D230D1">
            <w:pPr>
              <w:pStyle w:val="P68B1DB1-Normal91"/>
            </w:pPr>
            <w:r w:rsidRPr="00F22F68">
              <w:t>Faster Payments Service (FPS)</w:t>
            </w:r>
          </w:p>
        </w:tc>
      </w:tr>
      <w:tr w:rsidR="00D230D1" w14:paraId="4CFAE77A" w14:textId="77777777">
        <w:trPr>
          <w:trHeight w:val="300"/>
        </w:trPr>
        <w:tc>
          <w:tcPr>
            <w:tcW w:w="9072" w:type="dxa"/>
            <w:tcBorders>
              <w:top w:val="nil"/>
              <w:left w:val="nil"/>
              <w:bottom w:val="nil"/>
              <w:right w:val="nil"/>
            </w:tcBorders>
            <w:noWrap/>
            <w:vAlign w:val="bottom"/>
            <w:hideMark/>
          </w:tcPr>
          <w:p w14:paraId="03A78736" w14:textId="0C2D864B" w:rsidR="00D230D1" w:rsidRDefault="00D230D1" w:rsidP="00D230D1">
            <w:pPr>
              <w:pStyle w:val="P68B1DB1-Normal91"/>
            </w:pPr>
            <w:r w:rsidRPr="00F22F68">
              <w:t>FedACH Services</w:t>
            </w:r>
          </w:p>
        </w:tc>
      </w:tr>
      <w:tr w:rsidR="00D230D1" w14:paraId="1A8E545B" w14:textId="77777777">
        <w:trPr>
          <w:trHeight w:val="300"/>
        </w:trPr>
        <w:tc>
          <w:tcPr>
            <w:tcW w:w="9072" w:type="dxa"/>
            <w:tcBorders>
              <w:top w:val="nil"/>
              <w:left w:val="nil"/>
              <w:bottom w:val="nil"/>
              <w:right w:val="nil"/>
            </w:tcBorders>
            <w:noWrap/>
            <w:vAlign w:val="bottom"/>
            <w:hideMark/>
          </w:tcPr>
          <w:p w14:paraId="508F0A63" w14:textId="4985AA56" w:rsidR="00D230D1" w:rsidRDefault="00D230D1" w:rsidP="00D230D1">
            <w:pPr>
              <w:pStyle w:val="P68B1DB1-Normal91"/>
            </w:pPr>
            <w:r w:rsidRPr="00F22F68">
              <w:t>Fedwire Funds Service</w:t>
            </w:r>
          </w:p>
        </w:tc>
      </w:tr>
      <w:tr w:rsidR="00D230D1" w14:paraId="7603EDE5" w14:textId="77777777">
        <w:trPr>
          <w:trHeight w:val="300"/>
        </w:trPr>
        <w:tc>
          <w:tcPr>
            <w:tcW w:w="9072" w:type="dxa"/>
            <w:tcBorders>
              <w:top w:val="nil"/>
              <w:left w:val="nil"/>
              <w:bottom w:val="nil"/>
              <w:right w:val="nil"/>
            </w:tcBorders>
            <w:noWrap/>
            <w:vAlign w:val="bottom"/>
            <w:hideMark/>
          </w:tcPr>
          <w:p w14:paraId="6146D91C" w14:textId="27E47CD6" w:rsidR="00D230D1" w:rsidRDefault="00D230D1" w:rsidP="00D230D1">
            <w:pPr>
              <w:pStyle w:val="P68B1DB1-Normal91"/>
            </w:pPr>
            <w:r w:rsidRPr="00F22F68">
              <w:t>Fedwire Securities Services</w:t>
            </w:r>
          </w:p>
        </w:tc>
      </w:tr>
      <w:tr w:rsidR="00D230D1" w14:paraId="638B9492" w14:textId="77777777">
        <w:trPr>
          <w:trHeight w:val="300"/>
        </w:trPr>
        <w:tc>
          <w:tcPr>
            <w:tcW w:w="9072" w:type="dxa"/>
            <w:tcBorders>
              <w:top w:val="nil"/>
              <w:left w:val="nil"/>
              <w:bottom w:val="nil"/>
              <w:right w:val="nil"/>
            </w:tcBorders>
            <w:noWrap/>
            <w:vAlign w:val="bottom"/>
            <w:hideMark/>
          </w:tcPr>
          <w:p w14:paraId="0FCA6B85" w14:textId="0395DE2F" w:rsidR="00D230D1" w:rsidRDefault="00D230D1" w:rsidP="00D230D1">
            <w:pPr>
              <w:pStyle w:val="P68B1DB1-Normal91"/>
            </w:pPr>
            <w:r w:rsidRPr="00F22F68">
              <w:t>Fixed Income Clearing Corp (FICC)</w:t>
            </w:r>
          </w:p>
        </w:tc>
      </w:tr>
      <w:tr w:rsidR="00D230D1" w14:paraId="4384BE65" w14:textId="77777777">
        <w:trPr>
          <w:trHeight w:val="300"/>
        </w:trPr>
        <w:tc>
          <w:tcPr>
            <w:tcW w:w="9072" w:type="dxa"/>
            <w:tcBorders>
              <w:top w:val="nil"/>
              <w:left w:val="nil"/>
              <w:bottom w:val="nil"/>
              <w:right w:val="nil"/>
            </w:tcBorders>
            <w:noWrap/>
            <w:vAlign w:val="bottom"/>
            <w:hideMark/>
          </w:tcPr>
          <w:p w14:paraId="7CCF9B46" w14:textId="27796CA5" w:rsidR="00D230D1" w:rsidRDefault="00D230D1" w:rsidP="00D230D1">
            <w:pPr>
              <w:pStyle w:val="P68B1DB1-Normal91"/>
            </w:pPr>
            <w:r w:rsidRPr="00A125B6">
              <w:t>Gielda Papierow Wartosciowych w Warszawie (Warsaw Stock Exchange)</w:t>
            </w:r>
          </w:p>
        </w:tc>
      </w:tr>
      <w:tr w:rsidR="00D230D1" w14:paraId="62CB1AB6" w14:textId="77777777">
        <w:trPr>
          <w:trHeight w:val="300"/>
        </w:trPr>
        <w:tc>
          <w:tcPr>
            <w:tcW w:w="9072" w:type="dxa"/>
            <w:tcBorders>
              <w:top w:val="nil"/>
              <w:left w:val="nil"/>
              <w:bottom w:val="nil"/>
              <w:right w:val="nil"/>
            </w:tcBorders>
            <w:noWrap/>
            <w:vAlign w:val="bottom"/>
            <w:hideMark/>
          </w:tcPr>
          <w:p w14:paraId="56890D2B" w14:textId="7849B8ED" w:rsidR="00D230D1" w:rsidRDefault="00D230D1" w:rsidP="00D230D1">
            <w:pPr>
              <w:pStyle w:val="P68B1DB1-Normal91"/>
            </w:pPr>
            <w:r w:rsidRPr="00F22F68">
              <w:t>Government Securities Depository (GSD)</w:t>
            </w:r>
          </w:p>
        </w:tc>
      </w:tr>
      <w:tr w:rsidR="00D230D1" w14:paraId="5B41050C" w14:textId="77777777">
        <w:trPr>
          <w:trHeight w:val="300"/>
        </w:trPr>
        <w:tc>
          <w:tcPr>
            <w:tcW w:w="9072" w:type="dxa"/>
            <w:tcBorders>
              <w:top w:val="nil"/>
              <w:left w:val="nil"/>
              <w:bottom w:val="nil"/>
              <w:right w:val="nil"/>
            </w:tcBorders>
            <w:noWrap/>
            <w:vAlign w:val="bottom"/>
            <w:hideMark/>
          </w:tcPr>
          <w:p w14:paraId="24CCAE22" w14:textId="3F4844C6" w:rsidR="00D230D1" w:rsidRDefault="00D230D1" w:rsidP="00D230D1">
            <w:pPr>
              <w:pStyle w:val="P68B1DB1-Normal91"/>
            </w:pPr>
            <w:r w:rsidRPr="00F22F68">
              <w:t>HSVP (RTGS)</w:t>
            </w:r>
          </w:p>
        </w:tc>
      </w:tr>
      <w:tr w:rsidR="00D230D1" w14:paraId="013849A1" w14:textId="77777777">
        <w:trPr>
          <w:trHeight w:val="300"/>
        </w:trPr>
        <w:tc>
          <w:tcPr>
            <w:tcW w:w="9072" w:type="dxa"/>
            <w:tcBorders>
              <w:top w:val="nil"/>
              <w:left w:val="nil"/>
              <w:bottom w:val="nil"/>
              <w:right w:val="nil"/>
            </w:tcBorders>
            <w:noWrap/>
            <w:vAlign w:val="bottom"/>
            <w:hideMark/>
          </w:tcPr>
          <w:p w14:paraId="686B8E20" w14:textId="52833054" w:rsidR="00D230D1" w:rsidRDefault="00D230D1" w:rsidP="00D230D1">
            <w:pPr>
              <w:pStyle w:val="P68B1DB1-Normal91"/>
            </w:pPr>
            <w:r w:rsidRPr="00F22F68">
              <w:t>Iberclear</w:t>
            </w:r>
          </w:p>
        </w:tc>
      </w:tr>
      <w:tr w:rsidR="00D230D1" w14:paraId="69A745A4" w14:textId="77777777">
        <w:trPr>
          <w:trHeight w:val="300"/>
        </w:trPr>
        <w:tc>
          <w:tcPr>
            <w:tcW w:w="9072" w:type="dxa"/>
            <w:tcBorders>
              <w:top w:val="nil"/>
              <w:left w:val="nil"/>
              <w:bottom w:val="nil"/>
              <w:right w:val="nil"/>
            </w:tcBorders>
            <w:noWrap/>
            <w:vAlign w:val="bottom"/>
            <w:hideMark/>
          </w:tcPr>
          <w:p w14:paraId="676D5D75" w14:textId="0DE1DC89" w:rsidR="00D230D1" w:rsidRDefault="00D230D1" w:rsidP="00D230D1">
            <w:pPr>
              <w:pStyle w:val="P68B1DB1-Normal91"/>
            </w:pPr>
            <w:r w:rsidRPr="00F22F68">
              <w:t>ICE Clear</w:t>
            </w:r>
          </w:p>
        </w:tc>
      </w:tr>
      <w:tr w:rsidR="00D230D1" w14:paraId="780088CD" w14:textId="77777777">
        <w:trPr>
          <w:trHeight w:val="300"/>
        </w:trPr>
        <w:tc>
          <w:tcPr>
            <w:tcW w:w="9072" w:type="dxa"/>
            <w:tcBorders>
              <w:top w:val="nil"/>
              <w:left w:val="nil"/>
              <w:bottom w:val="nil"/>
              <w:right w:val="nil"/>
            </w:tcBorders>
            <w:noWrap/>
            <w:vAlign w:val="bottom"/>
            <w:hideMark/>
          </w:tcPr>
          <w:p w14:paraId="51279EB6" w14:textId="2CD63B54" w:rsidR="00D230D1" w:rsidRDefault="00D230D1" w:rsidP="00D230D1">
            <w:pPr>
              <w:pStyle w:val="P68B1DB1-Normal91"/>
            </w:pPr>
            <w:r w:rsidRPr="00F22F68">
              <w:lastRenderedPageBreak/>
              <w:t>ICE Clear Europe Limited</w:t>
            </w:r>
          </w:p>
        </w:tc>
      </w:tr>
      <w:tr w:rsidR="00D230D1" w14:paraId="0A625316" w14:textId="77777777">
        <w:trPr>
          <w:trHeight w:val="300"/>
        </w:trPr>
        <w:tc>
          <w:tcPr>
            <w:tcW w:w="9072" w:type="dxa"/>
            <w:tcBorders>
              <w:top w:val="nil"/>
              <w:left w:val="nil"/>
              <w:bottom w:val="nil"/>
              <w:right w:val="nil"/>
            </w:tcBorders>
            <w:noWrap/>
            <w:vAlign w:val="bottom"/>
            <w:hideMark/>
          </w:tcPr>
          <w:p w14:paraId="478D14C3" w14:textId="31AECAE7" w:rsidR="00D230D1" w:rsidRDefault="00D230D1" w:rsidP="00D230D1">
            <w:pPr>
              <w:pStyle w:val="P68B1DB1-Normal91"/>
            </w:pPr>
            <w:r w:rsidRPr="00F22F68">
              <w:t>ICE Clear Netherlands</w:t>
            </w:r>
          </w:p>
        </w:tc>
      </w:tr>
      <w:tr w:rsidR="00D230D1" w14:paraId="7BA736BC" w14:textId="77777777">
        <w:trPr>
          <w:trHeight w:val="300"/>
        </w:trPr>
        <w:tc>
          <w:tcPr>
            <w:tcW w:w="9072" w:type="dxa"/>
            <w:tcBorders>
              <w:top w:val="nil"/>
              <w:left w:val="nil"/>
              <w:bottom w:val="nil"/>
              <w:right w:val="nil"/>
            </w:tcBorders>
            <w:noWrap/>
            <w:vAlign w:val="bottom"/>
            <w:hideMark/>
          </w:tcPr>
          <w:p w14:paraId="791A2916" w14:textId="19AABB0A" w:rsidR="00D230D1" w:rsidRDefault="00D230D1" w:rsidP="00D230D1">
            <w:pPr>
              <w:pStyle w:val="P68B1DB1-Normal91"/>
            </w:pPr>
            <w:r w:rsidRPr="00F22F68">
              <w:t>ICE Trade Vault Europe Limited (ICE TVEL)</w:t>
            </w:r>
          </w:p>
        </w:tc>
      </w:tr>
      <w:tr w:rsidR="00D230D1" w14:paraId="6A1792FC" w14:textId="77777777">
        <w:trPr>
          <w:trHeight w:val="300"/>
        </w:trPr>
        <w:tc>
          <w:tcPr>
            <w:tcW w:w="9072" w:type="dxa"/>
            <w:tcBorders>
              <w:top w:val="nil"/>
              <w:left w:val="nil"/>
              <w:bottom w:val="nil"/>
              <w:right w:val="nil"/>
            </w:tcBorders>
            <w:noWrap/>
            <w:vAlign w:val="bottom"/>
            <w:hideMark/>
          </w:tcPr>
          <w:p w14:paraId="58EBD357" w14:textId="45D62E2C" w:rsidR="00D230D1" w:rsidRDefault="00D230D1" w:rsidP="00D230D1">
            <w:pPr>
              <w:pStyle w:val="P68B1DB1-Normal91"/>
            </w:pPr>
            <w:r w:rsidRPr="00F22F68">
              <w:t>ID2S/RSSS</w:t>
            </w:r>
          </w:p>
        </w:tc>
      </w:tr>
      <w:tr w:rsidR="00D230D1" w14:paraId="23EF91EB" w14:textId="77777777">
        <w:trPr>
          <w:trHeight w:val="300"/>
        </w:trPr>
        <w:tc>
          <w:tcPr>
            <w:tcW w:w="9072" w:type="dxa"/>
            <w:tcBorders>
              <w:top w:val="nil"/>
              <w:left w:val="nil"/>
              <w:bottom w:val="nil"/>
              <w:right w:val="nil"/>
            </w:tcBorders>
            <w:noWrap/>
            <w:vAlign w:val="bottom"/>
            <w:hideMark/>
          </w:tcPr>
          <w:p w14:paraId="256EBA58" w14:textId="44B62906" w:rsidR="00D230D1" w:rsidRDefault="00D230D1" w:rsidP="00D230D1">
            <w:pPr>
              <w:pStyle w:val="P68B1DB1-Normal91"/>
            </w:pPr>
            <w:r w:rsidRPr="00F22F68">
              <w:t>Interbank Clearing System (ICS)</w:t>
            </w:r>
          </w:p>
        </w:tc>
      </w:tr>
      <w:tr w:rsidR="00D230D1" w14:paraId="61201BD5" w14:textId="77777777">
        <w:trPr>
          <w:trHeight w:val="300"/>
        </w:trPr>
        <w:tc>
          <w:tcPr>
            <w:tcW w:w="9072" w:type="dxa"/>
            <w:tcBorders>
              <w:top w:val="nil"/>
              <w:left w:val="nil"/>
              <w:bottom w:val="nil"/>
              <w:right w:val="nil"/>
            </w:tcBorders>
            <w:noWrap/>
            <w:vAlign w:val="bottom"/>
            <w:hideMark/>
          </w:tcPr>
          <w:p w14:paraId="38BDB6F1" w14:textId="1B509942" w:rsidR="00D230D1" w:rsidRDefault="00D230D1" w:rsidP="00D230D1">
            <w:pPr>
              <w:pStyle w:val="P68B1DB1-Normal91"/>
            </w:pPr>
            <w:r w:rsidRPr="00F22F68">
              <w:t>INTERBOLSA</w:t>
            </w:r>
          </w:p>
        </w:tc>
      </w:tr>
      <w:tr w:rsidR="00D230D1" w14:paraId="3D13BEFD" w14:textId="77777777">
        <w:trPr>
          <w:trHeight w:val="300"/>
        </w:trPr>
        <w:tc>
          <w:tcPr>
            <w:tcW w:w="9072" w:type="dxa"/>
            <w:tcBorders>
              <w:top w:val="nil"/>
              <w:left w:val="nil"/>
              <w:bottom w:val="nil"/>
              <w:right w:val="nil"/>
            </w:tcBorders>
            <w:noWrap/>
            <w:vAlign w:val="bottom"/>
            <w:hideMark/>
          </w:tcPr>
          <w:p w14:paraId="27D8A3E1" w14:textId="7E1436CA" w:rsidR="00D230D1" w:rsidRDefault="00D230D1" w:rsidP="00D230D1">
            <w:pPr>
              <w:pStyle w:val="P68B1DB1-Normal91"/>
            </w:pPr>
            <w:r w:rsidRPr="00F22F68">
              <w:t>IntradagClearing</w:t>
            </w:r>
          </w:p>
        </w:tc>
      </w:tr>
      <w:tr w:rsidR="00D230D1" w14:paraId="4CA95B12" w14:textId="77777777">
        <w:trPr>
          <w:trHeight w:val="300"/>
        </w:trPr>
        <w:tc>
          <w:tcPr>
            <w:tcW w:w="9072" w:type="dxa"/>
            <w:tcBorders>
              <w:top w:val="nil"/>
              <w:left w:val="nil"/>
              <w:bottom w:val="nil"/>
              <w:right w:val="nil"/>
            </w:tcBorders>
            <w:noWrap/>
            <w:vAlign w:val="bottom"/>
            <w:hideMark/>
          </w:tcPr>
          <w:p w14:paraId="3992B7FE" w14:textId="6886DDF7" w:rsidR="00D230D1" w:rsidRDefault="00D230D1" w:rsidP="00D230D1">
            <w:pPr>
              <w:pStyle w:val="P68B1DB1-Normal91"/>
            </w:pPr>
            <w:r w:rsidRPr="00F22F68">
              <w:t>IRGiT Izba Rozliczeniowa Giełd Towarowych S.A (Commodity Clearing House</w:t>
            </w:r>
          </w:p>
        </w:tc>
      </w:tr>
      <w:tr w:rsidR="00D230D1" w14:paraId="5F42EC4B" w14:textId="77777777">
        <w:trPr>
          <w:trHeight w:val="300"/>
        </w:trPr>
        <w:tc>
          <w:tcPr>
            <w:tcW w:w="9072" w:type="dxa"/>
            <w:tcBorders>
              <w:top w:val="nil"/>
              <w:left w:val="nil"/>
              <w:bottom w:val="nil"/>
              <w:right w:val="nil"/>
            </w:tcBorders>
            <w:noWrap/>
            <w:vAlign w:val="bottom"/>
            <w:hideMark/>
          </w:tcPr>
          <w:p w14:paraId="1817AC8A" w14:textId="18FE2CDE" w:rsidR="00D230D1" w:rsidRDefault="00D230D1" w:rsidP="00D230D1">
            <w:pPr>
              <w:pStyle w:val="P68B1DB1-Normal91"/>
            </w:pPr>
            <w:r w:rsidRPr="00F22F68">
              <w:t>Irish Paper Clearing Company (IPCC)</w:t>
            </w:r>
          </w:p>
        </w:tc>
      </w:tr>
      <w:tr w:rsidR="00D230D1" w14:paraId="503DCAED" w14:textId="77777777">
        <w:trPr>
          <w:trHeight w:val="300"/>
        </w:trPr>
        <w:tc>
          <w:tcPr>
            <w:tcW w:w="9072" w:type="dxa"/>
            <w:tcBorders>
              <w:top w:val="nil"/>
              <w:left w:val="nil"/>
              <w:bottom w:val="nil"/>
              <w:right w:val="nil"/>
            </w:tcBorders>
            <w:noWrap/>
            <w:vAlign w:val="bottom"/>
            <w:hideMark/>
          </w:tcPr>
          <w:p w14:paraId="256FE1FF" w14:textId="6A0BF5D8" w:rsidR="00D230D1" w:rsidRDefault="00D230D1" w:rsidP="00D230D1">
            <w:pPr>
              <w:pStyle w:val="P68B1DB1-Normal91"/>
            </w:pPr>
            <w:r w:rsidRPr="00F22F68">
              <w:t>Irish Stock Exchange Ltd</w:t>
            </w:r>
          </w:p>
        </w:tc>
      </w:tr>
      <w:tr w:rsidR="00D230D1" w14:paraId="01B9E362" w14:textId="77777777">
        <w:trPr>
          <w:trHeight w:val="300"/>
        </w:trPr>
        <w:tc>
          <w:tcPr>
            <w:tcW w:w="9072" w:type="dxa"/>
            <w:tcBorders>
              <w:top w:val="nil"/>
              <w:left w:val="nil"/>
              <w:bottom w:val="nil"/>
              <w:right w:val="nil"/>
            </w:tcBorders>
            <w:noWrap/>
            <w:vAlign w:val="bottom"/>
            <w:hideMark/>
          </w:tcPr>
          <w:p w14:paraId="6D9ED763" w14:textId="67E35E52" w:rsidR="00D230D1" w:rsidRDefault="00D230D1" w:rsidP="00D230D1">
            <w:pPr>
              <w:pStyle w:val="P68B1DB1-Normal91"/>
            </w:pPr>
            <w:r w:rsidRPr="00F22F68">
              <w:t>Japan Securities Clearing Corporation</w:t>
            </w:r>
          </w:p>
        </w:tc>
      </w:tr>
      <w:tr w:rsidR="00D230D1" w14:paraId="7B5B6AA0" w14:textId="77777777">
        <w:trPr>
          <w:trHeight w:val="300"/>
        </w:trPr>
        <w:tc>
          <w:tcPr>
            <w:tcW w:w="9072" w:type="dxa"/>
            <w:tcBorders>
              <w:top w:val="nil"/>
              <w:left w:val="nil"/>
              <w:bottom w:val="nil"/>
              <w:right w:val="nil"/>
            </w:tcBorders>
            <w:noWrap/>
            <w:vAlign w:val="bottom"/>
            <w:hideMark/>
          </w:tcPr>
          <w:p w14:paraId="5354E82A" w14:textId="18A65D7D" w:rsidR="00D230D1" w:rsidRDefault="00D230D1" w:rsidP="00D230D1">
            <w:pPr>
              <w:pStyle w:val="P68B1DB1-Normal91"/>
            </w:pPr>
            <w:r w:rsidRPr="00F22F68">
              <w:t>JASDEC</w:t>
            </w:r>
          </w:p>
        </w:tc>
      </w:tr>
      <w:tr w:rsidR="00D230D1" w14:paraId="5F2E7C68" w14:textId="77777777">
        <w:trPr>
          <w:trHeight w:val="300"/>
        </w:trPr>
        <w:tc>
          <w:tcPr>
            <w:tcW w:w="9072" w:type="dxa"/>
            <w:tcBorders>
              <w:top w:val="nil"/>
              <w:left w:val="nil"/>
              <w:bottom w:val="nil"/>
              <w:right w:val="nil"/>
            </w:tcBorders>
            <w:noWrap/>
            <w:vAlign w:val="bottom"/>
            <w:hideMark/>
          </w:tcPr>
          <w:p w14:paraId="7D166505" w14:textId="415D34E4" w:rsidR="00D230D1" w:rsidRDefault="00D230D1" w:rsidP="00D230D1">
            <w:pPr>
              <w:pStyle w:val="P68B1DB1-Normal91"/>
            </w:pPr>
            <w:r w:rsidRPr="00F22F68">
              <w:t>JASDEC DVP</w:t>
            </w:r>
          </w:p>
        </w:tc>
      </w:tr>
      <w:tr w:rsidR="00D230D1" w14:paraId="4048BA0D" w14:textId="77777777">
        <w:trPr>
          <w:trHeight w:val="300"/>
        </w:trPr>
        <w:tc>
          <w:tcPr>
            <w:tcW w:w="9072" w:type="dxa"/>
            <w:tcBorders>
              <w:top w:val="nil"/>
              <w:left w:val="nil"/>
              <w:bottom w:val="nil"/>
              <w:right w:val="nil"/>
            </w:tcBorders>
            <w:noWrap/>
            <w:vAlign w:val="bottom"/>
            <w:hideMark/>
          </w:tcPr>
          <w:p w14:paraId="15678AE9" w14:textId="2FC2D650" w:rsidR="00D230D1" w:rsidRDefault="00D230D1" w:rsidP="00D230D1">
            <w:pPr>
              <w:pStyle w:val="P68B1DB1-Normal91"/>
            </w:pPr>
            <w:r w:rsidRPr="00F22F68">
              <w:t>JCC</w:t>
            </w:r>
          </w:p>
        </w:tc>
      </w:tr>
      <w:tr w:rsidR="00D230D1" w14:paraId="12A3C713" w14:textId="77777777">
        <w:trPr>
          <w:trHeight w:val="300"/>
        </w:trPr>
        <w:tc>
          <w:tcPr>
            <w:tcW w:w="9072" w:type="dxa"/>
            <w:tcBorders>
              <w:top w:val="nil"/>
              <w:left w:val="nil"/>
              <w:bottom w:val="nil"/>
              <w:right w:val="nil"/>
            </w:tcBorders>
            <w:noWrap/>
            <w:vAlign w:val="bottom"/>
            <w:hideMark/>
          </w:tcPr>
          <w:p w14:paraId="41166169" w14:textId="60A4797A" w:rsidR="00D230D1" w:rsidRDefault="00D230D1" w:rsidP="00D230D1">
            <w:pPr>
              <w:pStyle w:val="P68B1DB1-Normal91"/>
            </w:pPr>
            <w:r w:rsidRPr="00F22F68">
              <w:t>KDPW S.A.</w:t>
            </w:r>
          </w:p>
        </w:tc>
      </w:tr>
      <w:tr w:rsidR="00D230D1" w14:paraId="43817C1E" w14:textId="77777777">
        <w:trPr>
          <w:trHeight w:val="300"/>
        </w:trPr>
        <w:tc>
          <w:tcPr>
            <w:tcW w:w="9072" w:type="dxa"/>
            <w:tcBorders>
              <w:top w:val="nil"/>
              <w:left w:val="nil"/>
              <w:bottom w:val="nil"/>
              <w:right w:val="nil"/>
            </w:tcBorders>
            <w:noWrap/>
            <w:vAlign w:val="bottom"/>
            <w:hideMark/>
          </w:tcPr>
          <w:p w14:paraId="3018D3C8" w14:textId="20D522ED" w:rsidR="00D230D1" w:rsidRDefault="00D230D1" w:rsidP="00D230D1">
            <w:pPr>
              <w:pStyle w:val="P68B1DB1-Normal91"/>
            </w:pPr>
            <w:r w:rsidRPr="00F22F68">
              <w:t>KDPW_CCP S.A.</w:t>
            </w:r>
          </w:p>
        </w:tc>
      </w:tr>
      <w:tr w:rsidR="00D230D1" w14:paraId="21912EC4" w14:textId="77777777">
        <w:trPr>
          <w:trHeight w:val="300"/>
        </w:trPr>
        <w:tc>
          <w:tcPr>
            <w:tcW w:w="9072" w:type="dxa"/>
            <w:tcBorders>
              <w:top w:val="nil"/>
              <w:left w:val="nil"/>
              <w:bottom w:val="nil"/>
              <w:right w:val="nil"/>
            </w:tcBorders>
            <w:noWrap/>
            <w:vAlign w:val="bottom"/>
            <w:hideMark/>
          </w:tcPr>
          <w:p w14:paraId="59836A48" w14:textId="2BA99D44" w:rsidR="00D230D1" w:rsidRDefault="00D230D1" w:rsidP="00D230D1">
            <w:pPr>
              <w:pStyle w:val="P68B1DB1-Normal91"/>
            </w:pPr>
            <w:r w:rsidRPr="00F22F68">
              <w:t>KDPW-TR</w:t>
            </w:r>
          </w:p>
        </w:tc>
      </w:tr>
      <w:tr w:rsidR="00D230D1" w14:paraId="14480A4D" w14:textId="77777777">
        <w:trPr>
          <w:trHeight w:val="300"/>
        </w:trPr>
        <w:tc>
          <w:tcPr>
            <w:tcW w:w="9072" w:type="dxa"/>
            <w:tcBorders>
              <w:top w:val="nil"/>
              <w:left w:val="nil"/>
              <w:bottom w:val="nil"/>
              <w:right w:val="nil"/>
            </w:tcBorders>
            <w:noWrap/>
            <w:vAlign w:val="bottom"/>
            <w:hideMark/>
          </w:tcPr>
          <w:p w14:paraId="59BBCA2D" w14:textId="2502F1E7" w:rsidR="00D230D1" w:rsidRDefault="00D230D1" w:rsidP="00D230D1">
            <w:pPr>
              <w:pStyle w:val="P68B1DB1-Normal91"/>
            </w:pPr>
            <w:r w:rsidRPr="00F22F68">
              <w:t>KELER CCP</w:t>
            </w:r>
          </w:p>
        </w:tc>
      </w:tr>
      <w:tr w:rsidR="00D230D1" w14:paraId="1D005B0E" w14:textId="77777777">
        <w:trPr>
          <w:trHeight w:val="300"/>
        </w:trPr>
        <w:tc>
          <w:tcPr>
            <w:tcW w:w="9072" w:type="dxa"/>
            <w:tcBorders>
              <w:top w:val="nil"/>
              <w:left w:val="nil"/>
              <w:bottom w:val="nil"/>
              <w:right w:val="nil"/>
            </w:tcBorders>
            <w:noWrap/>
            <w:vAlign w:val="bottom"/>
            <w:hideMark/>
          </w:tcPr>
          <w:p w14:paraId="2ABFD94E" w14:textId="7D06E73B" w:rsidR="00D230D1" w:rsidRDefault="00D230D1" w:rsidP="00D230D1">
            <w:pPr>
              <w:pStyle w:val="P68B1DB1-Normal91"/>
            </w:pPr>
            <w:r w:rsidRPr="00F22F68">
              <w:t>KELER CSD</w:t>
            </w:r>
          </w:p>
        </w:tc>
      </w:tr>
      <w:tr w:rsidR="00D230D1" w14:paraId="13D5C039" w14:textId="77777777">
        <w:trPr>
          <w:trHeight w:val="300"/>
        </w:trPr>
        <w:tc>
          <w:tcPr>
            <w:tcW w:w="9072" w:type="dxa"/>
            <w:tcBorders>
              <w:top w:val="nil"/>
              <w:left w:val="nil"/>
              <w:bottom w:val="nil"/>
              <w:right w:val="nil"/>
            </w:tcBorders>
            <w:noWrap/>
            <w:vAlign w:val="bottom"/>
            <w:hideMark/>
          </w:tcPr>
          <w:p w14:paraId="31B1FA22" w14:textId="0CE1CB1B" w:rsidR="00D230D1" w:rsidRDefault="00D230D1" w:rsidP="00D230D1">
            <w:pPr>
              <w:pStyle w:val="P68B1DB1-Normal91"/>
            </w:pPr>
            <w:r w:rsidRPr="00F22F68">
              <w:t>KRONOS</w:t>
            </w:r>
          </w:p>
        </w:tc>
      </w:tr>
      <w:tr w:rsidR="00D230D1" w14:paraId="3B7ED824" w14:textId="77777777">
        <w:trPr>
          <w:trHeight w:val="300"/>
        </w:trPr>
        <w:tc>
          <w:tcPr>
            <w:tcW w:w="9072" w:type="dxa"/>
            <w:tcBorders>
              <w:top w:val="nil"/>
              <w:left w:val="nil"/>
              <w:bottom w:val="nil"/>
              <w:right w:val="nil"/>
            </w:tcBorders>
            <w:noWrap/>
            <w:vAlign w:val="bottom"/>
            <w:hideMark/>
          </w:tcPr>
          <w:p w14:paraId="0A3C0455" w14:textId="4D398A46" w:rsidR="00D230D1" w:rsidRDefault="00D230D1" w:rsidP="00D230D1">
            <w:pPr>
              <w:pStyle w:val="P68B1DB1-Normal91"/>
            </w:pPr>
            <w:r w:rsidRPr="00F22F68">
              <w:t>KUBAS</w:t>
            </w:r>
          </w:p>
        </w:tc>
      </w:tr>
      <w:tr w:rsidR="00D230D1" w14:paraId="2B1C9B26" w14:textId="77777777">
        <w:trPr>
          <w:trHeight w:val="300"/>
        </w:trPr>
        <w:tc>
          <w:tcPr>
            <w:tcW w:w="9072" w:type="dxa"/>
            <w:tcBorders>
              <w:top w:val="nil"/>
              <w:left w:val="nil"/>
              <w:bottom w:val="nil"/>
              <w:right w:val="nil"/>
            </w:tcBorders>
            <w:noWrap/>
            <w:vAlign w:val="bottom"/>
            <w:hideMark/>
          </w:tcPr>
          <w:p w14:paraId="0C36BDD0" w14:textId="337A7380" w:rsidR="00D230D1" w:rsidRDefault="00D230D1" w:rsidP="00D230D1">
            <w:pPr>
              <w:pStyle w:val="P68B1DB1-Normal91"/>
            </w:pPr>
            <w:r w:rsidRPr="00F22F68">
              <w:t>Large Value Transfer System (LVTS)</w:t>
            </w:r>
          </w:p>
        </w:tc>
      </w:tr>
      <w:tr w:rsidR="00D230D1" w14:paraId="494438D8" w14:textId="77777777">
        <w:trPr>
          <w:trHeight w:val="300"/>
        </w:trPr>
        <w:tc>
          <w:tcPr>
            <w:tcW w:w="9072" w:type="dxa"/>
            <w:tcBorders>
              <w:top w:val="nil"/>
              <w:left w:val="nil"/>
              <w:bottom w:val="nil"/>
              <w:right w:val="nil"/>
            </w:tcBorders>
            <w:noWrap/>
            <w:vAlign w:val="bottom"/>
            <w:hideMark/>
          </w:tcPr>
          <w:p w14:paraId="0378B855" w14:textId="7BADC7B1" w:rsidR="00D230D1" w:rsidRDefault="00D230D1" w:rsidP="00D230D1">
            <w:pPr>
              <w:pStyle w:val="P68B1DB1-Normal91"/>
            </w:pPr>
            <w:r w:rsidRPr="00F22F68">
              <w:t>LCH Ltd</w:t>
            </w:r>
          </w:p>
        </w:tc>
      </w:tr>
      <w:tr w:rsidR="00D230D1" w14:paraId="5DD1EBF4" w14:textId="77777777">
        <w:trPr>
          <w:trHeight w:val="300"/>
        </w:trPr>
        <w:tc>
          <w:tcPr>
            <w:tcW w:w="9072" w:type="dxa"/>
            <w:tcBorders>
              <w:top w:val="nil"/>
              <w:left w:val="nil"/>
              <w:bottom w:val="nil"/>
              <w:right w:val="nil"/>
            </w:tcBorders>
            <w:noWrap/>
            <w:vAlign w:val="bottom"/>
            <w:hideMark/>
          </w:tcPr>
          <w:p w14:paraId="59459780" w14:textId="54D2DB78" w:rsidR="00D230D1" w:rsidRDefault="00D230D1" w:rsidP="00D230D1">
            <w:pPr>
              <w:pStyle w:val="P68B1DB1-Normal91"/>
            </w:pPr>
            <w:r w:rsidRPr="00F22F68">
              <w:t>LCH SA</w:t>
            </w:r>
          </w:p>
        </w:tc>
      </w:tr>
      <w:tr w:rsidR="00D230D1" w14:paraId="4F01D89C" w14:textId="77777777">
        <w:trPr>
          <w:trHeight w:val="300"/>
        </w:trPr>
        <w:tc>
          <w:tcPr>
            <w:tcW w:w="9072" w:type="dxa"/>
            <w:tcBorders>
              <w:top w:val="nil"/>
              <w:left w:val="nil"/>
              <w:bottom w:val="nil"/>
              <w:right w:val="nil"/>
            </w:tcBorders>
            <w:noWrap/>
            <w:vAlign w:val="bottom"/>
            <w:hideMark/>
          </w:tcPr>
          <w:p w14:paraId="5955E367" w14:textId="383A6256" w:rsidR="00D230D1" w:rsidRDefault="00D230D1" w:rsidP="00D230D1">
            <w:pPr>
              <w:pStyle w:val="P68B1DB1-Normal91"/>
            </w:pPr>
            <w:r w:rsidRPr="00F22F68">
              <w:t>Ljubljana Stock Exchange</w:t>
            </w:r>
          </w:p>
        </w:tc>
      </w:tr>
      <w:tr w:rsidR="00D230D1" w14:paraId="63C7A928" w14:textId="77777777">
        <w:trPr>
          <w:trHeight w:val="300"/>
        </w:trPr>
        <w:tc>
          <w:tcPr>
            <w:tcW w:w="9072" w:type="dxa"/>
            <w:tcBorders>
              <w:top w:val="nil"/>
              <w:left w:val="nil"/>
              <w:bottom w:val="nil"/>
              <w:right w:val="nil"/>
            </w:tcBorders>
            <w:noWrap/>
            <w:vAlign w:val="bottom"/>
            <w:hideMark/>
          </w:tcPr>
          <w:p w14:paraId="14DFAB9F" w14:textId="32DB4B9E" w:rsidR="00D230D1" w:rsidRDefault="00D230D1" w:rsidP="00D230D1">
            <w:pPr>
              <w:pStyle w:val="P68B1DB1-Normal91"/>
            </w:pPr>
            <w:r w:rsidRPr="00F22F68">
              <w:t>LME Clear Limited</w:t>
            </w:r>
          </w:p>
        </w:tc>
      </w:tr>
      <w:tr w:rsidR="00D230D1" w14:paraId="188E3D82" w14:textId="77777777">
        <w:trPr>
          <w:trHeight w:val="300"/>
        </w:trPr>
        <w:tc>
          <w:tcPr>
            <w:tcW w:w="9072" w:type="dxa"/>
            <w:tcBorders>
              <w:top w:val="nil"/>
              <w:left w:val="nil"/>
              <w:bottom w:val="nil"/>
              <w:right w:val="nil"/>
            </w:tcBorders>
            <w:noWrap/>
            <w:vAlign w:val="bottom"/>
            <w:hideMark/>
          </w:tcPr>
          <w:p w14:paraId="7DB15EC9" w14:textId="21F0C617" w:rsidR="00D230D1" w:rsidRDefault="00D230D1" w:rsidP="00D230D1">
            <w:pPr>
              <w:pStyle w:val="P68B1DB1-Normal91"/>
            </w:pPr>
            <w:r w:rsidRPr="00F22F68">
              <w:t>London Stock Exchange Ltd (LSE)</w:t>
            </w:r>
          </w:p>
        </w:tc>
      </w:tr>
      <w:tr w:rsidR="00D230D1" w14:paraId="0AD660E5" w14:textId="77777777">
        <w:trPr>
          <w:trHeight w:val="300"/>
        </w:trPr>
        <w:tc>
          <w:tcPr>
            <w:tcW w:w="9072" w:type="dxa"/>
            <w:tcBorders>
              <w:top w:val="nil"/>
              <w:left w:val="nil"/>
              <w:bottom w:val="nil"/>
              <w:right w:val="nil"/>
            </w:tcBorders>
            <w:noWrap/>
            <w:vAlign w:val="bottom"/>
            <w:hideMark/>
          </w:tcPr>
          <w:p w14:paraId="23DA5AB4" w14:textId="2CEC2418" w:rsidR="00D230D1" w:rsidRDefault="00D230D1" w:rsidP="00D230D1">
            <w:pPr>
              <w:pStyle w:val="P68B1DB1-Normal91"/>
            </w:pPr>
            <w:r w:rsidRPr="00F22F68">
              <w:t>LUX CSD</w:t>
            </w:r>
          </w:p>
        </w:tc>
      </w:tr>
      <w:tr w:rsidR="00D230D1" w14:paraId="5B3E1A3A" w14:textId="77777777">
        <w:trPr>
          <w:trHeight w:val="300"/>
        </w:trPr>
        <w:tc>
          <w:tcPr>
            <w:tcW w:w="9072" w:type="dxa"/>
            <w:tcBorders>
              <w:top w:val="nil"/>
              <w:left w:val="nil"/>
              <w:bottom w:val="nil"/>
              <w:right w:val="nil"/>
            </w:tcBorders>
            <w:noWrap/>
            <w:vAlign w:val="bottom"/>
            <w:hideMark/>
          </w:tcPr>
          <w:p w14:paraId="5D4FD8D4" w14:textId="7A3167FC" w:rsidR="00D230D1" w:rsidRDefault="00D230D1" w:rsidP="00D230D1">
            <w:pPr>
              <w:pStyle w:val="P68B1DB1-Normal91"/>
            </w:pPr>
            <w:r w:rsidRPr="00F22F68">
              <w:t>Malta Clearing House</w:t>
            </w:r>
          </w:p>
        </w:tc>
      </w:tr>
      <w:tr w:rsidR="00D230D1" w14:paraId="0739CAE8" w14:textId="77777777">
        <w:trPr>
          <w:trHeight w:val="300"/>
        </w:trPr>
        <w:tc>
          <w:tcPr>
            <w:tcW w:w="9072" w:type="dxa"/>
            <w:tcBorders>
              <w:top w:val="nil"/>
              <w:left w:val="nil"/>
              <w:bottom w:val="nil"/>
              <w:right w:val="nil"/>
            </w:tcBorders>
            <w:noWrap/>
            <w:vAlign w:val="bottom"/>
            <w:hideMark/>
          </w:tcPr>
          <w:p w14:paraId="7880FB68" w14:textId="546F2263" w:rsidR="00D230D1" w:rsidRDefault="00D230D1" w:rsidP="00D230D1">
            <w:pPr>
              <w:pStyle w:val="P68B1DB1-Normal91"/>
            </w:pPr>
            <w:r w:rsidRPr="00F22F68">
              <w:t>Malta Stock Exchange</w:t>
            </w:r>
          </w:p>
        </w:tc>
      </w:tr>
      <w:tr w:rsidR="00D230D1" w14:paraId="1462AFD7" w14:textId="77777777">
        <w:trPr>
          <w:trHeight w:val="300"/>
        </w:trPr>
        <w:tc>
          <w:tcPr>
            <w:tcW w:w="9072" w:type="dxa"/>
            <w:tcBorders>
              <w:top w:val="nil"/>
              <w:left w:val="nil"/>
              <w:bottom w:val="nil"/>
              <w:right w:val="nil"/>
            </w:tcBorders>
            <w:noWrap/>
            <w:vAlign w:val="bottom"/>
            <w:hideMark/>
          </w:tcPr>
          <w:p w14:paraId="4F29DF27" w14:textId="468702E9" w:rsidR="00D230D1" w:rsidRDefault="00D230D1" w:rsidP="00D230D1">
            <w:pPr>
              <w:pStyle w:val="P68B1DB1-Normal91"/>
            </w:pPr>
            <w:r w:rsidRPr="00F22F68">
              <w:t>Malta Stock Exchange CSD</w:t>
            </w:r>
          </w:p>
        </w:tc>
      </w:tr>
      <w:tr w:rsidR="00D230D1" w14:paraId="147A9AFE" w14:textId="77777777">
        <w:trPr>
          <w:trHeight w:val="300"/>
        </w:trPr>
        <w:tc>
          <w:tcPr>
            <w:tcW w:w="9072" w:type="dxa"/>
            <w:tcBorders>
              <w:top w:val="nil"/>
              <w:left w:val="nil"/>
              <w:bottom w:val="nil"/>
              <w:right w:val="nil"/>
            </w:tcBorders>
            <w:noWrap/>
            <w:vAlign w:val="bottom"/>
            <w:hideMark/>
          </w:tcPr>
          <w:p w14:paraId="29008853" w14:textId="44878168" w:rsidR="00D230D1" w:rsidRDefault="00D230D1" w:rsidP="00D230D1">
            <w:pPr>
              <w:pStyle w:val="P68B1DB1-Normal91"/>
            </w:pPr>
            <w:r w:rsidRPr="00A31D3C">
              <w:rPr>
                <w:lang w:val="es-ES"/>
              </w:rPr>
              <w:t>MEFF Sociedad Rectora de Productos Derivados S. A.</w:t>
            </w:r>
          </w:p>
        </w:tc>
      </w:tr>
      <w:tr w:rsidR="00D230D1" w14:paraId="03A3D6E0" w14:textId="77777777">
        <w:trPr>
          <w:trHeight w:val="300"/>
        </w:trPr>
        <w:tc>
          <w:tcPr>
            <w:tcW w:w="9072" w:type="dxa"/>
            <w:tcBorders>
              <w:top w:val="nil"/>
              <w:left w:val="nil"/>
              <w:bottom w:val="nil"/>
              <w:right w:val="nil"/>
            </w:tcBorders>
            <w:noWrap/>
            <w:vAlign w:val="bottom"/>
            <w:hideMark/>
          </w:tcPr>
          <w:p w14:paraId="3E98B6A6" w14:textId="1D7C47AD" w:rsidR="00D230D1" w:rsidRDefault="00D230D1" w:rsidP="00D230D1">
            <w:pPr>
              <w:pStyle w:val="P68B1DB1-Normal91"/>
            </w:pPr>
            <w:r w:rsidRPr="00A31D3C">
              <w:rPr>
                <w:lang w:val="es-ES"/>
              </w:rPr>
              <w:t>Mercados de Deuda Pública en Anotaciones</w:t>
            </w:r>
          </w:p>
        </w:tc>
      </w:tr>
      <w:tr w:rsidR="00D230D1" w14:paraId="51FA8AC8" w14:textId="77777777">
        <w:trPr>
          <w:trHeight w:val="300"/>
        </w:trPr>
        <w:tc>
          <w:tcPr>
            <w:tcW w:w="9072" w:type="dxa"/>
            <w:tcBorders>
              <w:top w:val="nil"/>
              <w:left w:val="nil"/>
              <w:bottom w:val="nil"/>
              <w:right w:val="nil"/>
            </w:tcBorders>
            <w:noWrap/>
            <w:vAlign w:val="bottom"/>
            <w:hideMark/>
          </w:tcPr>
          <w:p w14:paraId="3F76F750" w14:textId="43D689F8" w:rsidR="00D230D1" w:rsidRDefault="00D230D1" w:rsidP="00D230D1">
            <w:pPr>
              <w:pStyle w:val="P68B1DB1-Normal91"/>
            </w:pPr>
            <w:r w:rsidRPr="00F22F68">
              <w:t>Monte Titoli</w:t>
            </w:r>
          </w:p>
        </w:tc>
      </w:tr>
      <w:tr w:rsidR="00D230D1" w14:paraId="23805AA2" w14:textId="77777777">
        <w:trPr>
          <w:trHeight w:val="300"/>
        </w:trPr>
        <w:tc>
          <w:tcPr>
            <w:tcW w:w="9072" w:type="dxa"/>
            <w:tcBorders>
              <w:top w:val="nil"/>
              <w:left w:val="nil"/>
              <w:bottom w:val="nil"/>
              <w:right w:val="nil"/>
            </w:tcBorders>
            <w:noWrap/>
            <w:vAlign w:val="bottom"/>
            <w:hideMark/>
          </w:tcPr>
          <w:p w14:paraId="13AB08E1" w14:textId="1877CBEF" w:rsidR="00D230D1" w:rsidRDefault="00D230D1" w:rsidP="00D230D1">
            <w:pPr>
              <w:pStyle w:val="P68B1DB1-Normal91"/>
            </w:pPr>
            <w:r w:rsidRPr="00F22F68">
              <w:t>MTS</w:t>
            </w:r>
          </w:p>
        </w:tc>
      </w:tr>
      <w:tr w:rsidR="00D230D1" w14:paraId="4149713C" w14:textId="77777777">
        <w:trPr>
          <w:trHeight w:val="300"/>
        </w:trPr>
        <w:tc>
          <w:tcPr>
            <w:tcW w:w="9072" w:type="dxa"/>
            <w:tcBorders>
              <w:top w:val="nil"/>
              <w:left w:val="nil"/>
              <w:bottom w:val="nil"/>
              <w:right w:val="nil"/>
            </w:tcBorders>
            <w:noWrap/>
            <w:vAlign w:val="bottom"/>
            <w:hideMark/>
          </w:tcPr>
          <w:p w14:paraId="0E21C9DA" w14:textId="46D74553" w:rsidR="00D230D1" w:rsidRDefault="00D230D1" w:rsidP="00D230D1">
            <w:pPr>
              <w:pStyle w:val="P68B1DB1-Normal91"/>
            </w:pPr>
            <w:r w:rsidRPr="00A125B6">
              <w:t>Národný Centralny Depositar Cennych Papierov (nCDCP) as</w:t>
            </w:r>
          </w:p>
        </w:tc>
      </w:tr>
      <w:tr w:rsidR="00D230D1" w14:paraId="7826A921" w14:textId="77777777">
        <w:trPr>
          <w:trHeight w:val="300"/>
        </w:trPr>
        <w:tc>
          <w:tcPr>
            <w:tcW w:w="9072" w:type="dxa"/>
            <w:tcBorders>
              <w:top w:val="nil"/>
              <w:left w:val="nil"/>
              <w:bottom w:val="nil"/>
              <w:right w:val="nil"/>
            </w:tcBorders>
            <w:noWrap/>
            <w:vAlign w:val="bottom"/>
            <w:hideMark/>
          </w:tcPr>
          <w:p w14:paraId="3989D7C0" w14:textId="4B8B4F27" w:rsidR="00D230D1" w:rsidRDefault="00D230D1" w:rsidP="00D230D1">
            <w:pPr>
              <w:pStyle w:val="P68B1DB1-Normal91"/>
            </w:pPr>
            <w:r w:rsidRPr="00F22F68">
              <w:t>Nasdaq CSD SE</w:t>
            </w:r>
          </w:p>
        </w:tc>
      </w:tr>
      <w:tr w:rsidR="00D230D1" w14:paraId="0F9127FC" w14:textId="77777777">
        <w:trPr>
          <w:trHeight w:val="300"/>
        </w:trPr>
        <w:tc>
          <w:tcPr>
            <w:tcW w:w="9072" w:type="dxa"/>
            <w:tcBorders>
              <w:top w:val="nil"/>
              <w:left w:val="nil"/>
              <w:bottom w:val="nil"/>
              <w:right w:val="nil"/>
            </w:tcBorders>
            <w:noWrap/>
            <w:vAlign w:val="bottom"/>
            <w:hideMark/>
          </w:tcPr>
          <w:p w14:paraId="7E3342A8" w14:textId="3A686861" w:rsidR="00D230D1" w:rsidRDefault="00D230D1" w:rsidP="00D230D1">
            <w:pPr>
              <w:pStyle w:val="P68B1DB1-Normal91"/>
            </w:pPr>
            <w:r w:rsidRPr="00F22F68">
              <w:t>Nasdaq Helsinki</w:t>
            </w:r>
          </w:p>
        </w:tc>
      </w:tr>
      <w:tr w:rsidR="00D230D1" w14:paraId="794AA9C2" w14:textId="77777777">
        <w:trPr>
          <w:trHeight w:val="300"/>
        </w:trPr>
        <w:tc>
          <w:tcPr>
            <w:tcW w:w="9072" w:type="dxa"/>
            <w:tcBorders>
              <w:top w:val="nil"/>
              <w:left w:val="nil"/>
              <w:bottom w:val="nil"/>
              <w:right w:val="nil"/>
            </w:tcBorders>
            <w:noWrap/>
            <w:vAlign w:val="bottom"/>
            <w:hideMark/>
          </w:tcPr>
          <w:p w14:paraId="4EB7B940" w14:textId="52792994" w:rsidR="00D230D1" w:rsidRDefault="00D230D1" w:rsidP="00D230D1">
            <w:pPr>
              <w:pStyle w:val="P68B1DB1-Normal91"/>
            </w:pPr>
            <w:r w:rsidRPr="00F22F68">
              <w:t>Nasdaq OMX Clearing</w:t>
            </w:r>
          </w:p>
        </w:tc>
      </w:tr>
      <w:tr w:rsidR="00D230D1" w14:paraId="27B334A7" w14:textId="77777777">
        <w:trPr>
          <w:trHeight w:val="300"/>
        </w:trPr>
        <w:tc>
          <w:tcPr>
            <w:tcW w:w="9072" w:type="dxa"/>
            <w:tcBorders>
              <w:top w:val="nil"/>
              <w:left w:val="nil"/>
              <w:bottom w:val="nil"/>
              <w:right w:val="nil"/>
            </w:tcBorders>
            <w:noWrap/>
            <w:vAlign w:val="bottom"/>
            <w:hideMark/>
          </w:tcPr>
          <w:p w14:paraId="405F6BB1" w14:textId="0D3CF287" w:rsidR="00D230D1" w:rsidRDefault="00D230D1" w:rsidP="00D230D1">
            <w:pPr>
              <w:pStyle w:val="P68B1DB1-Normal91"/>
            </w:pPr>
            <w:r w:rsidRPr="00F22F68">
              <w:t>Nasdaq OMX Stockholm</w:t>
            </w:r>
          </w:p>
        </w:tc>
      </w:tr>
      <w:tr w:rsidR="00D230D1" w14:paraId="5888CB72" w14:textId="77777777">
        <w:trPr>
          <w:trHeight w:val="300"/>
        </w:trPr>
        <w:tc>
          <w:tcPr>
            <w:tcW w:w="9072" w:type="dxa"/>
            <w:tcBorders>
              <w:top w:val="nil"/>
              <w:left w:val="nil"/>
              <w:bottom w:val="nil"/>
              <w:right w:val="nil"/>
            </w:tcBorders>
            <w:noWrap/>
            <w:vAlign w:val="bottom"/>
            <w:hideMark/>
          </w:tcPr>
          <w:p w14:paraId="20F7ABDC" w14:textId="7630DDC3" w:rsidR="00D230D1" w:rsidRDefault="00D230D1" w:rsidP="00D230D1">
            <w:pPr>
              <w:pStyle w:val="P68B1DB1-Normal91"/>
            </w:pPr>
            <w:r w:rsidRPr="00F22F68">
              <w:t>National Securities Clearing Corp. (NSCC)</w:t>
            </w:r>
          </w:p>
        </w:tc>
      </w:tr>
      <w:tr w:rsidR="00D230D1" w14:paraId="5E9C8F6D" w14:textId="77777777">
        <w:trPr>
          <w:trHeight w:val="300"/>
        </w:trPr>
        <w:tc>
          <w:tcPr>
            <w:tcW w:w="9072" w:type="dxa"/>
            <w:tcBorders>
              <w:top w:val="nil"/>
              <w:left w:val="nil"/>
              <w:bottom w:val="nil"/>
              <w:right w:val="nil"/>
            </w:tcBorders>
            <w:noWrap/>
            <w:vAlign w:val="bottom"/>
            <w:hideMark/>
          </w:tcPr>
          <w:p w14:paraId="12F1BAEB" w14:textId="4BB86EEF" w:rsidR="00D230D1" w:rsidRDefault="00D230D1" w:rsidP="00D230D1">
            <w:pPr>
              <w:pStyle w:val="P68B1DB1-Normal91"/>
            </w:pPr>
            <w:r w:rsidRPr="00F22F68">
              <w:t>NBB SSS</w:t>
            </w:r>
          </w:p>
        </w:tc>
      </w:tr>
      <w:tr w:rsidR="00D230D1" w14:paraId="5DFC5D23" w14:textId="77777777">
        <w:trPr>
          <w:trHeight w:val="300"/>
        </w:trPr>
        <w:tc>
          <w:tcPr>
            <w:tcW w:w="9072" w:type="dxa"/>
            <w:tcBorders>
              <w:top w:val="nil"/>
              <w:left w:val="nil"/>
              <w:bottom w:val="nil"/>
              <w:right w:val="nil"/>
            </w:tcBorders>
            <w:noWrap/>
            <w:vAlign w:val="bottom"/>
            <w:hideMark/>
          </w:tcPr>
          <w:p w14:paraId="3737426F" w14:textId="7D84B2A5" w:rsidR="00D230D1" w:rsidRDefault="00D230D1" w:rsidP="00D230D1">
            <w:pPr>
              <w:pStyle w:val="P68B1DB1-Normal91"/>
            </w:pPr>
            <w:r w:rsidRPr="00F22F68">
              <w:t>NBP bills and treasury bills Register</w:t>
            </w:r>
          </w:p>
        </w:tc>
      </w:tr>
      <w:tr w:rsidR="00D230D1" w14:paraId="1FC22E5F" w14:textId="77777777">
        <w:trPr>
          <w:trHeight w:val="300"/>
        </w:trPr>
        <w:tc>
          <w:tcPr>
            <w:tcW w:w="9072" w:type="dxa"/>
            <w:tcBorders>
              <w:top w:val="nil"/>
              <w:left w:val="nil"/>
              <w:bottom w:val="nil"/>
              <w:right w:val="nil"/>
            </w:tcBorders>
            <w:noWrap/>
            <w:vAlign w:val="bottom"/>
            <w:hideMark/>
          </w:tcPr>
          <w:p w14:paraId="358DE620" w14:textId="66C64C64" w:rsidR="00D230D1" w:rsidRDefault="00D230D1" w:rsidP="00D230D1">
            <w:pPr>
              <w:pStyle w:val="P68B1DB1-Normal91"/>
            </w:pPr>
            <w:r w:rsidRPr="00F22F68">
              <w:t>NEX Abide Trade Repository AB</w:t>
            </w:r>
          </w:p>
        </w:tc>
      </w:tr>
      <w:tr w:rsidR="00D230D1" w14:paraId="1362AFBF" w14:textId="77777777">
        <w:trPr>
          <w:trHeight w:val="300"/>
        </w:trPr>
        <w:tc>
          <w:tcPr>
            <w:tcW w:w="9072" w:type="dxa"/>
            <w:tcBorders>
              <w:top w:val="nil"/>
              <w:left w:val="nil"/>
              <w:bottom w:val="nil"/>
              <w:right w:val="nil"/>
            </w:tcBorders>
            <w:noWrap/>
            <w:vAlign w:val="bottom"/>
            <w:hideMark/>
          </w:tcPr>
          <w:p w14:paraId="7779B6B2" w14:textId="606D7A42" w:rsidR="00D230D1" w:rsidRDefault="00D230D1" w:rsidP="00D230D1">
            <w:pPr>
              <w:pStyle w:val="P68B1DB1-Normal91"/>
            </w:pPr>
            <w:r w:rsidRPr="00F22F68">
              <w:t>NICS (Norwegian Inter Bank Clearing System)</w:t>
            </w:r>
          </w:p>
        </w:tc>
      </w:tr>
      <w:tr w:rsidR="00D230D1" w14:paraId="403EDEA1" w14:textId="77777777">
        <w:trPr>
          <w:trHeight w:val="300"/>
        </w:trPr>
        <w:tc>
          <w:tcPr>
            <w:tcW w:w="9072" w:type="dxa"/>
            <w:tcBorders>
              <w:top w:val="nil"/>
              <w:left w:val="nil"/>
              <w:bottom w:val="nil"/>
              <w:right w:val="nil"/>
            </w:tcBorders>
            <w:noWrap/>
            <w:vAlign w:val="bottom"/>
            <w:hideMark/>
          </w:tcPr>
          <w:p w14:paraId="4BFCE736" w14:textId="62F81F53" w:rsidR="00D230D1" w:rsidRDefault="00D230D1" w:rsidP="00D230D1">
            <w:pPr>
              <w:pStyle w:val="P68B1DB1-Normal91"/>
            </w:pPr>
            <w:r w:rsidRPr="00F22F68">
              <w:lastRenderedPageBreak/>
              <w:t>NKS ( National Clearing System)/EuroNKS</w:t>
            </w:r>
          </w:p>
        </w:tc>
      </w:tr>
      <w:tr w:rsidR="00D230D1" w14:paraId="72370490" w14:textId="77777777">
        <w:trPr>
          <w:trHeight w:val="300"/>
        </w:trPr>
        <w:tc>
          <w:tcPr>
            <w:tcW w:w="9072" w:type="dxa"/>
            <w:tcBorders>
              <w:top w:val="nil"/>
              <w:left w:val="nil"/>
              <w:bottom w:val="nil"/>
              <w:right w:val="nil"/>
            </w:tcBorders>
            <w:noWrap/>
            <w:vAlign w:val="bottom"/>
            <w:hideMark/>
          </w:tcPr>
          <w:p w14:paraId="46EFA26D" w14:textId="63D69BD3" w:rsidR="00D230D1" w:rsidRDefault="00D230D1" w:rsidP="00D230D1">
            <w:pPr>
              <w:pStyle w:val="P68B1DB1-Normal91"/>
            </w:pPr>
            <w:r w:rsidRPr="00F22F68">
              <w:t>NYSE Euronext Paris</w:t>
            </w:r>
          </w:p>
        </w:tc>
      </w:tr>
      <w:tr w:rsidR="00D230D1" w14:paraId="5FB1C2FE" w14:textId="77777777">
        <w:trPr>
          <w:trHeight w:val="300"/>
        </w:trPr>
        <w:tc>
          <w:tcPr>
            <w:tcW w:w="9072" w:type="dxa"/>
            <w:tcBorders>
              <w:top w:val="nil"/>
              <w:left w:val="nil"/>
              <w:bottom w:val="nil"/>
              <w:right w:val="nil"/>
            </w:tcBorders>
            <w:noWrap/>
            <w:vAlign w:val="bottom"/>
            <w:hideMark/>
          </w:tcPr>
          <w:p w14:paraId="43B707C4" w14:textId="3B24E457" w:rsidR="00D230D1" w:rsidRDefault="00D230D1" w:rsidP="00D230D1">
            <w:pPr>
              <w:pStyle w:val="P68B1DB1-Normal91"/>
            </w:pPr>
            <w:r w:rsidRPr="00A125B6">
              <w:t>OeKB CSD GmbH (WSB System)</w:t>
            </w:r>
          </w:p>
        </w:tc>
      </w:tr>
      <w:tr w:rsidR="00D230D1" w14:paraId="297ECE0B" w14:textId="77777777">
        <w:trPr>
          <w:trHeight w:val="300"/>
        </w:trPr>
        <w:tc>
          <w:tcPr>
            <w:tcW w:w="9072" w:type="dxa"/>
            <w:tcBorders>
              <w:top w:val="nil"/>
              <w:left w:val="nil"/>
              <w:bottom w:val="nil"/>
              <w:right w:val="nil"/>
            </w:tcBorders>
            <w:noWrap/>
            <w:vAlign w:val="bottom"/>
            <w:hideMark/>
          </w:tcPr>
          <w:p w14:paraId="41926D7B" w14:textId="1158ACA8" w:rsidR="00D230D1" w:rsidRDefault="00D230D1" w:rsidP="00D230D1">
            <w:pPr>
              <w:pStyle w:val="P68B1DB1-Normal91"/>
            </w:pPr>
            <w:r w:rsidRPr="00F22F68">
              <w:t>OMI Clear</w:t>
            </w:r>
          </w:p>
        </w:tc>
      </w:tr>
      <w:tr w:rsidR="00D230D1" w14:paraId="786A0182" w14:textId="77777777">
        <w:trPr>
          <w:trHeight w:val="300"/>
        </w:trPr>
        <w:tc>
          <w:tcPr>
            <w:tcW w:w="9072" w:type="dxa"/>
            <w:tcBorders>
              <w:top w:val="nil"/>
              <w:left w:val="nil"/>
              <w:bottom w:val="nil"/>
              <w:right w:val="nil"/>
            </w:tcBorders>
            <w:noWrap/>
            <w:vAlign w:val="bottom"/>
            <w:hideMark/>
          </w:tcPr>
          <w:p w14:paraId="00B344FB" w14:textId="11E474B6" w:rsidR="00D230D1" w:rsidRDefault="00D230D1" w:rsidP="00D230D1">
            <w:pPr>
              <w:pStyle w:val="P68B1DB1-Normal91"/>
            </w:pPr>
            <w:r w:rsidRPr="00F22F68">
              <w:t>POPS</w:t>
            </w:r>
          </w:p>
        </w:tc>
      </w:tr>
      <w:tr w:rsidR="00D230D1" w14:paraId="560CA6B2" w14:textId="77777777">
        <w:trPr>
          <w:trHeight w:val="300"/>
        </w:trPr>
        <w:tc>
          <w:tcPr>
            <w:tcW w:w="9072" w:type="dxa"/>
            <w:tcBorders>
              <w:top w:val="nil"/>
              <w:left w:val="nil"/>
              <w:bottom w:val="nil"/>
              <w:right w:val="nil"/>
            </w:tcBorders>
            <w:noWrap/>
            <w:vAlign w:val="bottom"/>
            <w:hideMark/>
          </w:tcPr>
          <w:p w14:paraId="15C8DE81" w14:textId="045E2F21" w:rsidR="00D230D1" w:rsidRDefault="00D230D1" w:rsidP="00D230D1">
            <w:pPr>
              <w:pStyle w:val="P68B1DB1-Normal91"/>
            </w:pPr>
            <w:r w:rsidRPr="00F22F68">
              <w:t>REGIS</w:t>
            </w:r>
          </w:p>
        </w:tc>
      </w:tr>
      <w:tr w:rsidR="00D230D1" w14:paraId="185A7956" w14:textId="77777777">
        <w:trPr>
          <w:trHeight w:val="300"/>
        </w:trPr>
        <w:tc>
          <w:tcPr>
            <w:tcW w:w="9072" w:type="dxa"/>
            <w:tcBorders>
              <w:top w:val="nil"/>
              <w:left w:val="nil"/>
              <w:bottom w:val="nil"/>
              <w:right w:val="nil"/>
            </w:tcBorders>
            <w:noWrap/>
            <w:vAlign w:val="bottom"/>
            <w:hideMark/>
          </w:tcPr>
          <w:p w14:paraId="3E63DE78" w14:textId="2C42C3A1" w:rsidR="00D230D1" w:rsidRDefault="00D230D1" w:rsidP="00D230D1">
            <w:pPr>
              <w:pStyle w:val="P68B1DB1-Normal91"/>
            </w:pPr>
            <w:r w:rsidRPr="00F22F68">
              <w:t>Regis-TR</w:t>
            </w:r>
          </w:p>
        </w:tc>
      </w:tr>
      <w:tr w:rsidR="00D230D1" w14:paraId="751DD516" w14:textId="77777777">
        <w:trPr>
          <w:trHeight w:val="300"/>
        </w:trPr>
        <w:tc>
          <w:tcPr>
            <w:tcW w:w="9072" w:type="dxa"/>
            <w:tcBorders>
              <w:top w:val="nil"/>
              <w:left w:val="nil"/>
              <w:bottom w:val="nil"/>
              <w:right w:val="nil"/>
            </w:tcBorders>
            <w:noWrap/>
            <w:vAlign w:val="bottom"/>
            <w:hideMark/>
          </w:tcPr>
          <w:p w14:paraId="61EDA69E" w14:textId="1857CBA3" w:rsidR="00D230D1" w:rsidRDefault="00D230D1" w:rsidP="00D230D1">
            <w:pPr>
              <w:pStyle w:val="P68B1DB1-Normal91"/>
            </w:pPr>
            <w:r w:rsidRPr="00F22F68">
              <w:t>RINGS (Real-time INterbank Gross-settlement System)</w:t>
            </w:r>
          </w:p>
        </w:tc>
      </w:tr>
      <w:tr w:rsidR="00D230D1" w14:paraId="3DA52EFD" w14:textId="77777777">
        <w:trPr>
          <w:trHeight w:val="300"/>
        </w:trPr>
        <w:tc>
          <w:tcPr>
            <w:tcW w:w="9072" w:type="dxa"/>
            <w:tcBorders>
              <w:top w:val="nil"/>
              <w:left w:val="nil"/>
              <w:bottom w:val="nil"/>
              <w:right w:val="nil"/>
            </w:tcBorders>
            <w:noWrap/>
            <w:vAlign w:val="bottom"/>
            <w:hideMark/>
          </w:tcPr>
          <w:p w14:paraId="14849718" w14:textId="7B2BDF03" w:rsidR="00D230D1" w:rsidRDefault="00D230D1" w:rsidP="00D230D1">
            <w:pPr>
              <w:pStyle w:val="P68B1DB1-Normal91"/>
            </w:pPr>
            <w:r w:rsidRPr="00F22F68">
              <w:t>RIX</w:t>
            </w:r>
          </w:p>
        </w:tc>
      </w:tr>
      <w:tr w:rsidR="00D230D1" w14:paraId="2F5941C3" w14:textId="77777777">
        <w:trPr>
          <w:trHeight w:val="300"/>
        </w:trPr>
        <w:tc>
          <w:tcPr>
            <w:tcW w:w="9072" w:type="dxa"/>
            <w:tcBorders>
              <w:top w:val="nil"/>
              <w:left w:val="nil"/>
              <w:bottom w:val="nil"/>
              <w:right w:val="nil"/>
            </w:tcBorders>
            <w:noWrap/>
            <w:vAlign w:val="bottom"/>
            <w:hideMark/>
          </w:tcPr>
          <w:p w14:paraId="05086D64" w14:textId="5D177C23" w:rsidR="00D230D1" w:rsidRDefault="00D230D1" w:rsidP="00D230D1">
            <w:pPr>
              <w:pStyle w:val="P68B1DB1-Normal91"/>
            </w:pPr>
            <w:r w:rsidRPr="00A125B6">
              <w:t>RM-SYSTEM Czech Stock Exchange</w:t>
            </w:r>
          </w:p>
        </w:tc>
      </w:tr>
      <w:tr w:rsidR="00D230D1" w14:paraId="4785EAE5" w14:textId="77777777">
        <w:trPr>
          <w:trHeight w:val="300"/>
        </w:trPr>
        <w:tc>
          <w:tcPr>
            <w:tcW w:w="9072" w:type="dxa"/>
            <w:tcBorders>
              <w:top w:val="nil"/>
              <w:left w:val="nil"/>
              <w:bottom w:val="nil"/>
              <w:right w:val="nil"/>
            </w:tcBorders>
            <w:noWrap/>
            <w:vAlign w:val="bottom"/>
            <w:hideMark/>
          </w:tcPr>
          <w:p w14:paraId="0E3CA4AB" w14:textId="690222E7" w:rsidR="00D230D1" w:rsidRDefault="00D230D1" w:rsidP="00D230D1">
            <w:pPr>
              <w:pStyle w:val="P68B1DB1-Normal91"/>
            </w:pPr>
            <w:r w:rsidRPr="00F22F68">
              <w:t>RoClear</w:t>
            </w:r>
          </w:p>
        </w:tc>
      </w:tr>
      <w:tr w:rsidR="00D230D1" w14:paraId="16348C32" w14:textId="77777777">
        <w:trPr>
          <w:trHeight w:val="300"/>
        </w:trPr>
        <w:tc>
          <w:tcPr>
            <w:tcW w:w="9072" w:type="dxa"/>
            <w:tcBorders>
              <w:top w:val="nil"/>
              <w:left w:val="nil"/>
              <w:bottom w:val="nil"/>
              <w:right w:val="nil"/>
            </w:tcBorders>
            <w:noWrap/>
            <w:vAlign w:val="bottom"/>
            <w:hideMark/>
          </w:tcPr>
          <w:p w14:paraId="7791248F" w14:textId="1201F01B" w:rsidR="00D230D1" w:rsidRDefault="00D230D1" w:rsidP="00D230D1">
            <w:pPr>
              <w:pStyle w:val="P68B1DB1-Normal91"/>
            </w:pPr>
            <w:r w:rsidRPr="00F22F68">
              <w:t>RPS</w:t>
            </w:r>
          </w:p>
        </w:tc>
      </w:tr>
      <w:tr w:rsidR="00D230D1" w14:paraId="201CD5B7" w14:textId="77777777">
        <w:trPr>
          <w:trHeight w:val="300"/>
        </w:trPr>
        <w:tc>
          <w:tcPr>
            <w:tcW w:w="9072" w:type="dxa"/>
            <w:tcBorders>
              <w:top w:val="nil"/>
              <w:left w:val="nil"/>
              <w:bottom w:val="nil"/>
              <w:right w:val="nil"/>
            </w:tcBorders>
            <w:noWrap/>
            <w:vAlign w:val="bottom"/>
            <w:hideMark/>
          </w:tcPr>
          <w:p w14:paraId="78F31295" w14:textId="6F64FCC5" w:rsidR="00D230D1" w:rsidRDefault="00D230D1" w:rsidP="00D230D1">
            <w:pPr>
              <w:pStyle w:val="P68B1DB1-Normal91"/>
            </w:pPr>
            <w:r w:rsidRPr="00F22F68">
              <w:t>RT1</w:t>
            </w:r>
          </w:p>
        </w:tc>
      </w:tr>
      <w:tr w:rsidR="00D230D1" w14:paraId="5D6D4D2F" w14:textId="77777777">
        <w:trPr>
          <w:trHeight w:val="300"/>
        </w:trPr>
        <w:tc>
          <w:tcPr>
            <w:tcW w:w="9072" w:type="dxa"/>
            <w:tcBorders>
              <w:top w:val="nil"/>
              <w:left w:val="nil"/>
              <w:bottom w:val="nil"/>
              <w:right w:val="nil"/>
            </w:tcBorders>
            <w:noWrap/>
            <w:vAlign w:val="bottom"/>
            <w:hideMark/>
          </w:tcPr>
          <w:p w14:paraId="0D3FA36D" w14:textId="1041FDEA" w:rsidR="00D230D1" w:rsidRDefault="00D230D1" w:rsidP="00D230D1">
            <w:pPr>
              <w:pStyle w:val="P68B1DB1-Normal91"/>
            </w:pPr>
            <w:r w:rsidRPr="00F22F68">
              <w:t>SAFIR</w:t>
            </w:r>
          </w:p>
        </w:tc>
      </w:tr>
      <w:tr w:rsidR="00D230D1" w14:paraId="683945A8" w14:textId="77777777">
        <w:trPr>
          <w:trHeight w:val="300"/>
        </w:trPr>
        <w:tc>
          <w:tcPr>
            <w:tcW w:w="9072" w:type="dxa"/>
            <w:tcBorders>
              <w:top w:val="nil"/>
              <w:left w:val="nil"/>
              <w:bottom w:val="nil"/>
              <w:right w:val="nil"/>
            </w:tcBorders>
            <w:noWrap/>
            <w:vAlign w:val="bottom"/>
            <w:hideMark/>
          </w:tcPr>
          <w:p w14:paraId="4536F3F1" w14:textId="4EB6C6A9" w:rsidR="00D230D1" w:rsidRDefault="00D230D1" w:rsidP="00D230D1">
            <w:pPr>
              <w:pStyle w:val="P68B1DB1-Normal91"/>
            </w:pPr>
            <w:r w:rsidRPr="00F22F68">
              <w:t>SENT</w:t>
            </w:r>
          </w:p>
        </w:tc>
      </w:tr>
      <w:tr w:rsidR="00D230D1" w14:paraId="37207CC9" w14:textId="77777777">
        <w:trPr>
          <w:trHeight w:val="300"/>
        </w:trPr>
        <w:tc>
          <w:tcPr>
            <w:tcW w:w="9072" w:type="dxa"/>
            <w:tcBorders>
              <w:top w:val="nil"/>
              <w:left w:val="nil"/>
              <w:bottom w:val="nil"/>
              <w:right w:val="nil"/>
            </w:tcBorders>
            <w:noWrap/>
            <w:vAlign w:val="bottom"/>
            <w:hideMark/>
          </w:tcPr>
          <w:p w14:paraId="78322774" w14:textId="54F01444" w:rsidR="00D230D1" w:rsidRDefault="00D230D1" w:rsidP="00D230D1">
            <w:pPr>
              <w:pStyle w:val="P68B1DB1-Normal91"/>
            </w:pPr>
            <w:r w:rsidRPr="00F22F68">
              <w:t>SICOI</w:t>
            </w:r>
          </w:p>
        </w:tc>
      </w:tr>
      <w:tr w:rsidR="00D230D1" w14:paraId="20A1D4E0" w14:textId="77777777">
        <w:trPr>
          <w:trHeight w:val="300"/>
        </w:trPr>
        <w:tc>
          <w:tcPr>
            <w:tcW w:w="9072" w:type="dxa"/>
            <w:tcBorders>
              <w:top w:val="nil"/>
              <w:left w:val="nil"/>
              <w:bottom w:val="nil"/>
              <w:right w:val="nil"/>
            </w:tcBorders>
            <w:noWrap/>
            <w:vAlign w:val="bottom"/>
            <w:hideMark/>
          </w:tcPr>
          <w:p w14:paraId="745FF75E" w14:textId="19464A80" w:rsidR="00D230D1" w:rsidRDefault="00D230D1" w:rsidP="00D230D1">
            <w:pPr>
              <w:pStyle w:val="P68B1DB1-Normal91"/>
            </w:pPr>
            <w:r w:rsidRPr="00F22F68">
              <w:t>SIMP - PS</w:t>
            </w:r>
          </w:p>
        </w:tc>
      </w:tr>
      <w:tr w:rsidR="00D230D1" w14:paraId="1F8A8F25" w14:textId="77777777">
        <w:trPr>
          <w:trHeight w:val="300"/>
        </w:trPr>
        <w:tc>
          <w:tcPr>
            <w:tcW w:w="9072" w:type="dxa"/>
            <w:tcBorders>
              <w:top w:val="nil"/>
              <w:left w:val="nil"/>
              <w:bottom w:val="nil"/>
              <w:right w:val="nil"/>
            </w:tcBorders>
            <w:noWrap/>
            <w:vAlign w:val="bottom"/>
            <w:hideMark/>
          </w:tcPr>
          <w:p w14:paraId="7B70556F" w14:textId="38A4C327" w:rsidR="00D230D1" w:rsidRDefault="00D230D1" w:rsidP="00D230D1">
            <w:pPr>
              <w:pStyle w:val="P68B1DB1-Normal91"/>
            </w:pPr>
            <w:r w:rsidRPr="00F22F68">
              <w:t>SIP SPlatobný systém</w:t>
            </w:r>
          </w:p>
        </w:tc>
      </w:tr>
      <w:tr w:rsidR="00D230D1" w14:paraId="661159A9" w14:textId="77777777">
        <w:trPr>
          <w:trHeight w:val="300"/>
        </w:trPr>
        <w:tc>
          <w:tcPr>
            <w:tcW w:w="9072" w:type="dxa"/>
            <w:tcBorders>
              <w:top w:val="nil"/>
              <w:left w:val="nil"/>
              <w:bottom w:val="nil"/>
              <w:right w:val="nil"/>
            </w:tcBorders>
            <w:noWrap/>
            <w:vAlign w:val="bottom"/>
            <w:hideMark/>
          </w:tcPr>
          <w:p w14:paraId="21A22FD2" w14:textId="23DF80EB" w:rsidR="00D230D1" w:rsidRDefault="00D230D1" w:rsidP="00D230D1">
            <w:pPr>
              <w:pStyle w:val="P68B1DB1-Normal91"/>
            </w:pPr>
            <w:r w:rsidRPr="00F22F68">
              <w:t>SIX</w:t>
            </w:r>
          </w:p>
        </w:tc>
      </w:tr>
      <w:tr w:rsidR="00D230D1" w14:paraId="01B00784" w14:textId="77777777">
        <w:trPr>
          <w:trHeight w:val="300"/>
        </w:trPr>
        <w:tc>
          <w:tcPr>
            <w:tcW w:w="9072" w:type="dxa"/>
            <w:tcBorders>
              <w:top w:val="nil"/>
              <w:left w:val="nil"/>
              <w:bottom w:val="nil"/>
              <w:right w:val="nil"/>
            </w:tcBorders>
            <w:noWrap/>
            <w:vAlign w:val="bottom"/>
            <w:hideMark/>
          </w:tcPr>
          <w:p w14:paraId="42A9A872" w14:textId="5061715D" w:rsidR="00D230D1" w:rsidRDefault="00D230D1" w:rsidP="00D230D1">
            <w:pPr>
              <w:pStyle w:val="P68B1DB1-Normal91"/>
            </w:pPr>
            <w:r w:rsidRPr="00F22F68">
              <w:t>SIX InterbankClearing (SIC)/EuroSIC</w:t>
            </w:r>
          </w:p>
        </w:tc>
      </w:tr>
      <w:tr w:rsidR="00D230D1" w14:paraId="4AB76E2F" w14:textId="77777777">
        <w:trPr>
          <w:trHeight w:val="300"/>
        </w:trPr>
        <w:tc>
          <w:tcPr>
            <w:tcW w:w="9072" w:type="dxa"/>
            <w:tcBorders>
              <w:top w:val="nil"/>
              <w:left w:val="nil"/>
              <w:bottom w:val="nil"/>
              <w:right w:val="nil"/>
            </w:tcBorders>
            <w:noWrap/>
            <w:vAlign w:val="bottom"/>
            <w:hideMark/>
          </w:tcPr>
          <w:p w14:paraId="591D0E38" w14:textId="4546ED41" w:rsidR="00D230D1" w:rsidRDefault="00D230D1" w:rsidP="00D230D1">
            <w:pPr>
              <w:pStyle w:val="P68B1DB1-Normal91"/>
            </w:pPr>
            <w:r w:rsidRPr="00F22F68">
              <w:t>SIX Swiss Exchange</w:t>
            </w:r>
          </w:p>
        </w:tc>
      </w:tr>
      <w:tr w:rsidR="00D230D1" w14:paraId="0FE15923" w14:textId="77777777">
        <w:trPr>
          <w:trHeight w:val="300"/>
        </w:trPr>
        <w:tc>
          <w:tcPr>
            <w:tcW w:w="9072" w:type="dxa"/>
            <w:tcBorders>
              <w:top w:val="nil"/>
              <w:left w:val="nil"/>
              <w:bottom w:val="nil"/>
              <w:right w:val="nil"/>
            </w:tcBorders>
            <w:noWrap/>
            <w:vAlign w:val="bottom"/>
            <w:hideMark/>
          </w:tcPr>
          <w:p w14:paraId="7A0AEADF" w14:textId="4D08A2BD" w:rsidR="00D230D1" w:rsidRDefault="00D230D1" w:rsidP="00D230D1">
            <w:pPr>
              <w:pStyle w:val="P68B1DB1-Normal91"/>
            </w:pPr>
            <w:r w:rsidRPr="00F22F68">
              <w:t>SIX x-clear</w:t>
            </w:r>
          </w:p>
        </w:tc>
      </w:tr>
      <w:tr w:rsidR="00D230D1" w14:paraId="58C9ED3B" w14:textId="77777777">
        <w:trPr>
          <w:trHeight w:val="300"/>
        </w:trPr>
        <w:tc>
          <w:tcPr>
            <w:tcW w:w="9072" w:type="dxa"/>
            <w:tcBorders>
              <w:top w:val="nil"/>
              <w:left w:val="nil"/>
              <w:bottom w:val="nil"/>
              <w:right w:val="nil"/>
            </w:tcBorders>
            <w:noWrap/>
            <w:vAlign w:val="bottom"/>
            <w:hideMark/>
          </w:tcPr>
          <w:p w14:paraId="53254B63" w14:textId="5F581B7A" w:rsidR="00D230D1" w:rsidRDefault="00D230D1" w:rsidP="00D230D1">
            <w:pPr>
              <w:pStyle w:val="P68B1DB1-Normal91"/>
            </w:pPr>
            <w:r w:rsidRPr="00F22F68">
              <w:t>SKD (Short Term Bond System)</w:t>
            </w:r>
          </w:p>
        </w:tc>
      </w:tr>
      <w:tr w:rsidR="00D230D1" w14:paraId="479A72E9" w14:textId="77777777">
        <w:trPr>
          <w:trHeight w:val="300"/>
        </w:trPr>
        <w:tc>
          <w:tcPr>
            <w:tcW w:w="9072" w:type="dxa"/>
            <w:tcBorders>
              <w:top w:val="nil"/>
              <w:left w:val="nil"/>
              <w:bottom w:val="nil"/>
              <w:right w:val="nil"/>
            </w:tcBorders>
            <w:noWrap/>
            <w:vAlign w:val="bottom"/>
            <w:hideMark/>
          </w:tcPr>
          <w:p w14:paraId="559EC939" w14:textId="522309F6" w:rsidR="00D230D1" w:rsidRDefault="00D230D1" w:rsidP="00D230D1">
            <w:pPr>
              <w:pStyle w:val="P68B1DB1-Normal91"/>
            </w:pPr>
            <w:r w:rsidRPr="00A31D3C">
              <w:rPr>
                <w:lang w:val="es-ES"/>
              </w:rPr>
              <w:t>SNCE (Sistema Nacional de Compensación Electrónica)</w:t>
            </w:r>
          </w:p>
        </w:tc>
      </w:tr>
      <w:tr w:rsidR="00D230D1" w14:paraId="61D37C20" w14:textId="77777777">
        <w:trPr>
          <w:trHeight w:val="300"/>
        </w:trPr>
        <w:tc>
          <w:tcPr>
            <w:tcW w:w="9072" w:type="dxa"/>
            <w:tcBorders>
              <w:top w:val="nil"/>
              <w:left w:val="nil"/>
              <w:bottom w:val="nil"/>
              <w:right w:val="nil"/>
            </w:tcBorders>
            <w:noWrap/>
            <w:vAlign w:val="bottom"/>
            <w:hideMark/>
          </w:tcPr>
          <w:p w14:paraId="0B37415E" w14:textId="2541F8C3" w:rsidR="00D230D1" w:rsidRDefault="00D230D1" w:rsidP="00D230D1">
            <w:pPr>
              <w:pStyle w:val="P68B1DB1-Normal91"/>
            </w:pPr>
            <w:r w:rsidRPr="003C5532">
              <w:rPr>
                <w:lang w:val="fr-BE"/>
              </w:rPr>
              <w:t>Société de la Bourse du Luxembourg SA</w:t>
            </w:r>
          </w:p>
        </w:tc>
      </w:tr>
      <w:tr w:rsidR="00D230D1" w14:paraId="09E4F71F" w14:textId="77777777">
        <w:trPr>
          <w:trHeight w:val="300"/>
        </w:trPr>
        <w:tc>
          <w:tcPr>
            <w:tcW w:w="9072" w:type="dxa"/>
            <w:tcBorders>
              <w:top w:val="nil"/>
              <w:left w:val="nil"/>
              <w:bottom w:val="nil"/>
              <w:right w:val="nil"/>
            </w:tcBorders>
            <w:noWrap/>
            <w:vAlign w:val="bottom"/>
            <w:hideMark/>
          </w:tcPr>
          <w:p w14:paraId="094DD4AF" w14:textId="6EF114DF" w:rsidR="00D230D1" w:rsidRDefault="00D230D1" w:rsidP="00D230D1">
            <w:pPr>
              <w:pStyle w:val="P68B1DB1-Normal91"/>
            </w:pPr>
            <w:r w:rsidRPr="00F22F68">
              <w:t>SORBNET2</w:t>
            </w:r>
          </w:p>
        </w:tc>
      </w:tr>
      <w:tr w:rsidR="00D230D1" w14:paraId="1E86EA3A" w14:textId="77777777">
        <w:trPr>
          <w:trHeight w:val="300"/>
        </w:trPr>
        <w:tc>
          <w:tcPr>
            <w:tcW w:w="9072" w:type="dxa"/>
            <w:tcBorders>
              <w:top w:val="nil"/>
              <w:left w:val="nil"/>
              <w:bottom w:val="nil"/>
              <w:right w:val="nil"/>
            </w:tcBorders>
            <w:noWrap/>
            <w:vAlign w:val="bottom"/>
            <w:hideMark/>
          </w:tcPr>
          <w:p w14:paraId="2FE926EC" w14:textId="31BAAC85" w:rsidR="00D230D1" w:rsidRDefault="00D230D1" w:rsidP="00D230D1">
            <w:pPr>
              <w:pStyle w:val="P68B1DB1-Normal91"/>
            </w:pPr>
            <w:r w:rsidRPr="00F22F68">
              <w:t>STEP 1</w:t>
            </w:r>
          </w:p>
        </w:tc>
      </w:tr>
      <w:tr w:rsidR="00D230D1" w14:paraId="4A3D7A33" w14:textId="77777777">
        <w:trPr>
          <w:trHeight w:val="300"/>
        </w:trPr>
        <w:tc>
          <w:tcPr>
            <w:tcW w:w="9072" w:type="dxa"/>
            <w:tcBorders>
              <w:top w:val="nil"/>
              <w:left w:val="nil"/>
              <w:bottom w:val="nil"/>
              <w:right w:val="nil"/>
            </w:tcBorders>
            <w:noWrap/>
            <w:vAlign w:val="bottom"/>
            <w:hideMark/>
          </w:tcPr>
          <w:p w14:paraId="38D47947" w14:textId="61792762" w:rsidR="00D230D1" w:rsidRDefault="00D230D1" w:rsidP="00D230D1">
            <w:pPr>
              <w:pStyle w:val="P68B1DB1-Normal91"/>
            </w:pPr>
            <w:r w:rsidRPr="00F22F68">
              <w:t>STEP 2</w:t>
            </w:r>
          </w:p>
        </w:tc>
      </w:tr>
      <w:tr w:rsidR="00D230D1" w14:paraId="305AEF07" w14:textId="77777777">
        <w:trPr>
          <w:trHeight w:val="300"/>
        </w:trPr>
        <w:tc>
          <w:tcPr>
            <w:tcW w:w="9072" w:type="dxa"/>
            <w:tcBorders>
              <w:top w:val="nil"/>
              <w:left w:val="nil"/>
              <w:bottom w:val="nil"/>
              <w:right w:val="nil"/>
            </w:tcBorders>
            <w:noWrap/>
            <w:vAlign w:val="bottom"/>
            <w:hideMark/>
          </w:tcPr>
          <w:p w14:paraId="3385D576" w14:textId="7FE8B5DC" w:rsidR="00D230D1" w:rsidRDefault="00D230D1" w:rsidP="00D230D1">
            <w:pPr>
              <w:pStyle w:val="P68B1DB1-Normal91"/>
            </w:pPr>
            <w:r w:rsidRPr="00F22F68">
              <w:t>STET/CORE</w:t>
            </w:r>
          </w:p>
        </w:tc>
      </w:tr>
      <w:tr w:rsidR="00D230D1" w14:paraId="68530B39" w14:textId="77777777">
        <w:trPr>
          <w:trHeight w:val="300"/>
        </w:trPr>
        <w:tc>
          <w:tcPr>
            <w:tcW w:w="9072" w:type="dxa"/>
            <w:tcBorders>
              <w:top w:val="nil"/>
              <w:left w:val="nil"/>
              <w:bottom w:val="nil"/>
              <w:right w:val="nil"/>
            </w:tcBorders>
            <w:noWrap/>
            <w:vAlign w:val="bottom"/>
            <w:hideMark/>
          </w:tcPr>
          <w:p w14:paraId="2B90AD3F" w14:textId="1D95C245" w:rsidR="00D230D1" w:rsidRDefault="00D230D1" w:rsidP="00D230D1">
            <w:pPr>
              <w:pStyle w:val="P68B1DB1-Normal91"/>
            </w:pPr>
            <w:r w:rsidRPr="00F22F68">
              <w:t>Straksclearingen</w:t>
            </w:r>
          </w:p>
        </w:tc>
      </w:tr>
      <w:tr w:rsidR="00D230D1" w14:paraId="0E50A9AB" w14:textId="77777777">
        <w:trPr>
          <w:trHeight w:val="300"/>
        </w:trPr>
        <w:tc>
          <w:tcPr>
            <w:tcW w:w="9072" w:type="dxa"/>
            <w:tcBorders>
              <w:top w:val="nil"/>
              <w:left w:val="nil"/>
              <w:bottom w:val="nil"/>
              <w:right w:val="nil"/>
            </w:tcBorders>
            <w:noWrap/>
            <w:vAlign w:val="bottom"/>
            <w:hideMark/>
          </w:tcPr>
          <w:p w14:paraId="54E27288" w14:textId="154A8299" w:rsidR="00D230D1" w:rsidRDefault="00D230D1" w:rsidP="00D230D1">
            <w:pPr>
              <w:pStyle w:val="P68B1DB1-Normal91"/>
            </w:pPr>
            <w:r w:rsidRPr="00F22F68">
              <w:t>Sumclearingen</w:t>
            </w:r>
          </w:p>
        </w:tc>
      </w:tr>
      <w:tr w:rsidR="00D230D1" w14:paraId="0C6135E4" w14:textId="77777777">
        <w:trPr>
          <w:trHeight w:val="300"/>
        </w:trPr>
        <w:tc>
          <w:tcPr>
            <w:tcW w:w="9072" w:type="dxa"/>
            <w:tcBorders>
              <w:top w:val="nil"/>
              <w:left w:val="nil"/>
              <w:bottom w:val="nil"/>
              <w:right w:val="nil"/>
            </w:tcBorders>
            <w:noWrap/>
            <w:vAlign w:val="bottom"/>
            <w:hideMark/>
          </w:tcPr>
          <w:p w14:paraId="4789CBEE" w14:textId="6680DD87" w:rsidR="00D230D1" w:rsidRDefault="00D230D1" w:rsidP="00D230D1">
            <w:pPr>
              <w:pStyle w:val="P68B1DB1-Normal91"/>
            </w:pPr>
            <w:r w:rsidRPr="00F22F68">
              <w:t>T2S (SSS - only for direct connectivity)</w:t>
            </w:r>
          </w:p>
        </w:tc>
      </w:tr>
      <w:tr w:rsidR="00D230D1" w14:paraId="791932E6" w14:textId="77777777">
        <w:trPr>
          <w:trHeight w:val="300"/>
        </w:trPr>
        <w:tc>
          <w:tcPr>
            <w:tcW w:w="9072" w:type="dxa"/>
            <w:tcBorders>
              <w:top w:val="nil"/>
              <w:left w:val="nil"/>
              <w:bottom w:val="nil"/>
              <w:right w:val="nil"/>
            </w:tcBorders>
            <w:noWrap/>
            <w:vAlign w:val="bottom"/>
            <w:hideMark/>
          </w:tcPr>
          <w:p w14:paraId="085D29CC" w14:textId="78BF7BDA" w:rsidR="00D230D1" w:rsidRDefault="00D230D1" w:rsidP="00D230D1">
            <w:pPr>
              <w:pStyle w:val="P68B1DB1-Normal91"/>
            </w:pPr>
            <w:r w:rsidRPr="00F22F68">
              <w:t>TARGET2</w:t>
            </w:r>
          </w:p>
        </w:tc>
      </w:tr>
      <w:tr w:rsidR="00D230D1" w14:paraId="0379A497" w14:textId="77777777">
        <w:trPr>
          <w:trHeight w:val="300"/>
        </w:trPr>
        <w:tc>
          <w:tcPr>
            <w:tcW w:w="9072" w:type="dxa"/>
            <w:tcBorders>
              <w:top w:val="nil"/>
              <w:left w:val="nil"/>
              <w:bottom w:val="nil"/>
              <w:right w:val="nil"/>
            </w:tcBorders>
            <w:noWrap/>
            <w:vAlign w:val="bottom"/>
            <w:hideMark/>
          </w:tcPr>
          <w:p w14:paraId="56C29FCF" w14:textId="64FF450B" w:rsidR="00D230D1" w:rsidRDefault="00D230D1" w:rsidP="00D230D1">
            <w:pPr>
              <w:pStyle w:val="P68B1DB1-Normal91"/>
            </w:pPr>
            <w:r w:rsidRPr="00F22F68">
              <w:t>TIPS</w:t>
            </w:r>
          </w:p>
        </w:tc>
      </w:tr>
      <w:tr w:rsidR="00D230D1" w14:paraId="19C63903" w14:textId="77777777">
        <w:trPr>
          <w:trHeight w:val="300"/>
        </w:trPr>
        <w:tc>
          <w:tcPr>
            <w:tcW w:w="9072" w:type="dxa"/>
            <w:tcBorders>
              <w:top w:val="nil"/>
              <w:left w:val="nil"/>
              <w:bottom w:val="nil"/>
              <w:right w:val="nil"/>
            </w:tcBorders>
            <w:noWrap/>
            <w:vAlign w:val="bottom"/>
            <w:hideMark/>
          </w:tcPr>
          <w:p w14:paraId="6CABE6E8" w14:textId="300891BC" w:rsidR="00D230D1" w:rsidRDefault="00D230D1" w:rsidP="00D230D1">
            <w:pPr>
              <w:pStyle w:val="P68B1DB1-Normal91"/>
            </w:pPr>
            <w:r w:rsidRPr="00F22F68">
              <w:t>UnaVista Limited</w:t>
            </w:r>
          </w:p>
        </w:tc>
      </w:tr>
      <w:tr w:rsidR="00D230D1" w14:paraId="7E731946" w14:textId="77777777">
        <w:trPr>
          <w:trHeight w:val="300"/>
        </w:trPr>
        <w:tc>
          <w:tcPr>
            <w:tcW w:w="9072" w:type="dxa"/>
            <w:tcBorders>
              <w:top w:val="nil"/>
              <w:left w:val="nil"/>
              <w:bottom w:val="nil"/>
              <w:right w:val="nil"/>
            </w:tcBorders>
            <w:noWrap/>
            <w:vAlign w:val="bottom"/>
            <w:hideMark/>
          </w:tcPr>
          <w:p w14:paraId="6485DCC3" w14:textId="53CBB1DC" w:rsidR="00D230D1" w:rsidRDefault="00D230D1" w:rsidP="00D230D1">
            <w:pPr>
              <w:pStyle w:val="P68B1DB1-Normal91"/>
            </w:pPr>
            <w:r w:rsidRPr="00F22F68">
              <w:t>Verdipapirsentralen (VPS)</w:t>
            </w:r>
          </w:p>
        </w:tc>
      </w:tr>
      <w:tr w:rsidR="00D230D1" w14:paraId="599BD0C0" w14:textId="77777777">
        <w:trPr>
          <w:trHeight w:val="300"/>
        </w:trPr>
        <w:tc>
          <w:tcPr>
            <w:tcW w:w="9072" w:type="dxa"/>
            <w:tcBorders>
              <w:top w:val="nil"/>
              <w:left w:val="nil"/>
              <w:bottom w:val="nil"/>
              <w:right w:val="nil"/>
            </w:tcBorders>
            <w:noWrap/>
            <w:vAlign w:val="bottom"/>
            <w:hideMark/>
          </w:tcPr>
          <w:p w14:paraId="209D9CF9" w14:textId="48733996" w:rsidR="00D230D1" w:rsidRDefault="00D230D1" w:rsidP="00D230D1">
            <w:pPr>
              <w:pStyle w:val="P68B1DB1-Normal91"/>
            </w:pPr>
            <w:r w:rsidRPr="00F22F68">
              <w:t>VIBER</w:t>
            </w:r>
          </w:p>
        </w:tc>
      </w:tr>
      <w:tr w:rsidR="00D230D1" w14:paraId="3CBF4EA3" w14:textId="77777777">
        <w:trPr>
          <w:trHeight w:val="300"/>
        </w:trPr>
        <w:tc>
          <w:tcPr>
            <w:tcW w:w="9072" w:type="dxa"/>
            <w:tcBorders>
              <w:top w:val="nil"/>
              <w:left w:val="nil"/>
              <w:bottom w:val="nil"/>
              <w:right w:val="nil"/>
            </w:tcBorders>
            <w:noWrap/>
            <w:vAlign w:val="bottom"/>
            <w:hideMark/>
          </w:tcPr>
          <w:p w14:paraId="49A43CDA" w14:textId="07750238" w:rsidR="00D230D1" w:rsidRDefault="00D230D1" w:rsidP="00D230D1">
            <w:pPr>
              <w:pStyle w:val="P68B1DB1-Normal91"/>
            </w:pPr>
            <w:r w:rsidRPr="00F22F68">
              <w:t>VP Lux</w:t>
            </w:r>
          </w:p>
        </w:tc>
      </w:tr>
      <w:tr w:rsidR="00D230D1" w14:paraId="20C89571" w14:textId="77777777">
        <w:trPr>
          <w:trHeight w:val="300"/>
        </w:trPr>
        <w:tc>
          <w:tcPr>
            <w:tcW w:w="9072" w:type="dxa"/>
            <w:tcBorders>
              <w:top w:val="nil"/>
              <w:left w:val="nil"/>
              <w:bottom w:val="nil"/>
              <w:right w:val="nil"/>
            </w:tcBorders>
            <w:noWrap/>
            <w:vAlign w:val="bottom"/>
            <w:hideMark/>
          </w:tcPr>
          <w:p w14:paraId="12389C15" w14:textId="2EE2BFD7" w:rsidR="00D230D1" w:rsidRDefault="00D230D1" w:rsidP="00D230D1">
            <w:pPr>
              <w:pStyle w:val="P68B1DB1-Normal91"/>
            </w:pPr>
            <w:r w:rsidRPr="00F22F68">
              <w:t>VP Securities A/S</w:t>
            </w:r>
          </w:p>
        </w:tc>
      </w:tr>
    </w:tbl>
    <w:p w14:paraId="1E4D7216" w14:textId="77777777" w:rsidR="00896468" w:rsidRDefault="00896468">
      <w:pPr>
        <w:pStyle w:val="body"/>
        <w:rPr>
          <w:rFonts w:ascii="Times New Roman" w:hAnsi="Times New Roman" w:cs="Times New Roman"/>
          <w:sz w:val="20"/>
          <w:szCs w:val="20"/>
        </w:rPr>
      </w:pPr>
    </w:p>
    <w:sectPr w:rsidR="00896468">
      <w:headerReference w:type="even" r:id="rId15"/>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5772" w14:textId="77777777" w:rsidR="00207CEB" w:rsidRDefault="00207CEB">
      <w:r>
        <w:separator/>
      </w:r>
    </w:p>
  </w:endnote>
  <w:endnote w:type="continuationSeparator" w:id="0">
    <w:p w14:paraId="59E35612" w14:textId="77777777" w:rsidR="00207CEB" w:rsidRDefault="00207CEB">
      <w:r>
        <w:continuationSeparator/>
      </w:r>
    </w:p>
  </w:endnote>
  <w:endnote w:type="continuationNotice" w:id="1">
    <w:p w14:paraId="5251FF3D" w14:textId="77777777" w:rsidR="00207CEB" w:rsidRDefault="00207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896468" w:rsidRDefault="00B31E50">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896468" w:rsidRDefault="00896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896468" w:rsidRDefault="00B31E50">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Szövegdoboz"/>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896468" w:rsidRDefault="00B31E50">
                          <w:pPr>
                            <w:pStyle w:val="P68B1DB1-Normal92"/>
                            <w:rPr>
                              <w:bCs/>
                            </w:rPr>
                          </w:pPr>
                          <w:r>
                            <w:t>Ezeket a utasításokat eredetileg angol nyelven fogalmazták meg. Az EU többi hivatalos nyelvére történő fordításuk az eTranslation – az Európai Bizottság gépi fordítási szolgálata – segítségével történik, a legnagyobb gondosság elve alapján.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896468" w:rsidRDefault="00B31E50">
                    <w:pPr>
                      <w:pStyle w:val="P68B1DB1-Normal92"/>
                      <w:rPr>
                        <w:bCs/>
                      </w:rPr>
                    </w:pPr>
                    <w:r>
                      <w:t>Ezeket a utasításokat eredetileg angol nyelven fogalmazták meg. Az EU többi hivatalos nyelvére történő fordításuk az eTranslation – az Európai Bizottság gépi fordítási szolgálata – segítségével történik, a legnagyobb gondosság elve alapján.</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15FA" w14:textId="77777777" w:rsidR="00207CEB" w:rsidRDefault="00207CEB">
      <w:r>
        <w:separator/>
      </w:r>
    </w:p>
  </w:footnote>
  <w:footnote w:type="continuationSeparator" w:id="0">
    <w:p w14:paraId="2559F025" w14:textId="77777777" w:rsidR="00207CEB" w:rsidRDefault="00207CEB">
      <w:r>
        <w:continuationSeparator/>
      </w:r>
    </w:p>
  </w:footnote>
  <w:footnote w:type="continuationNotice" w:id="1">
    <w:p w14:paraId="72FC9A92" w14:textId="77777777" w:rsidR="00207CEB" w:rsidRDefault="00207CEB"/>
  </w:footnote>
  <w:footnote w:id="2">
    <w:p w14:paraId="0A3F5404" w14:textId="77777777" w:rsidR="00896468" w:rsidRDefault="00B31E50">
      <w:pPr>
        <w:pStyle w:val="FootnoteText"/>
      </w:pPr>
      <w:r>
        <w:rPr>
          <w:rStyle w:val="FootnoteReference"/>
        </w:rPr>
        <w:footnoteRef/>
      </w:r>
      <w:r>
        <w:t xml:space="preserve"> A Bizottság (EU) 2024/3117 végrehajtási rendelete (2024. november 29.) az 575/2013/EU európai parlamenti és tanácsi rendeletnek az intézmények felügyeleti adatszolgáltatása tekintetében történő alkalmazására vonatkozó végrehajtás-technikai standardok megállapításáról és az (EU) 2021/451 bizottsági végrehajtási rendelet hatályon kívül helyezéséről (</w:t>
      </w:r>
      <w:r>
        <w:rPr>
          <w:i/>
        </w:rPr>
        <w:t>HL L, 2024/3117, 2024.12.27., ELI: </w:t>
      </w:r>
      <w:hyperlink r:id="rId1" w:tgtFrame="_blank" w:tooltip="Gives access to this document through its ELI URI." w:history="1">
        <w:r>
          <w:rPr>
            <w:rStyle w:val="Hyperlink"/>
            <w:i/>
          </w:rPr>
          <w:t>http://data.europa.eu/eli/reg_impl/2024/3117/oj?locale=hu</w:t>
        </w:r>
      </w:hyperlink>
      <w:r>
        <w:t>).</w:t>
      </w:r>
    </w:p>
  </w:footnote>
  <w:footnote w:id="3">
    <w:p w14:paraId="7FE1D258" w14:textId="77777777" w:rsidR="00896468" w:rsidRDefault="00B31E50">
      <w:pPr>
        <w:pStyle w:val="FootnoteText"/>
      </w:pPr>
      <w:r>
        <w:rPr>
          <w:rStyle w:val="FootnoteReference"/>
          <w:rFonts w:ascii="Times New Roman" w:hAnsi="Times New Roman"/>
        </w:rPr>
        <w:footnoteRef/>
      </w:r>
      <w:r>
        <w:t xml:space="preserve"> Az Európai Parlament és a Tanács 1606/2002/EK rendelete (2002. július 19.) a nemzetközi számviteli standardok alkalmazásáról (HL L 243., 2002.9.11., 1. o.).</w:t>
      </w:r>
    </w:p>
  </w:footnote>
  <w:footnote w:id="4">
    <w:p w14:paraId="7FE1D259" w14:textId="77777777" w:rsidR="00896468" w:rsidRDefault="00B31E50">
      <w:pPr>
        <w:pStyle w:val="FootnoteText"/>
      </w:pPr>
      <w:r>
        <w:rPr>
          <w:rStyle w:val="FootnoteReference"/>
          <w:rFonts w:ascii="Times New Roman" w:hAnsi="Times New Roman"/>
        </w:rPr>
        <w:footnoteRef/>
      </w:r>
      <w:r>
        <w:t xml:space="preserve"> Az Európai Parlament és a Tanács 1606/2002/EK rendelete (2002. július 19.) a nemzetközi számviteli standardok alkalmazásáról (HL L 243., 2002.9.11., 1. o.).</w:t>
      </w:r>
    </w:p>
  </w:footnote>
  <w:footnote w:id="5">
    <w:p w14:paraId="7FE1D25A" w14:textId="77777777" w:rsidR="00896468" w:rsidRDefault="00B31E50">
      <w:pPr>
        <w:pStyle w:val="FootnoteText"/>
      </w:pPr>
      <w:r>
        <w:rPr>
          <w:rStyle w:val="FootnoteReference"/>
          <w:rFonts w:ascii="Times New Roman" w:hAnsi="Times New Roman"/>
        </w:rPr>
        <w:footnoteRef/>
      </w:r>
      <w:r>
        <w:t xml:space="preserve"> A Tanács 86/635/EGK irányelve (1986. december 8.) a bankok és más pénzügyi intézmények éves beszámolójáról és konszolidált éves beszámolójáról (HL L 372., 1986.12.31., 1. o.).</w:t>
      </w:r>
    </w:p>
  </w:footnote>
  <w:footnote w:id="6">
    <w:p w14:paraId="4F7C07A2" w14:textId="77777777" w:rsidR="00745019" w:rsidRDefault="00745019" w:rsidP="00745019">
      <w:pPr>
        <w:pStyle w:val="FootnoteText"/>
      </w:pPr>
      <w:r>
        <w:rPr>
          <w:rStyle w:val="FootnoteReference"/>
          <w:rFonts w:ascii="Times New Roman" w:hAnsi="Times New Roman"/>
        </w:rPr>
        <w:footnoteRef/>
      </w:r>
      <w:r>
        <w:t xml:space="preserve"> </w:t>
      </w:r>
      <w:r>
        <w:t>Az Európai Parlament és a Tanács 2013. június 26-i 575/2013/EU rendelete a hitelintézetekre és befektetési vállalkozásokra vonatkozó prudenciális követelményekről és a 648/2012/EU rendelet módosításáról (HL L 176., 2013.6.27., 1. o.).</w:t>
      </w:r>
    </w:p>
  </w:footnote>
  <w:footnote w:id="7">
    <w:p w14:paraId="7FE1D25C" w14:textId="77777777" w:rsidR="00896468" w:rsidRDefault="00B31E50">
      <w:pPr>
        <w:pStyle w:val="FootnoteText"/>
      </w:pPr>
      <w:r>
        <w:rPr>
          <w:rStyle w:val="FootnoteReference"/>
        </w:rPr>
        <w:footnoteRef/>
      </w:r>
      <w:r>
        <w:t xml:space="preserve"> Az Európai Parlament és a Tanács 2013. június 26-i 2013/36/EU irányelve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w:t>
      </w:r>
    </w:p>
  </w:footnote>
  <w:footnote w:id="8">
    <w:p w14:paraId="7FE1D25D" w14:textId="77777777" w:rsidR="00896468" w:rsidRDefault="00B31E50">
      <w:pPr>
        <w:pStyle w:val="FootnoteText"/>
      </w:pPr>
      <w:r>
        <w:rPr>
          <w:rStyle w:val="FootnoteReference"/>
        </w:rPr>
        <w:footnoteRef/>
      </w:r>
      <w:r>
        <w:t xml:space="preserve"> Az Európai Parlament és a Tanács (EU) 2019/2033 rendelete (2019. november 27.) a befektetési vállalkozásokra vonatkozó prudenciális követelményekről, valamint az 1093/2010/EU, az 575/2013/EU, a 600/2014/EU és a 806/2014/EU rendelet módosításáról (HL L 314., 2019.12.5., 1. o.).</w:t>
      </w:r>
    </w:p>
  </w:footnote>
  <w:footnote w:id="9">
    <w:p w14:paraId="7FE1D25E" w14:textId="77777777" w:rsidR="00896468" w:rsidRDefault="00B31E50">
      <w:pPr>
        <w:pStyle w:val="FootnoteText"/>
      </w:pPr>
      <w:r>
        <w:rPr>
          <w:rStyle w:val="FootnoteReference"/>
        </w:rPr>
        <w:footnoteRef/>
      </w:r>
      <w:r>
        <w:t xml:space="preserve"> Az Európai Parlament és a Tanács (EU) 2019/2034 irányelve (2019. november 27.) a befektetési vállalkozások prudenciális felügyeletéről, valamint a 2002/87/EK, a 2009/65/EK, a 2011/61/EU, a 2013/36/EU, a 2014/59/EU és a 2014/65/EU irányelv módosításáról (HL L 314., 2019.12.5., 64. o.)</w:t>
      </w:r>
    </w:p>
  </w:footnote>
  <w:footnote w:id="10">
    <w:p w14:paraId="7FE1D25F" w14:textId="77777777" w:rsidR="00896468" w:rsidRDefault="00B31E50">
      <w:pPr>
        <w:pStyle w:val="FootnoteText"/>
      </w:pPr>
      <w:r>
        <w:rPr>
          <w:rStyle w:val="FootnoteReference"/>
          <w:rFonts w:ascii="Times New Roman" w:hAnsi="Times New Roman"/>
        </w:rPr>
        <w:footnoteRef/>
      </w:r>
      <w:r>
        <w:t xml:space="preserve"> Az Európai Parlament és a Tanács 2009/138/EK irányelve (2009. november 25.) a biztosítási és viszontbiztosítási üzleti tevékenység megkezdéséről és gyakorlásáról (Szolvencia II) (HL L 335., 2009.12.17. 1. o.).</w:t>
      </w:r>
    </w:p>
  </w:footnote>
  <w:footnote w:id="11">
    <w:p w14:paraId="7FE1D260" w14:textId="2ADC4F18" w:rsidR="00896468" w:rsidRDefault="00B31E50">
      <w:pPr>
        <w:pStyle w:val="FootnoteText"/>
      </w:pPr>
      <w:r>
        <w:rPr>
          <w:rStyle w:val="FootnoteReference"/>
          <w:rFonts w:ascii="Times New Roman" w:hAnsi="Times New Roman"/>
        </w:rPr>
        <w:footnoteRef/>
      </w:r>
      <w:r>
        <w:t xml:space="preserve"> Az Európai Központi Bank (EU) 2021/379 rendelete a monetáris pénzügyi intézmények ágazati mérlegéről (HL L 297., 2013.11.7., 1. o.).</w:t>
      </w:r>
    </w:p>
  </w:footnote>
  <w:footnote w:id="12">
    <w:p w14:paraId="7FE1D261" w14:textId="77777777" w:rsidR="00896468" w:rsidRDefault="00B31E50">
      <w:pPr>
        <w:pStyle w:val="FootnoteText"/>
      </w:pPr>
      <w:r>
        <w:rPr>
          <w:rStyle w:val="FootnoteReference"/>
          <w:rFonts w:ascii="Times New Roman" w:hAnsi="Times New Roman"/>
        </w:rPr>
        <w:footnoteRef/>
      </w:r>
      <w:r>
        <w:t xml:space="preserve"> A Bizottság ajánlása (2003. május 6.) a mikro-, kis- és középvállalkozások meghatározásáról (az értesítés a C(2003) 1422. számú dokumentummal történt) (HL L 124., 2003.5.20., 36. o.).</w:t>
      </w:r>
    </w:p>
  </w:footnote>
  <w:footnote w:id="13">
    <w:p w14:paraId="74BC1C09" w14:textId="2C5E1052" w:rsidR="00896468" w:rsidRDefault="00B31E50">
      <w:pPr>
        <w:pStyle w:val="FootnoteText"/>
      </w:pPr>
      <w:r>
        <w:rPr>
          <w:rStyle w:val="FootnoteReference"/>
        </w:rPr>
        <w:footnoteRef/>
      </w:r>
      <w:r>
        <w:t xml:space="preserve"> Az Európai Parlament és a Tanács 2014/65/EU irányelve (2014. május 15.) a pénzügyi eszközök piacairól </w:t>
      </w:r>
      <w:r>
        <w:rPr>
          <w:rFonts w:hint="eastAsia"/>
        </w:rPr>
        <w:t>(HL L 173., 2014.6.12., 349. o.)</w:t>
      </w:r>
      <w:r>
        <w:t>.</w:t>
      </w:r>
    </w:p>
  </w:footnote>
  <w:footnote w:id="14">
    <w:p w14:paraId="7FE1D263" w14:textId="77777777" w:rsidR="00896468" w:rsidRDefault="00B31E50">
      <w:pPr>
        <w:pStyle w:val="FootnoteText"/>
      </w:pPr>
      <w:r>
        <w:rPr>
          <w:rStyle w:val="FootnoteReference"/>
        </w:rPr>
        <w:footnoteRef/>
      </w:r>
      <w:r>
        <w:t xml:space="preserve"> Az Európai Parlament és a Tanács 2014. május 15-i 2014/59/EU irányelve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648/2012/EU európai parlamenti és tanácsi rendelet módosításáról (HL L 173., 2014.6.12., 190. o.).</w:t>
      </w:r>
    </w:p>
  </w:footnote>
  <w:footnote w:id="15">
    <w:p w14:paraId="7FE1D264" w14:textId="77777777" w:rsidR="00896468" w:rsidRDefault="00B31E50">
      <w:pPr>
        <w:pStyle w:val="FootnoteText"/>
      </w:pPr>
      <w:r>
        <w:rPr>
          <w:rStyle w:val="FootnoteReference"/>
        </w:rPr>
        <w:footnoteRef/>
      </w:r>
      <w:r>
        <w:t xml:space="preserve"> Az Európai Parlament és a Tanács 2014/49/EU irányelve (2014. április 16.) a betétbiztosítási rendszerekről (HL L 173., 2014.6.12., 149. o.).</w:t>
      </w:r>
    </w:p>
  </w:footnote>
  <w:footnote w:id="16">
    <w:p w14:paraId="7FE1D267" w14:textId="77777777" w:rsidR="00896468" w:rsidRDefault="00B31E50">
      <w:pPr>
        <w:pStyle w:val="FootnoteText"/>
      </w:pPr>
      <w:r>
        <w:rPr>
          <w:rStyle w:val="FootnoteReference"/>
        </w:rPr>
        <w:footnoteRef/>
      </w:r>
      <w:r>
        <w:t xml:space="preserve"> A Bizottság (EU) 2016/1401 felhatalmazáson alapuló rendelete (2016. május 23.) a hitelintézetek és befektetési vállalkozások helyreállítását és szanálását célzó keretrendszer létrehozásáról szóló 2014/59/EU európai parlamenti és tanácsi irányelvnek a származtatott ügyletekből eredő kötelezettségek értékelésének módszereire és alapelveire vonatkozó szabályozástechnikai standardok tekintetében történő kiegészítéséről (HL L 228., 2016.8.23., 7. o.).</w:t>
      </w:r>
    </w:p>
  </w:footnote>
  <w:footnote w:id="17">
    <w:p w14:paraId="7FE1D268" w14:textId="77777777" w:rsidR="00896468" w:rsidRDefault="00B31E50">
      <w:pPr>
        <w:pStyle w:val="FootnoteText"/>
      </w:pPr>
      <w:r>
        <w:rPr>
          <w:rStyle w:val="FootnoteReference"/>
        </w:rPr>
        <w:footnoteRef/>
      </w:r>
      <w:r>
        <w:t xml:space="preserve"> A tőkefenntartási puffer 2013/36/EU irányelv 129. cikkében meghatározottak szerinti szintje;</w:t>
      </w:r>
    </w:p>
  </w:footnote>
  <w:footnote w:id="18">
    <w:p w14:paraId="7FE1D26D" w14:textId="77777777" w:rsidR="00896468" w:rsidRDefault="00B31E50">
      <w:pPr>
        <w:pStyle w:val="FootnoteText"/>
      </w:pPr>
      <w:r>
        <w:rPr>
          <w:rStyle w:val="FootnoteReference"/>
        </w:rPr>
        <w:footnoteRef/>
      </w:r>
      <w:r>
        <w:t xml:space="preserve"> </w:t>
      </w:r>
      <w:r>
        <w:t>Az Európai Parlament és a Tanács (EU) 2015/2366 irányelve (2015. november 25.) a belső piaci pénzforgalmi szolgáltatásokról és a 2002/65/EK, a 2009/110/EK és a 2013/36/EU irányelv és az 1093/2010/EU rendelet módosításáról, valamint a 2007/64/EK irányelv hatályon kívül helyezéséről (HL L 337., 2015.12.23., 35. o.).</w:t>
      </w:r>
    </w:p>
  </w:footnote>
  <w:footnote w:id="19">
    <w:p w14:paraId="7FE1D26E" w14:textId="77777777" w:rsidR="00896468" w:rsidRDefault="00B31E50">
      <w:pPr>
        <w:pStyle w:val="FootnoteText"/>
      </w:pPr>
      <w:r>
        <w:rPr>
          <w:rStyle w:val="FootnoteReference"/>
        </w:rPr>
        <w:footnoteRef/>
      </w:r>
      <w:r>
        <w:t xml:space="preserve"> Az Európai Parlament és a Tanács 648/2012/EU rendelete (2012. július 4.) a tőzsdén kívüli származtatott ügyletekről, a központi szerződő felekről és a kereskedési adattárakról (HL L 201., 2012.7.27., 1. o.).</w:t>
      </w:r>
    </w:p>
  </w:footnote>
  <w:footnote w:id="20">
    <w:p w14:paraId="65F8B66F" w14:textId="77777777" w:rsidR="003F6B04" w:rsidRDefault="003F6B04" w:rsidP="003F6B04">
      <w:pPr>
        <w:pStyle w:val="FootnoteText"/>
      </w:pPr>
      <w:r>
        <w:rPr>
          <w:rStyle w:val="FootnoteReference"/>
        </w:rPr>
        <w:footnoteRef/>
      </w:r>
      <w:r>
        <w:t xml:space="preserve"> A (EU) 2021/835 európai központi bank rendeletének 1. cikk (2) bekezdésének megfelelően a hatályon kívül helyezett iránymutatásra történő hivatkozásokat megfelelően az (EU) 2021/830 iránymutatásra (EKB/2021/11), az (EU) 2021/831 iránymutatásra (EKB/2021/12), az (EU) 2021/833 iránymutatásra (EKB/2021/14), az (EU) 2021/832 iránymutatásra (EKB/2021/13) és az (EU) 2021/834 iránymutatásra (EKB/2021/15) rendeletre történő hivatkozásként, valamint a II-VI. mellékletben szereplő megfelelési táblázatokkal összhangban kell értelmezni.</w:t>
      </w:r>
    </w:p>
    <w:p w14:paraId="117BBE0F" w14:textId="77777777" w:rsidR="003F6B04" w:rsidRDefault="003F6B04" w:rsidP="003F6B04">
      <w:pPr>
        <w:pStyle w:val="FootnoteText"/>
      </w:pPr>
    </w:p>
  </w:footnote>
  <w:footnote w:id="21">
    <w:p w14:paraId="7FE1D272" w14:textId="77777777" w:rsidR="00896468" w:rsidRDefault="00B31E50">
      <w:pPr>
        <w:pStyle w:val="FootnoteText"/>
      </w:pPr>
      <w:r>
        <w:footnoteRef/>
      </w:r>
      <w:r>
        <w:t xml:space="preserve"> </w:t>
      </w:r>
      <w:r>
        <w:t>Az EBH szanálhatósági iránymutatásainak 13. pontjában meghatározottak szerint.</w:t>
      </w:r>
    </w:p>
  </w:footnote>
  <w:footnote w:id="22">
    <w:p w14:paraId="7FE1D273" w14:textId="60D312AD" w:rsidR="00896468" w:rsidRDefault="00B31E50">
      <w:pPr>
        <w:pStyle w:val="FootnoteText"/>
      </w:pPr>
      <w:r>
        <w:rPr>
          <w:rStyle w:val="FootnoteReference"/>
          <w:rFonts w:ascii="Verdana" w:hAnsi="Verdana"/>
          <w:sz w:val="16"/>
          <w:szCs w:val="16"/>
        </w:rPr>
        <w:footnoteRef/>
      </w:r>
      <w:r>
        <w:t xml:space="preserve"> Az (EU) 2016/778 felhatalmazáson alapuló bizottsági rendelet 6. cikke és (8) preambulumbekezdése.</w:t>
      </w:r>
    </w:p>
  </w:footnote>
  <w:footnote w:id="23">
    <w:p w14:paraId="7FE1D274" w14:textId="1C805137" w:rsidR="00896468" w:rsidRDefault="00B31E50">
      <w:pPr>
        <w:pStyle w:val="FootnoteText"/>
      </w:pPr>
      <w:r>
        <w:rPr>
          <w:rStyle w:val="FootnoteReference"/>
          <w:rFonts w:ascii="Verdana" w:hAnsi="Verdana"/>
          <w:sz w:val="16"/>
          <w:szCs w:val="16"/>
        </w:rPr>
        <w:footnoteRef/>
      </w:r>
      <w:r>
        <w:t xml:space="preserve"> Az (EU) 2016/778 felhatalmazáson alapuló bizottsági rendelet 7. cikke. </w:t>
      </w:r>
    </w:p>
  </w:footnote>
  <w:footnote w:id="24">
    <w:p w14:paraId="7FE1D275" w14:textId="77777777" w:rsidR="00896468" w:rsidRDefault="00B31E50">
      <w:pPr>
        <w:pStyle w:val="FootnoteText"/>
      </w:pPr>
      <w:r>
        <w:footnoteRef/>
      </w:r>
      <w:r>
        <w:t xml:space="preserve"> Az alapvető szolgáltatások folytonossága szükséges lehet a kritikus funkciók fenntartásától eltérő szanálási célok eléréséhez (pl. pénzügyi stabilitás a szanálás utáni szervezet életképességének biztosítása révén). </w:t>
      </w:r>
    </w:p>
    <w:p w14:paraId="7FE1D276" w14:textId="77777777" w:rsidR="00896468" w:rsidRDefault="00896468">
      <w:pPr>
        <w:pStyle w:val="FootnoteText"/>
      </w:pPr>
    </w:p>
  </w:footnote>
  <w:footnote w:id="25">
    <w:p w14:paraId="7FE1D27C" w14:textId="5E7E0EFF" w:rsidR="00896468" w:rsidRDefault="00B31E50">
      <w:pPr>
        <w:pStyle w:val="FootnoteText"/>
        <w:rPr>
          <w:rFonts w:ascii="Segoe UI" w:hAnsi="Segoe UI" w:cs="Segoe UI"/>
        </w:rPr>
      </w:pPr>
      <w:r>
        <w:footnoteRef/>
      </w:r>
      <w:r>
        <w:t xml:space="preserve"> </w:t>
      </w:r>
      <w:r>
        <w:t xml:space="preserve">A </w:t>
      </w:r>
      <w:r w:rsidR="00391093">
        <w:t>BRRD</w:t>
      </w:r>
      <w:r>
        <w:t xml:space="preserve"> IV. címének VI. fejezete rendelkezik a szanálás</w:t>
      </w:r>
      <w:r w:rsidR="00391093">
        <w:t>biztosság</w:t>
      </w:r>
      <w:r>
        <w:t>ról, különösen a szanálási hatóság hatásköreinek gyakorlásával összefüggésben, kivéve a reorganizációs tervek végrehajtását.</w:t>
      </w:r>
    </w:p>
  </w:footnote>
  <w:footnote w:id="26">
    <w:p w14:paraId="3F998E2E" w14:textId="7BDE8075" w:rsidR="00896468" w:rsidRDefault="00B31E50">
      <w:pPr>
        <w:pStyle w:val="FootnoteText"/>
      </w:pPr>
      <w:r>
        <w:rPr>
          <w:rStyle w:val="FootnoteReference"/>
        </w:rPr>
        <w:footnoteRef/>
      </w:r>
      <w:r>
        <w:t xml:space="preserve"> Az Európai Parlament és a Tanács (EU) 2022/2554 rendelete (2022. december 14.) a pénzügyi ágazat digitális működési rezilienciájáról, valamint az 1060/2009/EK, a 648/2012/EU, a 600/2014/EU, a 909/2014/EU és az (EU) 2016/1011 rendelet módosításáról.</w:t>
      </w:r>
    </w:p>
    <w:p w14:paraId="3A2C28B9" w14:textId="00F04738" w:rsidR="00896468" w:rsidRDefault="00896468">
      <w:pPr>
        <w:pStyle w:val="FootnoteText"/>
      </w:pPr>
    </w:p>
  </w:footnote>
  <w:footnote w:id="27">
    <w:p w14:paraId="7FE1D27F" w14:textId="77777777" w:rsidR="00896468" w:rsidRDefault="00B31E50">
      <w:pPr>
        <w:pStyle w:val="FootnoteText"/>
        <w:rPr>
          <w:rFonts w:ascii="Segoe UI" w:hAnsi="Segoe UI" w:cs="Segoe UI"/>
        </w:rPr>
      </w:pPr>
      <w:r>
        <w:footnoteRef/>
      </w:r>
      <w:r>
        <w:t xml:space="preserve"> A bankok helyreállításáról és szanálásáról szóló irányelv IV. címének VI. fejezete rendelkezik a szanálási rezilienciáról, különösen a szanálási hatóság hatásköreinek gyakorlásával összefüggésben, kivéve a reorganizációs tervek végrehajtását.</w:t>
      </w:r>
    </w:p>
  </w:footnote>
  <w:footnote w:id="28">
    <w:p w14:paraId="7FE1D280" w14:textId="77777777" w:rsidR="00896468" w:rsidRDefault="00B31E50">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Hitelviszonyt megtestesítő értékpapírok, részvények és egyéb értékpapírok, repo.</w:t>
      </w:r>
    </w:p>
  </w:footnote>
  <w:footnote w:id="29">
    <w:p w14:paraId="7FE1D281" w14:textId="77777777" w:rsidR="00896468" w:rsidRDefault="00B31E50">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Olyan multilaterális rendszerek vagy létesítmények, amelyekben több harmadik fél pénzügyi eszközökre vonatkozó vételi és eladási szándéka képes együttműködni a rendszerben. Az EGT-ben található rendszerek esetében ez a fogalommeghatározás a szabályozott piacokat, az MTF-et és az OTF-et foglalja magában.</w:t>
      </w:r>
    </w:p>
  </w:footnote>
  <w:footnote w:id="30">
    <w:p w14:paraId="7FE1D282" w14:textId="77777777" w:rsidR="00896468" w:rsidRDefault="00B31E50">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Lásd EKB Fizetési és Piaci glosszárium: Közvetlen résztvevő: „olyan [...] rendszer résztvevője, amely közvetítő igénybevétele nélkül képes elvégezni a rendszerben engedélyezett valamennyi tevékenységet (beleértve különösen a megbízások rendszerbe történő közvetlen bevitelét és a kiegyenlítési műveletek végrehajtását).”; Közvetett résztvevő: „egy [...] rendszerben résztvevő, amely egy közvetlen résztvevőt közvetítőként használ, hogy az a rendszerben engedélyezett tevékenységek valamelyikét elvégezze a nevében (főként az elszámolást)”.</w:t>
      </w:r>
    </w:p>
    <w:p w14:paraId="7FE1D283" w14:textId="77777777" w:rsidR="00896468" w:rsidRDefault="00896468">
      <w:pPr>
        <w:pStyle w:val="FootnoteText"/>
      </w:pPr>
    </w:p>
  </w:footnote>
  <w:footnote w:id="31">
    <w:p w14:paraId="7FE1D284" w14:textId="2512340A" w:rsidR="00896468" w:rsidRDefault="00B31E50">
      <w:pPr>
        <w:pStyle w:val="FootnoteText"/>
      </w:pPr>
      <w:r>
        <w:rPr>
          <w:rStyle w:val="FootnoteReference"/>
        </w:rPr>
        <w:footnoteRef/>
      </w:r>
      <w:r>
        <w:t xml:space="preserve"> </w:t>
      </w:r>
      <w:r>
        <w:t xml:space="preserve">E </w:t>
      </w:r>
      <w:r>
        <w:t>jelentés alkalmazásában a szanálás</w:t>
      </w:r>
      <w:r w:rsidR="00B1347D">
        <w:t>biztosság</w:t>
      </w:r>
      <w:r>
        <w:t xml:space="preserve"> meghatározását illetően lásd a Z.08.01 150-es oszlopot.</w:t>
      </w:r>
    </w:p>
  </w:footnote>
  <w:footnote w:id="32">
    <w:p w14:paraId="7FE1D285" w14:textId="011A00B0" w:rsidR="00896468" w:rsidRDefault="00B31E50">
      <w:pPr>
        <w:pStyle w:val="FootnoteText"/>
      </w:pPr>
      <w:r>
        <w:rPr>
          <w:rStyle w:val="FootnoteReference"/>
        </w:rPr>
        <w:footnoteRef/>
      </w:r>
      <w:r>
        <w:t xml:space="preserve"> </w:t>
      </w:r>
      <w:r>
        <w:t xml:space="preserve">Az adatszolgáltatás vonatkozó mérőszámai alkalmazásában </w:t>
      </w:r>
      <w:r>
        <w:t>a „kártyarendszerek” „</w:t>
      </w:r>
      <w:r w:rsidR="009E5F39">
        <w:t xml:space="preserve">pénzforgalmi </w:t>
      </w:r>
      <w:r>
        <w:t>szolgáltatások”-nak minősülnek; Az „NA” „központi érték</w:t>
      </w:r>
      <w:r w:rsidR="009E5F39">
        <w:t>tárnak</w:t>
      </w:r>
      <w:r>
        <w:t xml:space="preserve">” minősül, ha értékpapírokkal foglalkozik, és „fizetési </w:t>
      </w:r>
      <w:r w:rsidR="000A3AF4">
        <w:t>rendszereknek</w:t>
      </w:r>
      <w:r>
        <w:t>”, ha készpénzszolgáltatásokkal foglalkozik.</w:t>
      </w:r>
    </w:p>
  </w:footnote>
  <w:footnote w:id="33">
    <w:p w14:paraId="7FE1D286" w14:textId="5719A9D4" w:rsidR="00896468" w:rsidRDefault="00B31E50">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E jelentés </w:t>
      </w:r>
      <w:r>
        <w:rPr>
          <w:rFonts w:ascii="Times New Roman" w:eastAsiaTheme="minorEastAsia" w:hAnsi="Times New Roman" w:cs="Times New Roman"/>
          <w:sz w:val="18"/>
          <w:szCs w:val="18"/>
        </w:rPr>
        <w:t xml:space="preserve">alkalmazásában a számlatípusok jelentését az EMIR 39. cikkének (4) és (5) bekezdésével összhangban kell értelmezni. </w:t>
      </w:r>
      <w:r>
        <w:rPr>
          <w:rFonts w:ascii="Times New Roman" w:eastAsiaTheme="minorEastAsia" w:hAnsi="Times New Roman" w:cs="Times New Roman"/>
          <w:sz w:val="18"/>
          <w:szCs w:val="18"/>
        </w:rPr>
        <w:t>A</w:t>
      </w:r>
      <w:r w:rsidR="000A3AF4">
        <w:rPr>
          <w:rFonts w:ascii="Times New Roman" w:eastAsiaTheme="minorEastAsia" w:hAnsi="Times New Roman" w:cs="Times New Roman"/>
          <w:sz w:val="18"/>
          <w:szCs w:val="18"/>
        </w:rPr>
        <w:t xml:space="preserve"> pozíció</w:t>
      </w:r>
      <w:r>
        <w:rPr>
          <w:rFonts w:ascii="Times New Roman" w:eastAsiaTheme="minorEastAsia" w:hAnsi="Times New Roman" w:cs="Times New Roman"/>
          <w:sz w:val="18"/>
          <w:szCs w:val="18"/>
        </w:rPr>
        <w:t xml:space="preserve"> jelentését az EMIR 2. cikkének 3</w:t>
      </w:r>
      <w:r w:rsidR="00D254D1">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 xml:space="preserve"> </w:t>
      </w:r>
      <w:r w:rsidR="00D254D1">
        <w:rPr>
          <w:rFonts w:ascii="Times New Roman" w:eastAsiaTheme="minorEastAsia" w:hAnsi="Times New Roman" w:cs="Times New Roman"/>
          <w:sz w:val="18"/>
          <w:szCs w:val="18"/>
        </w:rPr>
        <w:t>pontjával</w:t>
      </w:r>
      <w:r>
        <w:rPr>
          <w:rFonts w:ascii="Times New Roman" w:eastAsiaTheme="minorEastAsia" w:hAnsi="Times New Roman" w:cs="Times New Roman"/>
          <w:sz w:val="18"/>
          <w:szCs w:val="18"/>
        </w:rPr>
        <w:t xml:space="preserve">, 39. cikkének (4) bekezdésével és 39. cikkének (5) bekezdésével összhangban kell értelmezni. Ügyfélszámlák: csak akkor jelentendő, ha a </w:t>
      </w:r>
      <w:r w:rsidR="000A3AF4">
        <w:rPr>
          <w:rFonts w:ascii="Times New Roman" w:eastAsiaTheme="minorEastAsia" w:hAnsi="Times New Roman" w:cs="Times New Roman"/>
          <w:sz w:val="18"/>
          <w:szCs w:val="18"/>
        </w:rPr>
        <w:t xml:space="preserve">szervezett </w:t>
      </w:r>
      <w:r>
        <w:rPr>
          <w:rFonts w:ascii="Times New Roman" w:eastAsiaTheme="minorEastAsia" w:hAnsi="Times New Roman" w:cs="Times New Roman"/>
          <w:sz w:val="18"/>
          <w:szCs w:val="18"/>
        </w:rPr>
        <w:t>közvetett hozzáférést biztosít az FMI-hez.</w:t>
      </w:r>
    </w:p>
  </w:footnote>
  <w:footnote w:id="34">
    <w:p w14:paraId="7FE1D287" w14:textId="21F2F8F9" w:rsidR="00896468" w:rsidRDefault="00B31E50">
      <w:pPr>
        <w:pStyle w:val="FootnoteText"/>
      </w:pPr>
      <w:r>
        <w:rPr>
          <w:rStyle w:val="FootnoteReference"/>
        </w:rPr>
        <w:footnoteRef/>
      </w:r>
      <w:r>
        <w:t xml:space="preserve"> Lásd Az EKB értékpapír-kereskedési, klíring- és elszámolási statisztikákra vonatkozó módszertani feljegyzései.</w:t>
      </w:r>
    </w:p>
  </w:footnote>
  <w:footnote w:id="35">
    <w:p w14:paraId="7FE1D289" w14:textId="77777777" w:rsidR="00896468" w:rsidRDefault="00B31E50">
      <w:pPr>
        <w:pStyle w:val="FootnoteText"/>
      </w:pPr>
      <w:r>
        <w:rPr>
          <w:rStyle w:val="FootnoteReference"/>
        </w:rPr>
        <w:footnoteRef/>
      </w:r>
      <w:r>
        <w:t xml:space="preserve"> Bizonyos tőkeinstrumentumok, például a szövetkezeti részesedések nem tartoznak az értékpapírok fogalommeghatározása alá, de azokat itt is jelenteni kell.</w:t>
      </w:r>
    </w:p>
  </w:footnote>
  <w:footnote w:id="36">
    <w:p w14:paraId="18DAB556" w14:textId="77777777" w:rsidR="00D230D1" w:rsidRPr="00A31D3C" w:rsidRDefault="00D230D1" w:rsidP="0046145A">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A31D3C">
        <w:rPr>
          <w:rFonts w:ascii="Verdana" w:hAnsi="Verdana"/>
          <w:bCs/>
          <w:sz w:val="16"/>
          <w:lang w:val="en-GB"/>
        </w:rPr>
        <w:t>Euronext Clearing is the new commercial name of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896468" w:rsidRDefault="00B31E50">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Szövegdoboz"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896468" w:rsidRDefault="00B31E50">
                          <w:pPr>
                            <w:pStyle w:val="P68B1DB1-Normal93"/>
                          </w:pPr>
                          <w: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Szövegdoboz"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896468" w:rsidRDefault="00B31E50">
                    <w:pPr>
                      <w:pStyle w:val="P68B1DB1-Normal93"/>
                    </w:pPr>
                    <w:r>
                      <w:t>EBH – szokásos felhasználásra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896468" w:rsidRDefault="00B31E50">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Szövegdoboz"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896468" w:rsidRDefault="00896468">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896468" w:rsidRDefault="00896468">
                    <w:pPr>
                      <w:rPr>
                        <w:rFonts w:ascii="Calibri" w:eastAsia="Calibri" w:hAnsi="Calibri" w:cs="Calibri"/>
                        <w:color w:val="000000"/>
                        <w:sz w:val="24"/>
                      </w:rPr>
                    </w:pPr>
                  </w:p>
                </w:txbxContent>
              </v:textbox>
              <w10:wrap type="square" anchorx="margin"/>
            </v:shape>
          </w:pict>
        </mc:Fallback>
      </mc:AlternateContent>
    </w:r>
    <w:r>
      <w:t>HU</w:t>
    </w:r>
  </w:p>
  <w:p w14:paraId="7FE1D24D" w14:textId="77777777" w:rsidR="00896468" w:rsidRDefault="00B31E50">
    <w:pPr>
      <w:pStyle w:val="P68B1DB1-Header94"/>
      <w:jc w:val="center"/>
    </w:pPr>
    <w:r>
      <w:t>II. MELLÉKLET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896468" w:rsidRDefault="00B31E50">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Szövegdoboz"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896468" w:rsidRDefault="00896468">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896468" w:rsidRDefault="00896468">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06BB"/>
    <w:rsid w:val="0000164F"/>
    <w:rsid w:val="00002E32"/>
    <w:rsid w:val="00012EF3"/>
    <w:rsid w:val="000134CE"/>
    <w:rsid w:val="00014C02"/>
    <w:rsid w:val="00015452"/>
    <w:rsid w:val="000223AC"/>
    <w:rsid w:val="000325A0"/>
    <w:rsid w:val="0003338C"/>
    <w:rsid w:val="000431C3"/>
    <w:rsid w:val="00052532"/>
    <w:rsid w:val="00057BC4"/>
    <w:rsid w:val="00067B3E"/>
    <w:rsid w:val="0007729C"/>
    <w:rsid w:val="00077C37"/>
    <w:rsid w:val="000802EF"/>
    <w:rsid w:val="00081A0B"/>
    <w:rsid w:val="00081CD3"/>
    <w:rsid w:val="00082480"/>
    <w:rsid w:val="00082B69"/>
    <w:rsid w:val="00086C16"/>
    <w:rsid w:val="000873EC"/>
    <w:rsid w:val="00093F09"/>
    <w:rsid w:val="00095408"/>
    <w:rsid w:val="000957FA"/>
    <w:rsid w:val="00096A35"/>
    <w:rsid w:val="00096E2F"/>
    <w:rsid w:val="000A1B9E"/>
    <w:rsid w:val="000A2507"/>
    <w:rsid w:val="000A3AF4"/>
    <w:rsid w:val="000A56F6"/>
    <w:rsid w:val="000B3ECD"/>
    <w:rsid w:val="000B45B0"/>
    <w:rsid w:val="000C0E67"/>
    <w:rsid w:val="000C51EB"/>
    <w:rsid w:val="000D2CC5"/>
    <w:rsid w:val="000D6BD3"/>
    <w:rsid w:val="000D6D48"/>
    <w:rsid w:val="000D7F5C"/>
    <w:rsid w:val="000E083F"/>
    <w:rsid w:val="000E1188"/>
    <w:rsid w:val="000E50C4"/>
    <w:rsid w:val="000F1C27"/>
    <w:rsid w:val="00104552"/>
    <w:rsid w:val="001056B9"/>
    <w:rsid w:val="0011164D"/>
    <w:rsid w:val="00122552"/>
    <w:rsid w:val="00124735"/>
    <w:rsid w:val="001300B7"/>
    <w:rsid w:val="001310BC"/>
    <w:rsid w:val="001319BA"/>
    <w:rsid w:val="0013673A"/>
    <w:rsid w:val="00137301"/>
    <w:rsid w:val="00147D6B"/>
    <w:rsid w:val="00151BE4"/>
    <w:rsid w:val="00157F67"/>
    <w:rsid w:val="0016454D"/>
    <w:rsid w:val="00164AB4"/>
    <w:rsid w:val="001665EC"/>
    <w:rsid w:val="001745BF"/>
    <w:rsid w:val="001760C3"/>
    <w:rsid w:val="001767FA"/>
    <w:rsid w:val="00181496"/>
    <w:rsid w:val="00190653"/>
    <w:rsid w:val="00191356"/>
    <w:rsid w:val="001B0D4C"/>
    <w:rsid w:val="001B187E"/>
    <w:rsid w:val="001B542E"/>
    <w:rsid w:val="001D34A8"/>
    <w:rsid w:val="001D45AF"/>
    <w:rsid w:val="001D4613"/>
    <w:rsid w:val="001D5EAA"/>
    <w:rsid w:val="001E1036"/>
    <w:rsid w:val="001E11D9"/>
    <w:rsid w:val="001F0302"/>
    <w:rsid w:val="001F07A7"/>
    <w:rsid w:val="00200EED"/>
    <w:rsid w:val="00201349"/>
    <w:rsid w:val="00202CEF"/>
    <w:rsid w:val="00202F1E"/>
    <w:rsid w:val="00204A18"/>
    <w:rsid w:val="00207CEB"/>
    <w:rsid w:val="0021420B"/>
    <w:rsid w:val="00222732"/>
    <w:rsid w:val="002250CA"/>
    <w:rsid w:val="002272F9"/>
    <w:rsid w:val="00231332"/>
    <w:rsid w:val="00235437"/>
    <w:rsid w:val="00235542"/>
    <w:rsid w:val="00237E2A"/>
    <w:rsid w:val="002415F5"/>
    <w:rsid w:val="002421B0"/>
    <w:rsid w:val="0024296B"/>
    <w:rsid w:val="00246C8D"/>
    <w:rsid w:val="00247EF6"/>
    <w:rsid w:val="00250C05"/>
    <w:rsid w:val="002519F3"/>
    <w:rsid w:val="00255796"/>
    <w:rsid w:val="00255BB6"/>
    <w:rsid w:val="00256AD8"/>
    <w:rsid w:val="00282C6C"/>
    <w:rsid w:val="00283DC8"/>
    <w:rsid w:val="002857B4"/>
    <w:rsid w:val="00291255"/>
    <w:rsid w:val="00295C4A"/>
    <w:rsid w:val="00297354"/>
    <w:rsid w:val="002973E4"/>
    <w:rsid w:val="00297EA5"/>
    <w:rsid w:val="002A1428"/>
    <w:rsid w:val="002A1DEF"/>
    <w:rsid w:val="002A242A"/>
    <w:rsid w:val="002A4A75"/>
    <w:rsid w:val="002B3840"/>
    <w:rsid w:val="002B3A04"/>
    <w:rsid w:val="002B3CFC"/>
    <w:rsid w:val="002B58C1"/>
    <w:rsid w:val="002C2C91"/>
    <w:rsid w:val="002C351F"/>
    <w:rsid w:val="002C3D69"/>
    <w:rsid w:val="002C5CD1"/>
    <w:rsid w:val="002D6061"/>
    <w:rsid w:val="002E01D3"/>
    <w:rsid w:val="002E0220"/>
    <w:rsid w:val="002E261E"/>
    <w:rsid w:val="002E495A"/>
    <w:rsid w:val="002F61BB"/>
    <w:rsid w:val="002F7BF6"/>
    <w:rsid w:val="00304D62"/>
    <w:rsid w:val="00305A64"/>
    <w:rsid w:val="00305BE4"/>
    <w:rsid w:val="00305D83"/>
    <w:rsid w:val="003166F3"/>
    <w:rsid w:val="00316728"/>
    <w:rsid w:val="00320D08"/>
    <w:rsid w:val="00322A91"/>
    <w:rsid w:val="0032366B"/>
    <w:rsid w:val="0032589B"/>
    <w:rsid w:val="003316F7"/>
    <w:rsid w:val="003463AD"/>
    <w:rsid w:val="00356F1E"/>
    <w:rsid w:val="0036700A"/>
    <w:rsid w:val="003726AF"/>
    <w:rsid w:val="00376C55"/>
    <w:rsid w:val="00381E19"/>
    <w:rsid w:val="00382BD0"/>
    <w:rsid w:val="00382CC2"/>
    <w:rsid w:val="003875C5"/>
    <w:rsid w:val="00390C77"/>
    <w:rsid w:val="00391093"/>
    <w:rsid w:val="003932C1"/>
    <w:rsid w:val="00393D7F"/>
    <w:rsid w:val="003A172A"/>
    <w:rsid w:val="003C5702"/>
    <w:rsid w:val="003D1513"/>
    <w:rsid w:val="003D76BA"/>
    <w:rsid w:val="003E102B"/>
    <w:rsid w:val="003E4C28"/>
    <w:rsid w:val="003E5193"/>
    <w:rsid w:val="003E5A17"/>
    <w:rsid w:val="003F27B3"/>
    <w:rsid w:val="003F6B04"/>
    <w:rsid w:val="003F79E6"/>
    <w:rsid w:val="00405B73"/>
    <w:rsid w:val="0041150E"/>
    <w:rsid w:val="00411EAC"/>
    <w:rsid w:val="00417791"/>
    <w:rsid w:val="00424880"/>
    <w:rsid w:val="00425EF9"/>
    <w:rsid w:val="004268F4"/>
    <w:rsid w:val="0043105C"/>
    <w:rsid w:val="00434529"/>
    <w:rsid w:val="00437667"/>
    <w:rsid w:val="00442269"/>
    <w:rsid w:val="00455F21"/>
    <w:rsid w:val="00456331"/>
    <w:rsid w:val="0046145A"/>
    <w:rsid w:val="0046377C"/>
    <w:rsid w:val="00472E7E"/>
    <w:rsid w:val="004748D5"/>
    <w:rsid w:val="00474B54"/>
    <w:rsid w:val="00475F09"/>
    <w:rsid w:val="00480AF2"/>
    <w:rsid w:val="00483AA9"/>
    <w:rsid w:val="00490E47"/>
    <w:rsid w:val="004949AC"/>
    <w:rsid w:val="00496767"/>
    <w:rsid w:val="004A6529"/>
    <w:rsid w:val="004B21DE"/>
    <w:rsid w:val="004B5F95"/>
    <w:rsid w:val="004B735F"/>
    <w:rsid w:val="004C3C09"/>
    <w:rsid w:val="004C7A6E"/>
    <w:rsid w:val="004E055A"/>
    <w:rsid w:val="004E1A73"/>
    <w:rsid w:val="004E372E"/>
    <w:rsid w:val="004E56F0"/>
    <w:rsid w:val="004E7F67"/>
    <w:rsid w:val="005020C0"/>
    <w:rsid w:val="0050242D"/>
    <w:rsid w:val="005036A7"/>
    <w:rsid w:val="00511DF0"/>
    <w:rsid w:val="00514D28"/>
    <w:rsid w:val="00516653"/>
    <w:rsid w:val="005206E9"/>
    <w:rsid w:val="005225C9"/>
    <w:rsid w:val="00531F46"/>
    <w:rsid w:val="005327AD"/>
    <w:rsid w:val="005363B3"/>
    <w:rsid w:val="00540821"/>
    <w:rsid w:val="00541BD5"/>
    <w:rsid w:val="00544EBA"/>
    <w:rsid w:val="00555315"/>
    <w:rsid w:val="00564A96"/>
    <w:rsid w:val="00570989"/>
    <w:rsid w:val="00577491"/>
    <w:rsid w:val="005822A2"/>
    <w:rsid w:val="00584116"/>
    <w:rsid w:val="00591328"/>
    <w:rsid w:val="005A126D"/>
    <w:rsid w:val="005B2566"/>
    <w:rsid w:val="005B51FD"/>
    <w:rsid w:val="005B5C0D"/>
    <w:rsid w:val="005C4B68"/>
    <w:rsid w:val="005C6468"/>
    <w:rsid w:val="005D177F"/>
    <w:rsid w:val="005D2910"/>
    <w:rsid w:val="005D3243"/>
    <w:rsid w:val="005E4C5E"/>
    <w:rsid w:val="005F343C"/>
    <w:rsid w:val="005F4CB3"/>
    <w:rsid w:val="005F4F30"/>
    <w:rsid w:val="005F72D6"/>
    <w:rsid w:val="005F7477"/>
    <w:rsid w:val="006075E6"/>
    <w:rsid w:val="00627225"/>
    <w:rsid w:val="006277CC"/>
    <w:rsid w:val="00632077"/>
    <w:rsid w:val="0063794F"/>
    <w:rsid w:val="00637C28"/>
    <w:rsid w:val="00642015"/>
    <w:rsid w:val="0064267F"/>
    <w:rsid w:val="00642CE2"/>
    <w:rsid w:val="006433BC"/>
    <w:rsid w:val="00672E82"/>
    <w:rsid w:val="00681B11"/>
    <w:rsid w:val="006827D4"/>
    <w:rsid w:val="00687135"/>
    <w:rsid w:val="00687D39"/>
    <w:rsid w:val="00695A00"/>
    <w:rsid w:val="00697E87"/>
    <w:rsid w:val="006A290F"/>
    <w:rsid w:val="006A352F"/>
    <w:rsid w:val="006A5553"/>
    <w:rsid w:val="006A5D83"/>
    <w:rsid w:val="006B29D0"/>
    <w:rsid w:val="006C1571"/>
    <w:rsid w:val="006C57D3"/>
    <w:rsid w:val="006C5E0F"/>
    <w:rsid w:val="006C5EF9"/>
    <w:rsid w:val="006D644F"/>
    <w:rsid w:val="006E1646"/>
    <w:rsid w:val="006E51BD"/>
    <w:rsid w:val="006E7F0D"/>
    <w:rsid w:val="006F00E1"/>
    <w:rsid w:val="006F049C"/>
    <w:rsid w:val="006F6F1C"/>
    <w:rsid w:val="00704912"/>
    <w:rsid w:val="00711C2C"/>
    <w:rsid w:val="00712E1D"/>
    <w:rsid w:val="0071678A"/>
    <w:rsid w:val="007239AC"/>
    <w:rsid w:val="00725BF8"/>
    <w:rsid w:val="0072691F"/>
    <w:rsid w:val="00730DE1"/>
    <w:rsid w:val="00732DDA"/>
    <w:rsid w:val="00737DF9"/>
    <w:rsid w:val="00745019"/>
    <w:rsid w:val="0074661C"/>
    <w:rsid w:val="00772B79"/>
    <w:rsid w:val="007762E2"/>
    <w:rsid w:val="00781B6B"/>
    <w:rsid w:val="00781B86"/>
    <w:rsid w:val="00781C4E"/>
    <w:rsid w:val="00783C45"/>
    <w:rsid w:val="00784CDE"/>
    <w:rsid w:val="0078571C"/>
    <w:rsid w:val="00785F50"/>
    <w:rsid w:val="00792B8A"/>
    <w:rsid w:val="00793939"/>
    <w:rsid w:val="00793E26"/>
    <w:rsid w:val="007956E0"/>
    <w:rsid w:val="00796837"/>
    <w:rsid w:val="007A01B6"/>
    <w:rsid w:val="007B0136"/>
    <w:rsid w:val="007C03B1"/>
    <w:rsid w:val="007C64F6"/>
    <w:rsid w:val="007C6D99"/>
    <w:rsid w:val="007D541C"/>
    <w:rsid w:val="007D56B0"/>
    <w:rsid w:val="007D678F"/>
    <w:rsid w:val="007D69C8"/>
    <w:rsid w:val="007E647E"/>
    <w:rsid w:val="00813CF6"/>
    <w:rsid w:val="0081630B"/>
    <w:rsid w:val="008173E0"/>
    <w:rsid w:val="00821FB1"/>
    <w:rsid w:val="0082315D"/>
    <w:rsid w:val="008370B3"/>
    <w:rsid w:val="008374D8"/>
    <w:rsid w:val="008441DA"/>
    <w:rsid w:val="00847A18"/>
    <w:rsid w:val="0086025B"/>
    <w:rsid w:val="00861A2A"/>
    <w:rsid w:val="00861CDC"/>
    <w:rsid w:val="008648E4"/>
    <w:rsid w:val="00864E48"/>
    <w:rsid w:val="0087358E"/>
    <w:rsid w:val="00875E09"/>
    <w:rsid w:val="008827A2"/>
    <w:rsid w:val="00884A0A"/>
    <w:rsid w:val="00887021"/>
    <w:rsid w:val="00894B3C"/>
    <w:rsid w:val="008959FF"/>
    <w:rsid w:val="00896468"/>
    <w:rsid w:val="008A017A"/>
    <w:rsid w:val="008A0CAD"/>
    <w:rsid w:val="008A42B0"/>
    <w:rsid w:val="008A683F"/>
    <w:rsid w:val="008B0FBE"/>
    <w:rsid w:val="008B4771"/>
    <w:rsid w:val="008B5A23"/>
    <w:rsid w:val="008C31BE"/>
    <w:rsid w:val="008C4D16"/>
    <w:rsid w:val="008C6094"/>
    <w:rsid w:val="008C6287"/>
    <w:rsid w:val="008D2A6E"/>
    <w:rsid w:val="008D2B3C"/>
    <w:rsid w:val="008D2CF7"/>
    <w:rsid w:val="008E246D"/>
    <w:rsid w:val="008E5912"/>
    <w:rsid w:val="008F34B1"/>
    <w:rsid w:val="008F5432"/>
    <w:rsid w:val="00903889"/>
    <w:rsid w:val="00904640"/>
    <w:rsid w:val="00910730"/>
    <w:rsid w:val="00911BEF"/>
    <w:rsid w:val="00911DB4"/>
    <w:rsid w:val="009123EF"/>
    <w:rsid w:val="0092703F"/>
    <w:rsid w:val="00942CB0"/>
    <w:rsid w:val="009447EA"/>
    <w:rsid w:val="00946D48"/>
    <w:rsid w:val="00956AFD"/>
    <w:rsid w:val="00963D64"/>
    <w:rsid w:val="00965576"/>
    <w:rsid w:val="009667FB"/>
    <w:rsid w:val="009825D6"/>
    <w:rsid w:val="009841E3"/>
    <w:rsid w:val="00990404"/>
    <w:rsid w:val="00992FCA"/>
    <w:rsid w:val="009A5C0C"/>
    <w:rsid w:val="009A6211"/>
    <w:rsid w:val="009B1352"/>
    <w:rsid w:val="009B5BE4"/>
    <w:rsid w:val="009B5E76"/>
    <w:rsid w:val="009C0750"/>
    <w:rsid w:val="009C4D0C"/>
    <w:rsid w:val="009D1DFF"/>
    <w:rsid w:val="009D41CA"/>
    <w:rsid w:val="009E5123"/>
    <w:rsid w:val="009E5F39"/>
    <w:rsid w:val="009F17D2"/>
    <w:rsid w:val="009F3EBB"/>
    <w:rsid w:val="009F5B93"/>
    <w:rsid w:val="00A21698"/>
    <w:rsid w:val="00A22012"/>
    <w:rsid w:val="00A23095"/>
    <w:rsid w:val="00A23AD2"/>
    <w:rsid w:val="00A23F4B"/>
    <w:rsid w:val="00A272A4"/>
    <w:rsid w:val="00A4142A"/>
    <w:rsid w:val="00A420CA"/>
    <w:rsid w:val="00A5354C"/>
    <w:rsid w:val="00A54A93"/>
    <w:rsid w:val="00A62E4E"/>
    <w:rsid w:val="00A70CC7"/>
    <w:rsid w:val="00A83C9B"/>
    <w:rsid w:val="00A841CA"/>
    <w:rsid w:val="00A86F61"/>
    <w:rsid w:val="00A953AC"/>
    <w:rsid w:val="00A95A9C"/>
    <w:rsid w:val="00A968A9"/>
    <w:rsid w:val="00AA16CD"/>
    <w:rsid w:val="00AB1148"/>
    <w:rsid w:val="00AB3A47"/>
    <w:rsid w:val="00AB3B27"/>
    <w:rsid w:val="00AB5D45"/>
    <w:rsid w:val="00AB6B79"/>
    <w:rsid w:val="00AB7545"/>
    <w:rsid w:val="00AC5385"/>
    <w:rsid w:val="00AD0D4D"/>
    <w:rsid w:val="00AD0DFC"/>
    <w:rsid w:val="00AD694F"/>
    <w:rsid w:val="00AE4741"/>
    <w:rsid w:val="00AE75AC"/>
    <w:rsid w:val="00AE774B"/>
    <w:rsid w:val="00AF1553"/>
    <w:rsid w:val="00AF2F27"/>
    <w:rsid w:val="00B00746"/>
    <w:rsid w:val="00B0387D"/>
    <w:rsid w:val="00B056AB"/>
    <w:rsid w:val="00B10982"/>
    <w:rsid w:val="00B11DF8"/>
    <w:rsid w:val="00B1347D"/>
    <w:rsid w:val="00B17922"/>
    <w:rsid w:val="00B21AE6"/>
    <w:rsid w:val="00B279C2"/>
    <w:rsid w:val="00B3169E"/>
    <w:rsid w:val="00B31E50"/>
    <w:rsid w:val="00B549AA"/>
    <w:rsid w:val="00B57EA8"/>
    <w:rsid w:val="00B72EA2"/>
    <w:rsid w:val="00B775EA"/>
    <w:rsid w:val="00B81E71"/>
    <w:rsid w:val="00B82609"/>
    <w:rsid w:val="00B9253F"/>
    <w:rsid w:val="00BA1C43"/>
    <w:rsid w:val="00BA2D97"/>
    <w:rsid w:val="00BB69E9"/>
    <w:rsid w:val="00BB7638"/>
    <w:rsid w:val="00BC18BD"/>
    <w:rsid w:val="00BC2AFA"/>
    <w:rsid w:val="00BC4FE7"/>
    <w:rsid w:val="00BD0D5D"/>
    <w:rsid w:val="00BDE510"/>
    <w:rsid w:val="00BE0AFC"/>
    <w:rsid w:val="00BE227F"/>
    <w:rsid w:val="00BE665D"/>
    <w:rsid w:val="00BF6DC7"/>
    <w:rsid w:val="00C02083"/>
    <w:rsid w:val="00C0473D"/>
    <w:rsid w:val="00C06FED"/>
    <w:rsid w:val="00C12B02"/>
    <w:rsid w:val="00C16DB1"/>
    <w:rsid w:val="00C175F1"/>
    <w:rsid w:val="00C17DC7"/>
    <w:rsid w:val="00C22089"/>
    <w:rsid w:val="00C22F1A"/>
    <w:rsid w:val="00C23337"/>
    <w:rsid w:val="00C26C0E"/>
    <w:rsid w:val="00C27BAD"/>
    <w:rsid w:val="00C35233"/>
    <w:rsid w:val="00C37F49"/>
    <w:rsid w:val="00C41C65"/>
    <w:rsid w:val="00C46908"/>
    <w:rsid w:val="00C50CB5"/>
    <w:rsid w:val="00C56D3C"/>
    <w:rsid w:val="00C6353C"/>
    <w:rsid w:val="00C63E22"/>
    <w:rsid w:val="00C65B3A"/>
    <w:rsid w:val="00C65E78"/>
    <w:rsid w:val="00C66E7A"/>
    <w:rsid w:val="00C707DC"/>
    <w:rsid w:val="00C718D3"/>
    <w:rsid w:val="00C8175A"/>
    <w:rsid w:val="00C85B2A"/>
    <w:rsid w:val="00C937F1"/>
    <w:rsid w:val="00C94070"/>
    <w:rsid w:val="00C9505D"/>
    <w:rsid w:val="00C977A5"/>
    <w:rsid w:val="00CA0234"/>
    <w:rsid w:val="00CA03F1"/>
    <w:rsid w:val="00CA50BF"/>
    <w:rsid w:val="00CB320E"/>
    <w:rsid w:val="00CB3B50"/>
    <w:rsid w:val="00CC0A94"/>
    <w:rsid w:val="00CC359C"/>
    <w:rsid w:val="00CC3F7D"/>
    <w:rsid w:val="00CC7F83"/>
    <w:rsid w:val="00CD68F9"/>
    <w:rsid w:val="00CE06F0"/>
    <w:rsid w:val="00CE2175"/>
    <w:rsid w:val="00CE32CA"/>
    <w:rsid w:val="00CE3C84"/>
    <w:rsid w:val="00CE7459"/>
    <w:rsid w:val="00CF2A6C"/>
    <w:rsid w:val="00CF30C5"/>
    <w:rsid w:val="00CF69DF"/>
    <w:rsid w:val="00CF748F"/>
    <w:rsid w:val="00CF774B"/>
    <w:rsid w:val="00D14B85"/>
    <w:rsid w:val="00D230D1"/>
    <w:rsid w:val="00D232EB"/>
    <w:rsid w:val="00D254D1"/>
    <w:rsid w:val="00D31247"/>
    <w:rsid w:val="00D34E5E"/>
    <w:rsid w:val="00D42656"/>
    <w:rsid w:val="00D50089"/>
    <w:rsid w:val="00D609F8"/>
    <w:rsid w:val="00D60D6C"/>
    <w:rsid w:val="00D614E0"/>
    <w:rsid w:val="00D641C3"/>
    <w:rsid w:val="00D652BC"/>
    <w:rsid w:val="00D65FA4"/>
    <w:rsid w:val="00D67012"/>
    <w:rsid w:val="00D71DEE"/>
    <w:rsid w:val="00D75732"/>
    <w:rsid w:val="00D770F3"/>
    <w:rsid w:val="00D812AD"/>
    <w:rsid w:val="00D85797"/>
    <w:rsid w:val="00D86983"/>
    <w:rsid w:val="00D87DFB"/>
    <w:rsid w:val="00D91C51"/>
    <w:rsid w:val="00D97FC2"/>
    <w:rsid w:val="00DA3403"/>
    <w:rsid w:val="00DA35BF"/>
    <w:rsid w:val="00DA7691"/>
    <w:rsid w:val="00DB167B"/>
    <w:rsid w:val="00DB2112"/>
    <w:rsid w:val="00DB5B5F"/>
    <w:rsid w:val="00DB6144"/>
    <w:rsid w:val="00DB744F"/>
    <w:rsid w:val="00DC2AB9"/>
    <w:rsid w:val="00DC7311"/>
    <w:rsid w:val="00DD34EA"/>
    <w:rsid w:val="00DD6F86"/>
    <w:rsid w:val="00DE2BBB"/>
    <w:rsid w:val="00DE5715"/>
    <w:rsid w:val="00DF5AD7"/>
    <w:rsid w:val="00E02005"/>
    <w:rsid w:val="00E03DC5"/>
    <w:rsid w:val="00E0411D"/>
    <w:rsid w:val="00E11B70"/>
    <w:rsid w:val="00E1268F"/>
    <w:rsid w:val="00E128F4"/>
    <w:rsid w:val="00E12A97"/>
    <w:rsid w:val="00E15E6E"/>
    <w:rsid w:val="00E20681"/>
    <w:rsid w:val="00E21BFB"/>
    <w:rsid w:val="00E22C47"/>
    <w:rsid w:val="00E3234A"/>
    <w:rsid w:val="00E3628D"/>
    <w:rsid w:val="00E376B0"/>
    <w:rsid w:val="00E37D5A"/>
    <w:rsid w:val="00E4129A"/>
    <w:rsid w:val="00E41C47"/>
    <w:rsid w:val="00E45002"/>
    <w:rsid w:val="00E576D6"/>
    <w:rsid w:val="00E579F3"/>
    <w:rsid w:val="00E61406"/>
    <w:rsid w:val="00E75D76"/>
    <w:rsid w:val="00E8395D"/>
    <w:rsid w:val="00E84F6D"/>
    <w:rsid w:val="00E921B2"/>
    <w:rsid w:val="00E94303"/>
    <w:rsid w:val="00E97447"/>
    <w:rsid w:val="00E97BB3"/>
    <w:rsid w:val="00EA15E9"/>
    <w:rsid w:val="00EA6758"/>
    <w:rsid w:val="00EB168C"/>
    <w:rsid w:val="00EC10A5"/>
    <w:rsid w:val="00EC3625"/>
    <w:rsid w:val="00EC608A"/>
    <w:rsid w:val="00ED6B02"/>
    <w:rsid w:val="00EE30B2"/>
    <w:rsid w:val="00EF565F"/>
    <w:rsid w:val="00EF5B83"/>
    <w:rsid w:val="00F04D9A"/>
    <w:rsid w:val="00F24C49"/>
    <w:rsid w:val="00F34880"/>
    <w:rsid w:val="00F37D27"/>
    <w:rsid w:val="00F406E1"/>
    <w:rsid w:val="00F44EB3"/>
    <w:rsid w:val="00F51ADD"/>
    <w:rsid w:val="00F55B1D"/>
    <w:rsid w:val="00F56F2A"/>
    <w:rsid w:val="00F61ED3"/>
    <w:rsid w:val="00F621B0"/>
    <w:rsid w:val="00F63DCF"/>
    <w:rsid w:val="00F70BE6"/>
    <w:rsid w:val="00F7227C"/>
    <w:rsid w:val="00F76472"/>
    <w:rsid w:val="00F8236E"/>
    <w:rsid w:val="00F8598D"/>
    <w:rsid w:val="00F86B79"/>
    <w:rsid w:val="00F87AA6"/>
    <w:rsid w:val="00F87DB2"/>
    <w:rsid w:val="00F9328C"/>
    <w:rsid w:val="00FA65DC"/>
    <w:rsid w:val="00FB1DE9"/>
    <w:rsid w:val="00FB425E"/>
    <w:rsid w:val="00FB4FF4"/>
    <w:rsid w:val="00FB5086"/>
    <w:rsid w:val="00FB6BAE"/>
    <w:rsid w:val="00FC44F4"/>
    <w:rsid w:val="00FD00F2"/>
    <w:rsid w:val="00FD0421"/>
    <w:rsid w:val="00FD4313"/>
    <w:rsid w:val="00FD67E1"/>
    <w:rsid w:val="00FD7416"/>
    <w:rsid w:val="00FD7B29"/>
    <w:rsid w:val="00FE0AEA"/>
    <w:rsid w:val="00FE6692"/>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hu-HU"/>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 w:type="paragraph" w:styleId="HTMLPreformatted">
    <w:name w:val="HTML Preformatted"/>
    <w:basedOn w:val="Normal"/>
    <w:link w:val="HTMLPreformattedChar"/>
    <w:uiPriority w:val="99"/>
    <w:semiHidden/>
    <w:unhideWhenUsed/>
    <w:rsid w:val="00CA50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50BF"/>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07131044">
      <w:bodyDiv w:val="1"/>
      <w:marLeft w:val="0"/>
      <w:marRight w:val="0"/>
      <w:marTop w:val="0"/>
      <w:marBottom w:val="0"/>
      <w:divBdr>
        <w:top w:val="none" w:sz="0" w:space="0" w:color="auto"/>
        <w:left w:val="none" w:sz="0" w:space="0" w:color="auto"/>
        <w:bottom w:val="none" w:sz="0" w:space="0" w:color="auto"/>
        <w:right w:val="none" w:sz="0" w:space="0" w:color="auto"/>
      </w:divBdr>
      <w:divsChild>
        <w:div w:id="288321632">
          <w:marLeft w:val="0"/>
          <w:marRight w:val="0"/>
          <w:marTop w:val="0"/>
          <w:marBottom w:val="0"/>
          <w:divBdr>
            <w:top w:val="none" w:sz="0" w:space="0" w:color="auto"/>
            <w:left w:val="none" w:sz="0" w:space="0" w:color="auto"/>
            <w:bottom w:val="none" w:sz="0" w:space="0" w:color="auto"/>
            <w:right w:val="none" w:sz="0" w:space="0" w:color="auto"/>
          </w:divBdr>
          <w:divsChild>
            <w:div w:id="715740430">
              <w:marLeft w:val="0"/>
              <w:marRight w:val="0"/>
              <w:marTop w:val="0"/>
              <w:marBottom w:val="0"/>
              <w:divBdr>
                <w:top w:val="none" w:sz="0" w:space="0" w:color="auto"/>
                <w:left w:val="none" w:sz="0" w:space="0" w:color="auto"/>
                <w:bottom w:val="none" w:sz="0" w:space="0" w:color="auto"/>
                <w:right w:val="none" w:sz="0" w:space="0" w:color="auto"/>
              </w:divBdr>
              <w:divsChild>
                <w:div w:id="1664772878">
                  <w:marLeft w:val="0"/>
                  <w:marRight w:val="0"/>
                  <w:marTop w:val="0"/>
                  <w:marBottom w:val="0"/>
                  <w:divBdr>
                    <w:top w:val="none" w:sz="0" w:space="0" w:color="auto"/>
                    <w:left w:val="none" w:sz="0" w:space="0" w:color="auto"/>
                    <w:bottom w:val="none" w:sz="0" w:space="0" w:color="auto"/>
                    <w:right w:val="none" w:sz="0" w:space="0" w:color="auto"/>
                  </w:divBdr>
                  <w:divsChild>
                    <w:div w:id="1116604786">
                      <w:marLeft w:val="0"/>
                      <w:marRight w:val="0"/>
                      <w:marTop w:val="0"/>
                      <w:marBottom w:val="0"/>
                      <w:divBdr>
                        <w:top w:val="none" w:sz="0" w:space="0" w:color="auto"/>
                        <w:left w:val="none" w:sz="0" w:space="0" w:color="auto"/>
                        <w:bottom w:val="none" w:sz="0" w:space="0" w:color="auto"/>
                        <w:right w:val="none" w:sz="0" w:space="0" w:color="auto"/>
                      </w:divBdr>
                      <w:divsChild>
                        <w:div w:id="1199514154">
                          <w:marLeft w:val="0"/>
                          <w:marRight w:val="0"/>
                          <w:marTop w:val="0"/>
                          <w:marBottom w:val="0"/>
                          <w:divBdr>
                            <w:top w:val="none" w:sz="0" w:space="0" w:color="auto"/>
                            <w:left w:val="none" w:sz="0" w:space="0" w:color="auto"/>
                            <w:bottom w:val="none" w:sz="0" w:space="0" w:color="auto"/>
                            <w:right w:val="none" w:sz="0" w:space="0" w:color="auto"/>
                          </w:divBdr>
                          <w:divsChild>
                            <w:div w:id="1108819180">
                              <w:marLeft w:val="0"/>
                              <w:marRight w:val="0"/>
                              <w:marTop w:val="0"/>
                              <w:marBottom w:val="0"/>
                              <w:divBdr>
                                <w:top w:val="none" w:sz="0" w:space="0" w:color="auto"/>
                                <w:left w:val="none" w:sz="0" w:space="0" w:color="auto"/>
                                <w:bottom w:val="none" w:sz="0" w:space="0" w:color="auto"/>
                                <w:right w:val="none" w:sz="0" w:space="0" w:color="auto"/>
                              </w:divBdr>
                              <w:divsChild>
                                <w:div w:id="1892842426">
                                  <w:marLeft w:val="0"/>
                                  <w:marRight w:val="0"/>
                                  <w:marTop w:val="0"/>
                                  <w:marBottom w:val="0"/>
                                  <w:divBdr>
                                    <w:top w:val="none" w:sz="0" w:space="0" w:color="auto"/>
                                    <w:left w:val="none" w:sz="0" w:space="0" w:color="auto"/>
                                    <w:bottom w:val="none" w:sz="0" w:space="0" w:color="auto"/>
                                    <w:right w:val="none" w:sz="0" w:space="0" w:color="auto"/>
                                  </w:divBdr>
                                  <w:divsChild>
                                    <w:div w:id="6812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327052752">
      <w:bodyDiv w:val="1"/>
      <w:marLeft w:val="0"/>
      <w:marRight w:val="0"/>
      <w:marTop w:val="0"/>
      <w:marBottom w:val="0"/>
      <w:divBdr>
        <w:top w:val="none" w:sz="0" w:space="0" w:color="auto"/>
        <w:left w:val="none" w:sz="0" w:space="0" w:color="auto"/>
        <w:bottom w:val="none" w:sz="0" w:space="0" w:color="auto"/>
        <w:right w:val="none" w:sz="0" w:space="0" w:color="auto"/>
      </w:divBdr>
    </w:div>
    <w:div w:id="503519294">
      <w:bodyDiv w:val="1"/>
      <w:marLeft w:val="0"/>
      <w:marRight w:val="0"/>
      <w:marTop w:val="0"/>
      <w:marBottom w:val="0"/>
      <w:divBdr>
        <w:top w:val="none" w:sz="0" w:space="0" w:color="auto"/>
        <w:left w:val="none" w:sz="0" w:space="0" w:color="auto"/>
        <w:bottom w:val="none" w:sz="0" w:space="0" w:color="auto"/>
        <w:right w:val="none" w:sz="0" w:space="0" w:color="auto"/>
      </w:divBdr>
      <w:divsChild>
        <w:div w:id="1053188684">
          <w:marLeft w:val="0"/>
          <w:marRight w:val="0"/>
          <w:marTop w:val="0"/>
          <w:marBottom w:val="0"/>
          <w:divBdr>
            <w:top w:val="none" w:sz="0" w:space="0" w:color="auto"/>
            <w:left w:val="none" w:sz="0" w:space="0" w:color="auto"/>
            <w:bottom w:val="none" w:sz="0" w:space="0" w:color="auto"/>
            <w:right w:val="none" w:sz="0" w:space="0" w:color="auto"/>
          </w:divBdr>
          <w:divsChild>
            <w:div w:id="750545859">
              <w:marLeft w:val="0"/>
              <w:marRight w:val="0"/>
              <w:marTop w:val="0"/>
              <w:marBottom w:val="0"/>
              <w:divBdr>
                <w:top w:val="none" w:sz="0" w:space="0" w:color="auto"/>
                <w:left w:val="none" w:sz="0" w:space="0" w:color="auto"/>
                <w:bottom w:val="none" w:sz="0" w:space="0" w:color="auto"/>
                <w:right w:val="none" w:sz="0" w:space="0" w:color="auto"/>
              </w:divBdr>
              <w:divsChild>
                <w:div w:id="474878798">
                  <w:marLeft w:val="0"/>
                  <w:marRight w:val="0"/>
                  <w:marTop w:val="0"/>
                  <w:marBottom w:val="0"/>
                  <w:divBdr>
                    <w:top w:val="none" w:sz="0" w:space="0" w:color="auto"/>
                    <w:left w:val="none" w:sz="0" w:space="0" w:color="auto"/>
                    <w:bottom w:val="none" w:sz="0" w:space="0" w:color="auto"/>
                    <w:right w:val="none" w:sz="0" w:space="0" w:color="auto"/>
                  </w:divBdr>
                  <w:divsChild>
                    <w:div w:id="1947544643">
                      <w:marLeft w:val="0"/>
                      <w:marRight w:val="0"/>
                      <w:marTop w:val="0"/>
                      <w:marBottom w:val="0"/>
                      <w:divBdr>
                        <w:top w:val="none" w:sz="0" w:space="0" w:color="auto"/>
                        <w:left w:val="none" w:sz="0" w:space="0" w:color="auto"/>
                        <w:bottom w:val="none" w:sz="0" w:space="0" w:color="auto"/>
                        <w:right w:val="none" w:sz="0" w:space="0" w:color="auto"/>
                      </w:divBdr>
                      <w:divsChild>
                        <w:div w:id="847062882">
                          <w:marLeft w:val="0"/>
                          <w:marRight w:val="0"/>
                          <w:marTop w:val="0"/>
                          <w:marBottom w:val="0"/>
                          <w:divBdr>
                            <w:top w:val="none" w:sz="0" w:space="0" w:color="auto"/>
                            <w:left w:val="none" w:sz="0" w:space="0" w:color="auto"/>
                            <w:bottom w:val="none" w:sz="0" w:space="0" w:color="auto"/>
                            <w:right w:val="none" w:sz="0" w:space="0" w:color="auto"/>
                          </w:divBdr>
                          <w:divsChild>
                            <w:div w:id="318120984">
                              <w:marLeft w:val="0"/>
                              <w:marRight w:val="0"/>
                              <w:marTop w:val="0"/>
                              <w:marBottom w:val="0"/>
                              <w:divBdr>
                                <w:top w:val="none" w:sz="0" w:space="0" w:color="auto"/>
                                <w:left w:val="none" w:sz="0" w:space="0" w:color="auto"/>
                                <w:bottom w:val="none" w:sz="0" w:space="0" w:color="auto"/>
                                <w:right w:val="none" w:sz="0" w:space="0" w:color="auto"/>
                              </w:divBdr>
                              <w:divsChild>
                                <w:div w:id="1540123422">
                                  <w:marLeft w:val="0"/>
                                  <w:marRight w:val="0"/>
                                  <w:marTop w:val="0"/>
                                  <w:marBottom w:val="0"/>
                                  <w:divBdr>
                                    <w:top w:val="none" w:sz="0" w:space="0" w:color="auto"/>
                                    <w:left w:val="none" w:sz="0" w:space="0" w:color="auto"/>
                                    <w:bottom w:val="none" w:sz="0" w:space="0" w:color="auto"/>
                                    <w:right w:val="none" w:sz="0" w:space="0" w:color="auto"/>
                                  </w:divBdr>
                                  <w:divsChild>
                                    <w:div w:id="20638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550658580">
      <w:bodyDiv w:val="1"/>
      <w:marLeft w:val="0"/>
      <w:marRight w:val="0"/>
      <w:marTop w:val="0"/>
      <w:marBottom w:val="0"/>
      <w:divBdr>
        <w:top w:val="none" w:sz="0" w:space="0" w:color="auto"/>
        <w:left w:val="none" w:sz="0" w:space="0" w:color="auto"/>
        <w:bottom w:val="none" w:sz="0" w:space="0" w:color="auto"/>
        <w:right w:val="none" w:sz="0" w:space="0" w:color="auto"/>
      </w:divBdr>
    </w:div>
    <w:div w:id="587734576">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699747234">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64769167">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951086024">
      <w:bodyDiv w:val="1"/>
      <w:marLeft w:val="0"/>
      <w:marRight w:val="0"/>
      <w:marTop w:val="0"/>
      <w:marBottom w:val="0"/>
      <w:divBdr>
        <w:top w:val="none" w:sz="0" w:space="0" w:color="auto"/>
        <w:left w:val="none" w:sz="0" w:space="0" w:color="auto"/>
        <w:bottom w:val="none" w:sz="0" w:space="0" w:color="auto"/>
        <w:right w:val="none" w:sz="0" w:space="0" w:color="auto"/>
      </w:divBdr>
      <w:divsChild>
        <w:div w:id="160972722">
          <w:marLeft w:val="0"/>
          <w:marRight w:val="0"/>
          <w:marTop w:val="0"/>
          <w:marBottom w:val="0"/>
          <w:divBdr>
            <w:top w:val="none" w:sz="0" w:space="0" w:color="auto"/>
            <w:left w:val="none" w:sz="0" w:space="0" w:color="auto"/>
            <w:bottom w:val="none" w:sz="0" w:space="0" w:color="auto"/>
            <w:right w:val="none" w:sz="0" w:space="0" w:color="auto"/>
          </w:divBdr>
          <w:divsChild>
            <w:div w:id="1931423914">
              <w:marLeft w:val="0"/>
              <w:marRight w:val="0"/>
              <w:marTop w:val="0"/>
              <w:marBottom w:val="0"/>
              <w:divBdr>
                <w:top w:val="none" w:sz="0" w:space="0" w:color="auto"/>
                <w:left w:val="none" w:sz="0" w:space="0" w:color="auto"/>
                <w:bottom w:val="none" w:sz="0" w:space="0" w:color="auto"/>
                <w:right w:val="none" w:sz="0" w:space="0" w:color="auto"/>
              </w:divBdr>
              <w:divsChild>
                <w:div w:id="142281632">
                  <w:marLeft w:val="0"/>
                  <w:marRight w:val="0"/>
                  <w:marTop w:val="0"/>
                  <w:marBottom w:val="0"/>
                  <w:divBdr>
                    <w:top w:val="none" w:sz="0" w:space="0" w:color="auto"/>
                    <w:left w:val="none" w:sz="0" w:space="0" w:color="auto"/>
                    <w:bottom w:val="none" w:sz="0" w:space="0" w:color="auto"/>
                    <w:right w:val="none" w:sz="0" w:space="0" w:color="auto"/>
                  </w:divBdr>
                  <w:divsChild>
                    <w:div w:id="607860219">
                      <w:marLeft w:val="0"/>
                      <w:marRight w:val="0"/>
                      <w:marTop w:val="0"/>
                      <w:marBottom w:val="0"/>
                      <w:divBdr>
                        <w:top w:val="none" w:sz="0" w:space="0" w:color="auto"/>
                        <w:left w:val="none" w:sz="0" w:space="0" w:color="auto"/>
                        <w:bottom w:val="none" w:sz="0" w:space="0" w:color="auto"/>
                        <w:right w:val="none" w:sz="0" w:space="0" w:color="auto"/>
                      </w:divBdr>
                      <w:divsChild>
                        <w:div w:id="1963219875">
                          <w:marLeft w:val="0"/>
                          <w:marRight w:val="0"/>
                          <w:marTop w:val="0"/>
                          <w:marBottom w:val="0"/>
                          <w:divBdr>
                            <w:top w:val="none" w:sz="0" w:space="0" w:color="auto"/>
                            <w:left w:val="none" w:sz="0" w:space="0" w:color="auto"/>
                            <w:bottom w:val="none" w:sz="0" w:space="0" w:color="auto"/>
                            <w:right w:val="none" w:sz="0" w:space="0" w:color="auto"/>
                          </w:divBdr>
                          <w:divsChild>
                            <w:div w:id="120000443">
                              <w:marLeft w:val="0"/>
                              <w:marRight w:val="0"/>
                              <w:marTop w:val="0"/>
                              <w:marBottom w:val="0"/>
                              <w:divBdr>
                                <w:top w:val="none" w:sz="0" w:space="0" w:color="auto"/>
                                <w:left w:val="none" w:sz="0" w:space="0" w:color="auto"/>
                                <w:bottom w:val="none" w:sz="0" w:space="0" w:color="auto"/>
                                <w:right w:val="none" w:sz="0" w:space="0" w:color="auto"/>
                              </w:divBdr>
                              <w:divsChild>
                                <w:div w:id="1118453795">
                                  <w:marLeft w:val="0"/>
                                  <w:marRight w:val="0"/>
                                  <w:marTop w:val="0"/>
                                  <w:marBottom w:val="0"/>
                                  <w:divBdr>
                                    <w:top w:val="none" w:sz="0" w:space="0" w:color="auto"/>
                                    <w:left w:val="none" w:sz="0" w:space="0" w:color="auto"/>
                                    <w:bottom w:val="none" w:sz="0" w:space="0" w:color="auto"/>
                                    <w:right w:val="none" w:sz="0" w:space="0" w:color="auto"/>
                                  </w:divBdr>
                                  <w:divsChild>
                                    <w:div w:id="21303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757547">
      <w:bodyDiv w:val="1"/>
      <w:marLeft w:val="0"/>
      <w:marRight w:val="0"/>
      <w:marTop w:val="0"/>
      <w:marBottom w:val="0"/>
      <w:divBdr>
        <w:top w:val="none" w:sz="0" w:space="0" w:color="auto"/>
        <w:left w:val="none" w:sz="0" w:space="0" w:color="auto"/>
        <w:bottom w:val="none" w:sz="0" w:space="0" w:color="auto"/>
        <w:right w:val="none" w:sz="0" w:space="0" w:color="auto"/>
      </w:divBdr>
      <w:divsChild>
        <w:div w:id="641929502">
          <w:marLeft w:val="0"/>
          <w:marRight w:val="0"/>
          <w:marTop w:val="0"/>
          <w:marBottom w:val="0"/>
          <w:divBdr>
            <w:top w:val="none" w:sz="0" w:space="0" w:color="auto"/>
            <w:left w:val="none" w:sz="0" w:space="0" w:color="auto"/>
            <w:bottom w:val="none" w:sz="0" w:space="0" w:color="auto"/>
            <w:right w:val="none" w:sz="0" w:space="0" w:color="auto"/>
          </w:divBdr>
          <w:divsChild>
            <w:div w:id="900796538">
              <w:marLeft w:val="0"/>
              <w:marRight w:val="0"/>
              <w:marTop w:val="0"/>
              <w:marBottom w:val="0"/>
              <w:divBdr>
                <w:top w:val="none" w:sz="0" w:space="0" w:color="auto"/>
                <w:left w:val="none" w:sz="0" w:space="0" w:color="auto"/>
                <w:bottom w:val="none" w:sz="0" w:space="0" w:color="auto"/>
                <w:right w:val="none" w:sz="0" w:space="0" w:color="auto"/>
              </w:divBdr>
              <w:divsChild>
                <w:div w:id="935022952">
                  <w:marLeft w:val="0"/>
                  <w:marRight w:val="0"/>
                  <w:marTop w:val="0"/>
                  <w:marBottom w:val="0"/>
                  <w:divBdr>
                    <w:top w:val="none" w:sz="0" w:space="0" w:color="auto"/>
                    <w:left w:val="none" w:sz="0" w:space="0" w:color="auto"/>
                    <w:bottom w:val="none" w:sz="0" w:space="0" w:color="auto"/>
                    <w:right w:val="none" w:sz="0" w:space="0" w:color="auto"/>
                  </w:divBdr>
                  <w:divsChild>
                    <w:div w:id="522668646">
                      <w:marLeft w:val="0"/>
                      <w:marRight w:val="0"/>
                      <w:marTop w:val="0"/>
                      <w:marBottom w:val="0"/>
                      <w:divBdr>
                        <w:top w:val="none" w:sz="0" w:space="0" w:color="auto"/>
                        <w:left w:val="none" w:sz="0" w:space="0" w:color="auto"/>
                        <w:bottom w:val="none" w:sz="0" w:space="0" w:color="auto"/>
                        <w:right w:val="none" w:sz="0" w:space="0" w:color="auto"/>
                      </w:divBdr>
                      <w:divsChild>
                        <w:div w:id="1566181347">
                          <w:marLeft w:val="0"/>
                          <w:marRight w:val="0"/>
                          <w:marTop w:val="0"/>
                          <w:marBottom w:val="0"/>
                          <w:divBdr>
                            <w:top w:val="none" w:sz="0" w:space="0" w:color="auto"/>
                            <w:left w:val="none" w:sz="0" w:space="0" w:color="auto"/>
                            <w:bottom w:val="none" w:sz="0" w:space="0" w:color="auto"/>
                            <w:right w:val="none" w:sz="0" w:space="0" w:color="auto"/>
                          </w:divBdr>
                          <w:divsChild>
                            <w:div w:id="970088617">
                              <w:marLeft w:val="0"/>
                              <w:marRight w:val="0"/>
                              <w:marTop w:val="0"/>
                              <w:marBottom w:val="0"/>
                              <w:divBdr>
                                <w:top w:val="none" w:sz="0" w:space="0" w:color="auto"/>
                                <w:left w:val="none" w:sz="0" w:space="0" w:color="auto"/>
                                <w:bottom w:val="none" w:sz="0" w:space="0" w:color="auto"/>
                                <w:right w:val="none" w:sz="0" w:space="0" w:color="auto"/>
                              </w:divBdr>
                              <w:divsChild>
                                <w:div w:id="382481233">
                                  <w:marLeft w:val="0"/>
                                  <w:marRight w:val="0"/>
                                  <w:marTop w:val="0"/>
                                  <w:marBottom w:val="0"/>
                                  <w:divBdr>
                                    <w:top w:val="none" w:sz="0" w:space="0" w:color="auto"/>
                                    <w:left w:val="none" w:sz="0" w:space="0" w:color="auto"/>
                                    <w:bottom w:val="none" w:sz="0" w:space="0" w:color="auto"/>
                                    <w:right w:val="none" w:sz="0" w:space="0" w:color="auto"/>
                                  </w:divBdr>
                                  <w:divsChild>
                                    <w:div w:id="1308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024864371">
      <w:bodyDiv w:val="1"/>
      <w:marLeft w:val="0"/>
      <w:marRight w:val="0"/>
      <w:marTop w:val="0"/>
      <w:marBottom w:val="0"/>
      <w:divBdr>
        <w:top w:val="none" w:sz="0" w:space="0" w:color="auto"/>
        <w:left w:val="none" w:sz="0" w:space="0" w:color="auto"/>
        <w:bottom w:val="none" w:sz="0" w:space="0" w:color="auto"/>
        <w:right w:val="none" w:sz="0" w:space="0" w:color="auto"/>
      </w:divBdr>
      <w:divsChild>
        <w:div w:id="306126937">
          <w:marLeft w:val="0"/>
          <w:marRight w:val="0"/>
          <w:marTop w:val="0"/>
          <w:marBottom w:val="0"/>
          <w:divBdr>
            <w:top w:val="none" w:sz="0" w:space="0" w:color="auto"/>
            <w:left w:val="none" w:sz="0" w:space="0" w:color="auto"/>
            <w:bottom w:val="none" w:sz="0" w:space="0" w:color="auto"/>
            <w:right w:val="none" w:sz="0" w:space="0" w:color="auto"/>
          </w:divBdr>
          <w:divsChild>
            <w:div w:id="993263840">
              <w:marLeft w:val="0"/>
              <w:marRight w:val="0"/>
              <w:marTop w:val="0"/>
              <w:marBottom w:val="0"/>
              <w:divBdr>
                <w:top w:val="none" w:sz="0" w:space="0" w:color="auto"/>
                <w:left w:val="none" w:sz="0" w:space="0" w:color="auto"/>
                <w:bottom w:val="none" w:sz="0" w:space="0" w:color="auto"/>
                <w:right w:val="none" w:sz="0" w:space="0" w:color="auto"/>
              </w:divBdr>
              <w:divsChild>
                <w:div w:id="1138298112">
                  <w:marLeft w:val="0"/>
                  <w:marRight w:val="0"/>
                  <w:marTop w:val="0"/>
                  <w:marBottom w:val="0"/>
                  <w:divBdr>
                    <w:top w:val="none" w:sz="0" w:space="0" w:color="auto"/>
                    <w:left w:val="none" w:sz="0" w:space="0" w:color="auto"/>
                    <w:bottom w:val="none" w:sz="0" w:space="0" w:color="auto"/>
                    <w:right w:val="none" w:sz="0" w:space="0" w:color="auto"/>
                  </w:divBdr>
                  <w:divsChild>
                    <w:div w:id="391539374">
                      <w:marLeft w:val="0"/>
                      <w:marRight w:val="0"/>
                      <w:marTop w:val="0"/>
                      <w:marBottom w:val="0"/>
                      <w:divBdr>
                        <w:top w:val="none" w:sz="0" w:space="0" w:color="auto"/>
                        <w:left w:val="none" w:sz="0" w:space="0" w:color="auto"/>
                        <w:bottom w:val="none" w:sz="0" w:space="0" w:color="auto"/>
                        <w:right w:val="none" w:sz="0" w:space="0" w:color="auto"/>
                      </w:divBdr>
                      <w:divsChild>
                        <w:div w:id="786464651">
                          <w:marLeft w:val="0"/>
                          <w:marRight w:val="0"/>
                          <w:marTop w:val="0"/>
                          <w:marBottom w:val="0"/>
                          <w:divBdr>
                            <w:top w:val="none" w:sz="0" w:space="0" w:color="auto"/>
                            <w:left w:val="none" w:sz="0" w:space="0" w:color="auto"/>
                            <w:bottom w:val="none" w:sz="0" w:space="0" w:color="auto"/>
                            <w:right w:val="none" w:sz="0" w:space="0" w:color="auto"/>
                          </w:divBdr>
                          <w:divsChild>
                            <w:div w:id="1673412023">
                              <w:marLeft w:val="0"/>
                              <w:marRight w:val="0"/>
                              <w:marTop w:val="0"/>
                              <w:marBottom w:val="0"/>
                              <w:divBdr>
                                <w:top w:val="none" w:sz="0" w:space="0" w:color="auto"/>
                                <w:left w:val="none" w:sz="0" w:space="0" w:color="auto"/>
                                <w:bottom w:val="none" w:sz="0" w:space="0" w:color="auto"/>
                                <w:right w:val="none" w:sz="0" w:space="0" w:color="auto"/>
                              </w:divBdr>
                              <w:divsChild>
                                <w:div w:id="1449154962">
                                  <w:marLeft w:val="0"/>
                                  <w:marRight w:val="0"/>
                                  <w:marTop w:val="0"/>
                                  <w:marBottom w:val="0"/>
                                  <w:divBdr>
                                    <w:top w:val="none" w:sz="0" w:space="0" w:color="auto"/>
                                    <w:left w:val="none" w:sz="0" w:space="0" w:color="auto"/>
                                    <w:bottom w:val="none" w:sz="0" w:space="0" w:color="auto"/>
                                    <w:right w:val="none" w:sz="0" w:space="0" w:color="auto"/>
                                  </w:divBdr>
                                  <w:divsChild>
                                    <w:div w:id="18677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61190180">
      <w:bodyDiv w:val="1"/>
      <w:marLeft w:val="0"/>
      <w:marRight w:val="0"/>
      <w:marTop w:val="0"/>
      <w:marBottom w:val="0"/>
      <w:divBdr>
        <w:top w:val="none" w:sz="0" w:space="0" w:color="auto"/>
        <w:left w:val="none" w:sz="0" w:space="0" w:color="auto"/>
        <w:bottom w:val="none" w:sz="0" w:space="0" w:color="auto"/>
        <w:right w:val="none" w:sz="0" w:space="0" w:color="auto"/>
      </w:divBdr>
      <w:divsChild>
        <w:div w:id="553351835">
          <w:marLeft w:val="0"/>
          <w:marRight w:val="0"/>
          <w:marTop w:val="0"/>
          <w:marBottom w:val="0"/>
          <w:divBdr>
            <w:top w:val="none" w:sz="0" w:space="0" w:color="auto"/>
            <w:left w:val="none" w:sz="0" w:space="0" w:color="auto"/>
            <w:bottom w:val="none" w:sz="0" w:space="0" w:color="auto"/>
            <w:right w:val="none" w:sz="0" w:space="0" w:color="auto"/>
          </w:divBdr>
          <w:divsChild>
            <w:div w:id="1820534961">
              <w:marLeft w:val="0"/>
              <w:marRight w:val="0"/>
              <w:marTop w:val="0"/>
              <w:marBottom w:val="0"/>
              <w:divBdr>
                <w:top w:val="none" w:sz="0" w:space="0" w:color="auto"/>
                <w:left w:val="none" w:sz="0" w:space="0" w:color="auto"/>
                <w:bottom w:val="none" w:sz="0" w:space="0" w:color="auto"/>
                <w:right w:val="none" w:sz="0" w:space="0" w:color="auto"/>
              </w:divBdr>
              <w:divsChild>
                <w:div w:id="1956404874">
                  <w:marLeft w:val="0"/>
                  <w:marRight w:val="0"/>
                  <w:marTop w:val="0"/>
                  <w:marBottom w:val="0"/>
                  <w:divBdr>
                    <w:top w:val="none" w:sz="0" w:space="0" w:color="auto"/>
                    <w:left w:val="none" w:sz="0" w:space="0" w:color="auto"/>
                    <w:bottom w:val="none" w:sz="0" w:space="0" w:color="auto"/>
                    <w:right w:val="none" w:sz="0" w:space="0" w:color="auto"/>
                  </w:divBdr>
                  <w:divsChild>
                    <w:div w:id="38745945">
                      <w:marLeft w:val="0"/>
                      <w:marRight w:val="0"/>
                      <w:marTop w:val="0"/>
                      <w:marBottom w:val="0"/>
                      <w:divBdr>
                        <w:top w:val="none" w:sz="0" w:space="0" w:color="auto"/>
                        <w:left w:val="none" w:sz="0" w:space="0" w:color="auto"/>
                        <w:bottom w:val="none" w:sz="0" w:space="0" w:color="auto"/>
                        <w:right w:val="none" w:sz="0" w:space="0" w:color="auto"/>
                      </w:divBdr>
                      <w:divsChild>
                        <w:div w:id="264580363">
                          <w:marLeft w:val="0"/>
                          <w:marRight w:val="0"/>
                          <w:marTop w:val="0"/>
                          <w:marBottom w:val="0"/>
                          <w:divBdr>
                            <w:top w:val="none" w:sz="0" w:space="0" w:color="auto"/>
                            <w:left w:val="none" w:sz="0" w:space="0" w:color="auto"/>
                            <w:bottom w:val="none" w:sz="0" w:space="0" w:color="auto"/>
                            <w:right w:val="none" w:sz="0" w:space="0" w:color="auto"/>
                          </w:divBdr>
                          <w:divsChild>
                            <w:div w:id="2121945441">
                              <w:marLeft w:val="0"/>
                              <w:marRight w:val="0"/>
                              <w:marTop w:val="0"/>
                              <w:marBottom w:val="0"/>
                              <w:divBdr>
                                <w:top w:val="none" w:sz="0" w:space="0" w:color="auto"/>
                                <w:left w:val="none" w:sz="0" w:space="0" w:color="auto"/>
                                <w:bottom w:val="none" w:sz="0" w:space="0" w:color="auto"/>
                                <w:right w:val="none" w:sz="0" w:space="0" w:color="auto"/>
                              </w:divBdr>
                              <w:divsChild>
                                <w:div w:id="1902785162">
                                  <w:marLeft w:val="0"/>
                                  <w:marRight w:val="0"/>
                                  <w:marTop w:val="0"/>
                                  <w:marBottom w:val="0"/>
                                  <w:divBdr>
                                    <w:top w:val="none" w:sz="0" w:space="0" w:color="auto"/>
                                    <w:left w:val="none" w:sz="0" w:space="0" w:color="auto"/>
                                    <w:bottom w:val="none" w:sz="0" w:space="0" w:color="auto"/>
                                    <w:right w:val="none" w:sz="0" w:space="0" w:color="auto"/>
                                  </w:divBdr>
                                  <w:divsChild>
                                    <w:div w:id="1733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14271356">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03921373">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50007307">
      <w:bodyDiv w:val="1"/>
      <w:marLeft w:val="0"/>
      <w:marRight w:val="0"/>
      <w:marTop w:val="0"/>
      <w:marBottom w:val="0"/>
      <w:divBdr>
        <w:top w:val="none" w:sz="0" w:space="0" w:color="auto"/>
        <w:left w:val="none" w:sz="0" w:space="0" w:color="auto"/>
        <w:bottom w:val="none" w:sz="0" w:space="0" w:color="auto"/>
        <w:right w:val="none" w:sz="0" w:space="0" w:color="auto"/>
      </w:divBdr>
      <w:divsChild>
        <w:div w:id="1195466483">
          <w:marLeft w:val="0"/>
          <w:marRight w:val="0"/>
          <w:marTop w:val="0"/>
          <w:marBottom w:val="0"/>
          <w:divBdr>
            <w:top w:val="none" w:sz="0" w:space="0" w:color="auto"/>
            <w:left w:val="none" w:sz="0" w:space="0" w:color="auto"/>
            <w:bottom w:val="none" w:sz="0" w:space="0" w:color="auto"/>
            <w:right w:val="none" w:sz="0" w:space="0" w:color="auto"/>
          </w:divBdr>
          <w:divsChild>
            <w:div w:id="367919846">
              <w:marLeft w:val="0"/>
              <w:marRight w:val="0"/>
              <w:marTop w:val="0"/>
              <w:marBottom w:val="0"/>
              <w:divBdr>
                <w:top w:val="none" w:sz="0" w:space="0" w:color="auto"/>
                <w:left w:val="none" w:sz="0" w:space="0" w:color="auto"/>
                <w:bottom w:val="none" w:sz="0" w:space="0" w:color="auto"/>
                <w:right w:val="none" w:sz="0" w:space="0" w:color="auto"/>
              </w:divBdr>
              <w:divsChild>
                <w:div w:id="854811102">
                  <w:marLeft w:val="0"/>
                  <w:marRight w:val="0"/>
                  <w:marTop w:val="0"/>
                  <w:marBottom w:val="0"/>
                  <w:divBdr>
                    <w:top w:val="none" w:sz="0" w:space="0" w:color="auto"/>
                    <w:left w:val="none" w:sz="0" w:space="0" w:color="auto"/>
                    <w:bottom w:val="none" w:sz="0" w:space="0" w:color="auto"/>
                    <w:right w:val="none" w:sz="0" w:space="0" w:color="auto"/>
                  </w:divBdr>
                  <w:divsChild>
                    <w:div w:id="1079667714">
                      <w:marLeft w:val="0"/>
                      <w:marRight w:val="0"/>
                      <w:marTop w:val="0"/>
                      <w:marBottom w:val="0"/>
                      <w:divBdr>
                        <w:top w:val="none" w:sz="0" w:space="0" w:color="auto"/>
                        <w:left w:val="none" w:sz="0" w:space="0" w:color="auto"/>
                        <w:bottom w:val="none" w:sz="0" w:space="0" w:color="auto"/>
                        <w:right w:val="none" w:sz="0" w:space="0" w:color="auto"/>
                      </w:divBdr>
                      <w:divsChild>
                        <w:div w:id="791024273">
                          <w:marLeft w:val="0"/>
                          <w:marRight w:val="0"/>
                          <w:marTop w:val="0"/>
                          <w:marBottom w:val="0"/>
                          <w:divBdr>
                            <w:top w:val="none" w:sz="0" w:space="0" w:color="auto"/>
                            <w:left w:val="none" w:sz="0" w:space="0" w:color="auto"/>
                            <w:bottom w:val="none" w:sz="0" w:space="0" w:color="auto"/>
                            <w:right w:val="none" w:sz="0" w:space="0" w:color="auto"/>
                          </w:divBdr>
                          <w:divsChild>
                            <w:div w:id="549265915">
                              <w:marLeft w:val="0"/>
                              <w:marRight w:val="0"/>
                              <w:marTop w:val="0"/>
                              <w:marBottom w:val="0"/>
                              <w:divBdr>
                                <w:top w:val="none" w:sz="0" w:space="0" w:color="auto"/>
                                <w:left w:val="none" w:sz="0" w:space="0" w:color="auto"/>
                                <w:bottom w:val="none" w:sz="0" w:space="0" w:color="auto"/>
                                <w:right w:val="none" w:sz="0" w:space="0" w:color="auto"/>
                              </w:divBdr>
                              <w:divsChild>
                                <w:div w:id="2144687524">
                                  <w:marLeft w:val="0"/>
                                  <w:marRight w:val="0"/>
                                  <w:marTop w:val="0"/>
                                  <w:marBottom w:val="0"/>
                                  <w:divBdr>
                                    <w:top w:val="none" w:sz="0" w:space="0" w:color="auto"/>
                                    <w:left w:val="none" w:sz="0" w:space="0" w:color="auto"/>
                                    <w:bottom w:val="none" w:sz="0" w:space="0" w:color="auto"/>
                                    <w:right w:val="none" w:sz="0" w:space="0" w:color="auto"/>
                                  </w:divBdr>
                                  <w:divsChild>
                                    <w:div w:id="6800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17693426">
      <w:bodyDiv w:val="1"/>
      <w:marLeft w:val="0"/>
      <w:marRight w:val="0"/>
      <w:marTop w:val="0"/>
      <w:marBottom w:val="0"/>
      <w:divBdr>
        <w:top w:val="none" w:sz="0" w:space="0" w:color="auto"/>
        <w:left w:val="none" w:sz="0" w:space="0" w:color="auto"/>
        <w:bottom w:val="none" w:sz="0" w:space="0" w:color="auto"/>
        <w:right w:val="none" w:sz="0" w:space="0" w:color="auto"/>
      </w:divBdr>
    </w:div>
    <w:div w:id="1518035682">
      <w:bodyDiv w:val="1"/>
      <w:marLeft w:val="0"/>
      <w:marRight w:val="0"/>
      <w:marTop w:val="0"/>
      <w:marBottom w:val="0"/>
      <w:divBdr>
        <w:top w:val="none" w:sz="0" w:space="0" w:color="auto"/>
        <w:left w:val="none" w:sz="0" w:space="0" w:color="auto"/>
        <w:bottom w:val="none" w:sz="0" w:space="0" w:color="auto"/>
        <w:right w:val="none" w:sz="0" w:space="0" w:color="auto"/>
      </w:divBdr>
      <w:divsChild>
        <w:div w:id="323093994">
          <w:marLeft w:val="0"/>
          <w:marRight w:val="0"/>
          <w:marTop w:val="0"/>
          <w:marBottom w:val="0"/>
          <w:divBdr>
            <w:top w:val="none" w:sz="0" w:space="0" w:color="auto"/>
            <w:left w:val="none" w:sz="0" w:space="0" w:color="auto"/>
            <w:bottom w:val="none" w:sz="0" w:space="0" w:color="auto"/>
            <w:right w:val="none" w:sz="0" w:space="0" w:color="auto"/>
          </w:divBdr>
          <w:divsChild>
            <w:div w:id="121701964">
              <w:marLeft w:val="0"/>
              <w:marRight w:val="0"/>
              <w:marTop w:val="0"/>
              <w:marBottom w:val="0"/>
              <w:divBdr>
                <w:top w:val="none" w:sz="0" w:space="0" w:color="auto"/>
                <w:left w:val="none" w:sz="0" w:space="0" w:color="auto"/>
                <w:bottom w:val="none" w:sz="0" w:space="0" w:color="auto"/>
                <w:right w:val="none" w:sz="0" w:space="0" w:color="auto"/>
              </w:divBdr>
              <w:divsChild>
                <w:div w:id="759374797">
                  <w:marLeft w:val="0"/>
                  <w:marRight w:val="0"/>
                  <w:marTop w:val="0"/>
                  <w:marBottom w:val="0"/>
                  <w:divBdr>
                    <w:top w:val="none" w:sz="0" w:space="0" w:color="auto"/>
                    <w:left w:val="none" w:sz="0" w:space="0" w:color="auto"/>
                    <w:bottom w:val="none" w:sz="0" w:space="0" w:color="auto"/>
                    <w:right w:val="none" w:sz="0" w:space="0" w:color="auto"/>
                  </w:divBdr>
                  <w:divsChild>
                    <w:div w:id="546189640">
                      <w:marLeft w:val="0"/>
                      <w:marRight w:val="0"/>
                      <w:marTop w:val="0"/>
                      <w:marBottom w:val="0"/>
                      <w:divBdr>
                        <w:top w:val="none" w:sz="0" w:space="0" w:color="auto"/>
                        <w:left w:val="none" w:sz="0" w:space="0" w:color="auto"/>
                        <w:bottom w:val="none" w:sz="0" w:space="0" w:color="auto"/>
                        <w:right w:val="none" w:sz="0" w:space="0" w:color="auto"/>
                      </w:divBdr>
                      <w:divsChild>
                        <w:div w:id="1037705950">
                          <w:marLeft w:val="0"/>
                          <w:marRight w:val="0"/>
                          <w:marTop w:val="0"/>
                          <w:marBottom w:val="0"/>
                          <w:divBdr>
                            <w:top w:val="none" w:sz="0" w:space="0" w:color="auto"/>
                            <w:left w:val="none" w:sz="0" w:space="0" w:color="auto"/>
                            <w:bottom w:val="none" w:sz="0" w:space="0" w:color="auto"/>
                            <w:right w:val="none" w:sz="0" w:space="0" w:color="auto"/>
                          </w:divBdr>
                          <w:divsChild>
                            <w:div w:id="1470132157">
                              <w:marLeft w:val="0"/>
                              <w:marRight w:val="0"/>
                              <w:marTop w:val="0"/>
                              <w:marBottom w:val="0"/>
                              <w:divBdr>
                                <w:top w:val="none" w:sz="0" w:space="0" w:color="auto"/>
                                <w:left w:val="none" w:sz="0" w:space="0" w:color="auto"/>
                                <w:bottom w:val="none" w:sz="0" w:space="0" w:color="auto"/>
                                <w:right w:val="none" w:sz="0" w:space="0" w:color="auto"/>
                              </w:divBdr>
                              <w:divsChild>
                                <w:div w:id="1503621614">
                                  <w:marLeft w:val="0"/>
                                  <w:marRight w:val="0"/>
                                  <w:marTop w:val="0"/>
                                  <w:marBottom w:val="0"/>
                                  <w:divBdr>
                                    <w:top w:val="none" w:sz="0" w:space="0" w:color="auto"/>
                                    <w:left w:val="none" w:sz="0" w:space="0" w:color="auto"/>
                                    <w:bottom w:val="none" w:sz="0" w:space="0" w:color="auto"/>
                                    <w:right w:val="none" w:sz="0" w:space="0" w:color="auto"/>
                                  </w:divBdr>
                                  <w:divsChild>
                                    <w:div w:id="10934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54730638">
      <w:bodyDiv w:val="1"/>
      <w:marLeft w:val="0"/>
      <w:marRight w:val="0"/>
      <w:marTop w:val="0"/>
      <w:marBottom w:val="0"/>
      <w:divBdr>
        <w:top w:val="none" w:sz="0" w:space="0" w:color="auto"/>
        <w:left w:val="none" w:sz="0" w:space="0" w:color="auto"/>
        <w:bottom w:val="none" w:sz="0" w:space="0" w:color="auto"/>
        <w:right w:val="none" w:sz="0" w:space="0" w:color="auto"/>
      </w:divBdr>
      <w:divsChild>
        <w:div w:id="213348749">
          <w:marLeft w:val="0"/>
          <w:marRight w:val="0"/>
          <w:marTop w:val="0"/>
          <w:marBottom w:val="0"/>
          <w:divBdr>
            <w:top w:val="none" w:sz="0" w:space="0" w:color="auto"/>
            <w:left w:val="none" w:sz="0" w:space="0" w:color="auto"/>
            <w:bottom w:val="none" w:sz="0" w:space="0" w:color="auto"/>
            <w:right w:val="none" w:sz="0" w:space="0" w:color="auto"/>
          </w:divBdr>
          <w:divsChild>
            <w:div w:id="870609084">
              <w:marLeft w:val="0"/>
              <w:marRight w:val="0"/>
              <w:marTop w:val="0"/>
              <w:marBottom w:val="0"/>
              <w:divBdr>
                <w:top w:val="none" w:sz="0" w:space="0" w:color="auto"/>
                <w:left w:val="none" w:sz="0" w:space="0" w:color="auto"/>
                <w:bottom w:val="none" w:sz="0" w:space="0" w:color="auto"/>
                <w:right w:val="none" w:sz="0" w:space="0" w:color="auto"/>
              </w:divBdr>
              <w:divsChild>
                <w:div w:id="768281112">
                  <w:marLeft w:val="0"/>
                  <w:marRight w:val="0"/>
                  <w:marTop w:val="0"/>
                  <w:marBottom w:val="0"/>
                  <w:divBdr>
                    <w:top w:val="none" w:sz="0" w:space="0" w:color="auto"/>
                    <w:left w:val="none" w:sz="0" w:space="0" w:color="auto"/>
                    <w:bottom w:val="none" w:sz="0" w:space="0" w:color="auto"/>
                    <w:right w:val="none" w:sz="0" w:space="0" w:color="auto"/>
                  </w:divBdr>
                  <w:divsChild>
                    <w:div w:id="1664698301">
                      <w:marLeft w:val="0"/>
                      <w:marRight w:val="0"/>
                      <w:marTop w:val="0"/>
                      <w:marBottom w:val="0"/>
                      <w:divBdr>
                        <w:top w:val="none" w:sz="0" w:space="0" w:color="auto"/>
                        <w:left w:val="none" w:sz="0" w:space="0" w:color="auto"/>
                        <w:bottom w:val="none" w:sz="0" w:space="0" w:color="auto"/>
                        <w:right w:val="none" w:sz="0" w:space="0" w:color="auto"/>
                      </w:divBdr>
                      <w:divsChild>
                        <w:div w:id="1892695394">
                          <w:marLeft w:val="0"/>
                          <w:marRight w:val="0"/>
                          <w:marTop w:val="0"/>
                          <w:marBottom w:val="0"/>
                          <w:divBdr>
                            <w:top w:val="none" w:sz="0" w:space="0" w:color="auto"/>
                            <w:left w:val="none" w:sz="0" w:space="0" w:color="auto"/>
                            <w:bottom w:val="none" w:sz="0" w:space="0" w:color="auto"/>
                            <w:right w:val="none" w:sz="0" w:space="0" w:color="auto"/>
                          </w:divBdr>
                          <w:divsChild>
                            <w:div w:id="357390015">
                              <w:marLeft w:val="0"/>
                              <w:marRight w:val="0"/>
                              <w:marTop w:val="0"/>
                              <w:marBottom w:val="0"/>
                              <w:divBdr>
                                <w:top w:val="none" w:sz="0" w:space="0" w:color="auto"/>
                                <w:left w:val="none" w:sz="0" w:space="0" w:color="auto"/>
                                <w:bottom w:val="none" w:sz="0" w:space="0" w:color="auto"/>
                                <w:right w:val="none" w:sz="0" w:space="0" w:color="auto"/>
                              </w:divBdr>
                              <w:divsChild>
                                <w:div w:id="1380393356">
                                  <w:marLeft w:val="0"/>
                                  <w:marRight w:val="0"/>
                                  <w:marTop w:val="0"/>
                                  <w:marBottom w:val="0"/>
                                  <w:divBdr>
                                    <w:top w:val="none" w:sz="0" w:space="0" w:color="auto"/>
                                    <w:left w:val="none" w:sz="0" w:space="0" w:color="auto"/>
                                    <w:bottom w:val="none" w:sz="0" w:space="0" w:color="auto"/>
                                    <w:right w:val="none" w:sz="0" w:space="0" w:color="auto"/>
                                  </w:divBdr>
                                  <w:divsChild>
                                    <w:div w:id="18641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04190259">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747455829">
      <w:bodyDiv w:val="1"/>
      <w:marLeft w:val="0"/>
      <w:marRight w:val="0"/>
      <w:marTop w:val="0"/>
      <w:marBottom w:val="0"/>
      <w:divBdr>
        <w:top w:val="none" w:sz="0" w:space="0" w:color="auto"/>
        <w:left w:val="none" w:sz="0" w:space="0" w:color="auto"/>
        <w:bottom w:val="none" w:sz="0" w:space="0" w:color="auto"/>
        <w:right w:val="none" w:sz="0" w:space="0" w:color="auto"/>
      </w:divBdr>
      <w:divsChild>
        <w:div w:id="277956386">
          <w:marLeft w:val="0"/>
          <w:marRight w:val="0"/>
          <w:marTop w:val="0"/>
          <w:marBottom w:val="0"/>
          <w:divBdr>
            <w:top w:val="none" w:sz="0" w:space="0" w:color="auto"/>
            <w:left w:val="none" w:sz="0" w:space="0" w:color="auto"/>
            <w:bottom w:val="none" w:sz="0" w:space="0" w:color="auto"/>
            <w:right w:val="none" w:sz="0" w:space="0" w:color="auto"/>
          </w:divBdr>
          <w:divsChild>
            <w:div w:id="1826776725">
              <w:marLeft w:val="0"/>
              <w:marRight w:val="0"/>
              <w:marTop w:val="0"/>
              <w:marBottom w:val="0"/>
              <w:divBdr>
                <w:top w:val="none" w:sz="0" w:space="0" w:color="auto"/>
                <w:left w:val="none" w:sz="0" w:space="0" w:color="auto"/>
                <w:bottom w:val="none" w:sz="0" w:space="0" w:color="auto"/>
                <w:right w:val="none" w:sz="0" w:space="0" w:color="auto"/>
              </w:divBdr>
              <w:divsChild>
                <w:div w:id="189998439">
                  <w:marLeft w:val="0"/>
                  <w:marRight w:val="0"/>
                  <w:marTop w:val="0"/>
                  <w:marBottom w:val="0"/>
                  <w:divBdr>
                    <w:top w:val="none" w:sz="0" w:space="0" w:color="auto"/>
                    <w:left w:val="none" w:sz="0" w:space="0" w:color="auto"/>
                    <w:bottom w:val="none" w:sz="0" w:space="0" w:color="auto"/>
                    <w:right w:val="none" w:sz="0" w:space="0" w:color="auto"/>
                  </w:divBdr>
                  <w:divsChild>
                    <w:div w:id="298732189">
                      <w:marLeft w:val="0"/>
                      <w:marRight w:val="0"/>
                      <w:marTop w:val="0"/>
                      <w:marBottom w:val="0"/>
                      <w:divBdr>
                        <w:top w:val="none" w:sz="0" w:space="0" w:color="auto"/>
                        <w:left w:val="none" w:sz="0" w:space="0" w:color="auto"/>
                        <w:bottom w:val="none" w:sz="0" w:space="0" w:color="auto"/>
                        <w:right w:val="none" w:sz="0" w:space="0" w:color="auto"/>
                      </w:divBdr>
                      <w:divsChild>
                        <w:div w:id="185414947">
                          <w:marLeft w:val="0"/>
                          <w:marRight w:val="0"/>
                          <w:marTop w:val="0"/>
                          <w:marBottom w:val="0"/>
                          <w:divBdr>
                            <w:top w:val="none" w:sz="0" w:space="0" w:color="auto"/>
                            <w:left w:val="none" w:sz="0" w:space="0" w:color="auto"/>
                            <w:bottom w:val="none" w:sz="0" w:space="0" w:color="auto"/>
                            <w:right w:val="none" w:sz="0" w:space="0" w:color="auto"/>
                          </w:divBdr>
                          <w:divsChild>
                            <w:div w:id="1867212534">
                              <w:marLeft w:val="0"/>
                              <w:marRight w:val="0"/>
                              <w:marTop w:val="0"/>
                              <w:marBottom w:val="0"/>
                              <w:divBdr>
                                <w:top w:val="none" w:sz="0" w:space="0" w:color="auto"/>
                                <w:left w:val="none" w:sz="0" w:space="0" w:color="auto"/>
                                <w:bottom w:val="none" w:sz="0" w:space="0" w:color="auto"/>
                                <w:right w:val="none" w:sz="0" w:space="0" w:color="auto"/>
                              </w:divBdr>
                              <w:divsChild>
                                <w:div w:id="1535145648">
                                  <w:marLeft w:val="0"/>
                                  <w:marRight w:val="0"/>
                                  <w:marTop w:val="0"/>
                                  <w:marBottom w:val="0"/>
                                  <w:divBdr>
                                    <w:top w:val="none" w:sz="0" w:space="0" w:color="auto"/>
                                    <w:left w:val="none" w:sz="0" w:space="0" w:color="auto"/>
                                    <w:bottom w:val="none" w:sz="0" w:space="0" w:color="auto"/>
                                    <w:right w:val="none" w:sz="0" w:space="0" w:color="auto"/>
                                  </w:divBdr>
                                  <w:divsChild>
                                    <w:div w:id="6832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870413906">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2.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3.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6</TotalTime>
  <Pages>110</Pages>
  <Words>40268</Words>
  <Characters>229533</Characters>
  <Application>Microsoft Office Word</Application>
  <DocSecurity>4</DocSecurity>
  <Lines>1912</Lines>
  <Paragraphs>538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MNB</dc:creator>
  <cp:keywords/>
  <cp:lastModifiedBy>Kornelia Wilinska</cp:lastModifiedBy>
  <cp:revision>2</cp:revision>
  <dcterms:created xsi:type="dcterms:W3CDTF">2025-10-10T14:32:00Z</dcterms:created>
  <dcterms:modified xsi:type="dcterms:W3CDTF">2025-10-10T14:32:00Z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