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B2AE" w14:textId="77777777" w:rsidR="00B81226" w:rsidRDefault="00B81226">
      <w:pPr>
        <w:pStyle w:val="abbreviation"/>
      </w:pPr>
    </w:p>
    <w:p w14:paraId="7FE1B2AF" w14:textId="77777777" w:rsidR="00B81226" w:rsidRDefault="00B82AC2">
      <w:pPr>
        <w:pStyle w:val="P68B1DB1-ListParagraph1"/>
        <w:jc w:val="center"/>
        <w:rPr>
          <w:bCs/>
        </w:rPr>
      </w:pPr>
      <w:r>
        <w:t>Liite II: Ohjeet</w:t>
      </w:r>
    </w:p>
    <w:p w14:paraId="7FE1B2B0" w14:textId="77777777" w:rsidR="00B81226" w:rsidRDefault="00B81226">
      <w:pPr>
        <w:rPr>
          <w:rFonts w:ascii="Times New Roman" w:hAnsi="Times New Roman" w:cs="Times New Roman"/>
          <w:b/>
          <w:color w:val="000000" w:themeColor="text1"/>
          <w:sz w:val="20"/>
          <w:szCs w:val="20"/>
        </w:rPr>
      </w:pPr>
    </w:p>
    <w:p w14:paraId="7FE1B2B1" w14:textId="77777777" w:rsidR="00B81226" w:rsidRDefault="00B81226">
      <w:pPr>
        <w:rPr>
          <w:rFonts w:ascii="Times New Roman" w:hAnsi="Times New Roman" w:cs="Times New Roman"/>
          <w:b/>
          <w:color w:val="000000" w:themeColor="text1"/>
          <w:sz w:val="20"/>
          <w:szCs w:val="20"/>
        </w:rPr>
      </w:pPr>
    </w:p>
    <w:p w14:paraId="758768BD" w14:textId="6AC249D9" w:rsidR="00B82AC2" w:rsidRDefault="00B82AC2">
      <w:pPr>
        <w:pStyle w:val="TOC2"/>
        <w:rPr>
          <w:noProof/>
          <w:kern w:val="2"/>
          <w:sz w:val="24"/>
          <w:szCs w:val="24"/>
          <w:lang w:val="en-GB"/>
          <w14:ligatures w14:val="standardContextual"/>
        </w:rPr>
      </w:pPr>
      <w:r>
        <w:fldChar w:fldCharType="begin"/>
      </w:r>
      <w:r>
        <w:rPr>
          <w:bCs/>
          <w:sz w:val="20"/>
          <w:szCs w:val="20"/>
        </w:rPr>
        <w:instrText xml:space="preserve"> TOC \o "1-3" \h \z \t "Numbered tile level 1,1,Numbered title level 2,2" </w:instrText>
      </w:r>
      <w:r>
        <w:fldChar w:fldCharType="separate"/>
      </w:r>
      <w:hyperlink w:anchor="_Toc208245425" w:history="1">
        <w:r w:rsidRPr="00065625">
          <w:rPr>
            <w:rStyle w:val="Hyperlink"/>
            <w:noProof/>
          </w:rPr>
          <w:t>I.</w:t>
        </w:r>
        <w:r>
          <w:rPr>
            <w:noProof/>
            <w:kern w:val="2"/>
            <w:sz w:val="24"/>
            <w:szCs w:val="24"/>
            <w:lang w:val="en-GB"/>
            <w14:ligatures w14:val="standardContextual"/>
          </w:rPr>
          <w:tab/>
        </w:r>
        <w:r w:rsidRPr="00065625">
          <w:rPr>
            <w:rStyle w:val="Hyperlink"/>
            <w:noProof/>
          </w:rPr>
          <w:t>Yleiset ohjeet</w:t>
        </w:r>
        <w:r>
          <w:rPr>
            <w:noProof/>
            <w:webHidden/>
          </w:rPr>
          <w:tab/>
        </w:r>
        <w:r>
          <w:rPr>
            <w:noProof/>
            <w:webHidden/>
          </w:rPr>
          <w:fldChar w:fldCharType="begin"/>
        </w:r>
        <w:r>
          <w:rPr>
            <w:noProof/>
            <w:webHidden/>
          </w:rPr>
          <w:instrText xml:space="preserve"> PAGEREF _Toc208245425 \h </w:instrText>
        </w:r>
        <w:r>
          <w:rPr>
            <w:noProof/>
            <w:webHidden/>
          </w:rPr>
        </w:r>
        <w:r>
          <w:rPr>
            <w:noProof/>
            <w:webHidden/>
          </w:rPr>
          <w:fldChar w:fldCharType="separate"/>
        </w:r>
        <w:r>
          <w:rPr>
            <w:noProof/>
            <w:webHidden/>
          </w:rPr>
          <w:t>3</w:t>
        </w:r>
        <w:r>
          <w:rPr>
            <w:noProof/>
            <w:webHidden/>
          </w:rPr>
          <w:fldChar w:fldCharType="end"/>
        </w:r>
      </w:hyperlink>
    </w:p>
    <w:p w14:paraId="66CA0A14" w14:textId="74449E45" w:rsidR="00B82AC2" w:rsidRDefault="00B82AC2">
      <w:pPr>
        <w:pStyle w:val="TOC2"/>
        <w:rPr>
          <w:noProof/>
          <w:kern w:val="2"/>
          <w:sz w:val="24"/>
          <w:szCs w:val="24"/>
          <w:lang w:val="en-GB"/>
          <w14:ligatures w14:val="standardContextual"/>
        </w:rPr>
      </w:pPr>
      <w:hyperlink w:anchor="_Toc208245426" w:history="1">
        <w:r w:rsidRPr="00065625">
          <w:rPr>
            <w:rStyle w:val="Hyperlink"/>
            <w:noProof/>
          </w:rPr>
          <w:t>I.1</w:t>
        </w:r>
        <w:r>
          <w:rPr>
            <w:noProof/>
            <w:kern w:val="2"/>
            <w:sz w:val="24"/>
            <w:szCs w:val="24"/>
            <w:lang w:val="en-GB"/>
            <w14:ligatures w14:val="standardContextual"/>
          </w:rPr>
          <w:tab/>
        </w:r>
        <w:r w:rsidRPr="00065625">
          <w:rPr>
            <w:rStyle w:val="Hyperlink"/>
            <w:noProof/>
          </w:rPr>
          <w:t>Rakenne</w:t>
        </w:r>
        <w:r>
          <w:rPr>
            <w:noProof/>
            <w:webHidden/>
          </w:rPr>
          <w:tab/>
        </w:r>
        <w:r>
          <w:rPr>
            <w:noProof/>
            <w:webHidden/>
          </w:rPr>
          <w:fldChar w:fldCharType="begin"/>
        </w:r>
        <w:r>
          <w:rPr>
            <w:noProof/>
            <w:webHidden/>
          </w:rPr>
          <w:instrText xml:space="preserve"> PAGEREF _Toc208245426 \h </w:instrText>
        </w:r>
        <w:r>
          <w:rPr>
            <w:noProof/>
            <w:webHidden/>
          </w:rPr>
        </w:r>
        <w:r>
          <w:rPr>
            <w:noProof/>
            <w:webHidden/>
          </w:rPr>
          <w:fldChar w:fldCharType="separate"/>
        </w:r>
        <w:r>
          <w:rPr>
            <w:noProof/>
            <w:webHidden/>
          </w:rPr>
          <w:t>3</w:t>
        </w:r>
        <w:r>
          <w:rPr>
            <w:noProof/>
            <w:webHidden/>
          </w:rPr>
          <w:fldChar w:fldCharType="end"/>
        </w:r>
      </w:hyperlink>
    </w:p>
    <w:p w14:paraId="6FF17F00" w14:textId="3A757AAE" w:rsidR="00B82AC2" w:rsidRDefault="00B82AC2">
      <w:pPr>
        <w:pStyle w:val="TOC2"/>
        <w:rPr>
          <w:noProof/>
          <w:kern w:val="2"/>
          <w:sz w:val="24"/>
          <w:szCs w:val="24"/>
          <w:lang w:val="en-GB"/>
          <w14:ligatures w14:val="standardContextual"/>
        </w:rPr>
      </w:pPr>
      <w:hyperlink w:anchor="_Toc208245427" w:history="1">
        <w:r w:rsidRPr="00065625">
          <w:rPr>
            <w:rStyle w:val="Hyperlink"/>
            <w:noProof/>
          </w:rPr>
          <w:t>I.2</w:t>
        </w:r>
        <w:r>
          <w:rPr>
            <w:noProof/>
            <w:kern w:val="2"/>
            <w:sz w:val="24"/>
            <w:szCs w:val="24"/>
            <w:lang w:val="en-GB"/>
            <w14:ligatures w14:val="standardContextual"/>
          </w:rPr>
          <w:tab/>
        </w:r>
        <w:r w:rsidRPr="00065625">
          <w:rPr>
            <w:rStyle w:val="Hyperlink"/>
            <w:noProof/>
          </w:rPr>
          <w:t>Viiteasiakirja</w:t>
        </w:r>
        <w:r>
          <w:rPr>
            <w:noProof/>
            <w:webHidden/>
          </w:rPr>
          <w:tab/>
        </w:r>
        <w:r>
          <w:rPr>
            <w:noProof/>
            <w:webHidden/>
          </w:rPr>
          <w:fldChar w:fldCharType="begin"/>
        </w:r>
        <w:r>
          <w:rPr>
            <w:noProof/>
            <w:webHidden/>
          </w:rPr>
          <w:instrText xml:space="preserve"> PAGEREF _Toc208245427 \h </w:instrText>
        </w:r>
        <w:r>
          <w:rPr>
            <w:noProof/>
            <w:webHidden/>
          </w:rPr>
        </w:r>
        <w:r>
          <w:rPr>
            <w:noProof/>
            <w:webHidden/>
          </w:rPr>
          <w:fldChar w:fldCharType="separate"/>
        </w:r>
        <w:r>
          <w:rPr>
            <w:noProof/>
            <w:webHidden/>
          </w:rPr>
          <w:t>4</w:t>
        </w:r>
        <w:r>
          <w:rPr>
            <w:noProof/>
            <w:webHidden/>
          </w:rPr>
          <w:fldChar w:fldCharType="end"/>
        </w:r>
      </w:hyperlink>
    </w:p>
    <w:p w14:paraId="1EA205C2" w14:textId="67593FC3" w:rsidR="00B82AC2" w:rsidRDefault="00B82AC2">
      <w:pPr>
        <w:pStyle w:val="TOC2"/>
        <w:rPr>
          <w:noProof/>
          <w:kern w:val="2"/>
          <w:sz w:val="24"/>
          <w:szCs w:val="24"/>
          <w:lang w:val="en-GB"/>
          <w14:ligatures w14:val="standardContextual"/>
        </w:rPr>
      </w:pPr>
      <w:hyperlink w:anchor="_Toc208245428" w:history="1">
        <w:r w:rsidRPr="00065625">
          <w:rPr>
            <w:rStyle w:val="Hyperlink"/>
            <w:noProof/>
          </w:rPr>
          <w:t>I.3</w:t>
        </w:r>
        <w:r>
          <w:rPr>
            <w:noProof/>
            <w:kern w:val="2"/>
            <w:sz w:val="24"/>
            <w:szCs w:val="24"/>
            <w:lang w:val="en-GB"/>
            <w14:ligatures w14:val="standardContextual"/>
          </w:rPr>
          <w:tab/>
        </w:r>
        <w:r w:rsidRPr="00065625">
          <w:rPr>
            <w:rStyle w:val="Hyperlink"/>
            <w:noProof/>
          </w:rPr>
          <w:t>Tilinpäätösstandardit</w:t>
        </w:r>
        <w:r>
          <w:rPr>
            <w:noProof/>
            <w:webHidden/>
          </w:rPr>
          <w:tab/>
        </w:r>
        <w:r>
          <w:rPr>
            <w:noProof/>
            <w:webHidden/>
          </w:rPr>
          <w:fldChar w:fldCharType="begin"/>
        </w:r>
        <w:r>
          <w:rPr>
            <w:noProof/>
            <w:webHidden/>
          </w:rPr>
          <w:instrText xml:space="preserve"> PAGEREF _Toc208245428 \h </w:instrText>
        </w:r>
        <w:r>
          <w:rPr>
            <w:noProof/>
            <w:webHidden/>
          </w:rPr>
        </w:r>
        <w:r>
          <w:rPr>
            <w:noProof/>
            <w:webHidden/>
          </w:rPr>
          <w:fldChar w:fldCharType="separate"/>
        </w:r>
        <w:r>
          <w:rPr>
            <w:noProof/>
            <w:webHidden/>
          </w:rPr>
          <w:t>5</w:t>
        </w:r>
        <w:r>
          <w:rPr>
            <w:noProof/>
            <w:webHidden/>
          </w:rPr>
          <w:fldChar w:fldCharType="end"/>
        </w:r>
      </w:hyperlink>
    </w:p>
    <w:p w14:paraId="48C3A68A" w14:textId="456E1AD1" w:rsidR="00B82AC2" w:rsidRDefault="00B82AC2">
      <w:pPr>
        <w:pStyle w:val="TOC2"/>
        <w:rPr>
          <w:noProof/>
          <w:kern w:val="2"/>
          <w:sz w:val="24"/>
          <w:szCs w:val="24"/>
          <w:lang w:val="en-GB"/>
          <w14:ligatures w14:val="standardContextual"/>
        </w:rPr>
      </w:pPr>
      <w:hyperlink w:anchor="_Toc208245429" w:history="1">
        <w:r w:rsidRPr="00065625">
          <w:rPr>
            <w:rStyle w:val="Hyperlink"/>
            <w:noProof/>
          </w:rPr>
          <w:t>I.4</w:t>
        </w:r>
        <w:r>
          <w:rPr>
            <w:noProof/>
            <w:kern w:val="2"/>
            <w:sz w:val="24"/>
            <w:szCs w:val="24"/>
            <w:lang w:val="en-GB"/>
            <w14:ligatures w14:val="standardContextual"/>
          </w:rPr>
          <w:tab/>
        </w:r>
        <w:r w:rsidRPr="00065625">
          <w:rPr>
            <w:rStyle w:val="Hyperlink"/>
            <w:noProof/>
          </w:rPr>
          <w:t>Valvontatietojen ilmoittaminen</w:t>
        </w:r>
        <w:r>
          <w:rPr>
            <w:noProof/>
            <w:webHidden/>
          </w:rPr>
          <w:tab/>
        </w:r>
        <w:r>
          <w:rPr>
            <w:noProof/>
            <w:webHidden/>
          </w:rPr>
          <w:fldChar w:fldCharType="begin"/>
        </w:r>
        <w:r>
          <w:rPr>
            <w:noProof/>
            <w:webHidden/>
          </w:rPr>
          <w:instrText xml:space="preserve"> PAGEREF _Toc208245429 \h </w:instrText>
        </w:r>
        <w:r>
          <w:rPr>
            <w:noProof/>
            <w:webHidden/>
          </w:rPr>
        </w:r>
        <w:r>
          <w:rPr>
            <w:noProof/>
            <w:webHidden/>
          </w:rPr>
          <w:fldChar w:fldCharType="separate"/>
        </w:r>
        <w:r>
          <w:rPr>
            <w:noProof/>
            <w:webHidden/>
          </w:rPr>
          <w:t>6</w:t>
        </w:r>
        <w:r>
          <w:rPr>
            <w:noProof/>
            <w:webHidden/>
          </w:rPr>
          <w:fldChar w:fldCharType="end"/>
        </w:r>
      </w:hyperlink>
    </w:p>
    <w:p w14:paraId="14D8C56A" w14:textId="3C7B4B85" w:rsidR="00B82AC2" w:rsidRDefault="00B82AC2">
      <w:pPr>
        <w:pStyle w:val="TOC2"/>
        <w:rPr>
          <w:noProof/>
          <w:kern w:val="2"/>
          <w:sz w:val="24"/>
          <w:szCs w:val="24"/>
          <w:lang w:val="en-GB"/>
          <w14:ligatures w14:val="standardContextual"/>
        </w:rPr>
      </w:pPr>
      <w:hyperlink w:anchor="_Toc208245430" w:history="1">
        <w:r w:rsidRPr="00065625">
          <w:rPr>
            <w:rStyle w:val="Hyperlink"/>
            <w:noProof/>
          </w:rPr>
          <w:t>I.5</w:t>
        </w:r>
        <w:r>
          <w:rPr>
            <w:noProof/>
            <w:kern w:val="2"/>
            <w:sz w:val="24"/>
            <w:szCs w:val="24"/>
            <w:lang w:val="en-GB"/>
            <w14:ligatures w14:val="standardContextual"/>
          </w:rPr>
          <w:tab/>
        </w:r>
        <w:r w:rsidRPr="00065625">
          <w:rPr>
            <w:rStyle w:val="Hyperlink"/>
            <w:noProof/>
          </w:rPr>
          <w:t>Konsolidoinnin laajuus</w:t>
        </w:r>
        <w:r>
          <w:rPr>
            <w:noProof/>
            <w:webHidden/>
          </w:rPr>
          <w:tab/>
        </w:r>
        <w:r>
          <w:rPr>
            <w:noProof/>
            <w:webHidden/>
          </w:rPr>
          <w:fldChar w:fldCharType="begin"/>
        </w:r>
        <w:r>
          <w:rPr>
            <w:noProof/>
            <w:webHidden/>
          </w:rPr>
          <w:instrText xml:space="preserve"> PAGEREF _Toc208245430 \h </w:instrText>
        </w:r>
        <w:r>
          <w:rPr>
            <w:noProof/>
            <w:webHidden/>
          </w:rPr>
        </w:r>
        <w:r>
          <w:rPr>
            <w:noProof/>
            <w:webHidden/>
          </w:rPr>
          <w:fldChar w:fldCharType="separate"/>
        </w:r>
        <w:r>
          <w:rPr>
            <w:noProof/>
            <w:webHidden/>
          </w:rPr>
          <w:t>6</w:t>
        </w:r>
        <w:r>
          <w:rPr>
            <w:noProof/>
            <w:webHidden/>
          </w:rPr>
          <w:fldChar w:fldCharType="end"/>
        </w:r>
      </w:hyperlink>
    </w:p>
    <w:p w14:paraId="5B1A3FB5" w14:textId="4C3736EF" w:rsidR="00B82AC2" w:rsidRDefault="00B82AC2">
      <w:pPr>
        <w:pStyle w:val="TOC2"/>
        <w:rPr>
          <w:noProof/>
          <w:kern w:val="2"/>
          <w:sz w:val="24"/>
          <w:szCs w:val="24"/>
          <w:lang w:val="en-GB"/>
          <w14:ligatures w14:val="standardContextual"/>
        </w:rPr>
      </w:pPr>
      <w:hyperlink w:anchor="_Toc208245431" w:history="1">
        <w:r w:rsidRPr="00065625">
          <w:rPr>
            <w:rStyle w:val="Hyperlink"/>
            <w:noProof/>
          </w:rPr>
          <w:t>I.6</w:t>
        </w:r>
        <w:r>
          <w:rPr>
            <w:noProof/>
            <w:kern w:val="2"/>
            <w:sz w:val="24"/>
            <w:szCs w:val="24"/>
            <w:lang w:val="en-GB"/>
            <w14:ligatures w14:val="standardContextual"/>
          </w:rPr>
          <w:tab/>
        </w:r>
        <w:r w:rsidRPr="00065625">
          <w:rPr>
            <w:rStyle w:val="Hyperlink"/>
            <w:noProof/>
          </w:rPr>
          <w:t>Numerointi ja muut käytännöt</w:t>
        </w:r>
        <w:r>
          <w:rPr>
            <w:noProof/>
            <w:webHidden/>
          </w:rPr>
          <w:tab/>
        </w:r>
        <w:r>
          <w:rPr>
            <w:noProof/>
            <w:webHidden/>
          </w:rPr>
          <w:fldChar w:fldCharType="begin"/>
        </w:r>
        <w:r>
          <w:rPr>
            <w:noProof/>
            <w:webHidden/>
          </w:rPr>
          <w:instrText xml:space="preserve"> PAGEREF _Toc208245431 \h </w:instrText>
        </w:r>
        <w:r>
          <w:rPr>
            <w:noProof/>
            <w:webHidden/>
          </w:rPr>
        </w:r>
        <w:r>
          <w:rPr>
            <w:noProof/>
            <w:webHidden/>
          </w:rPr>
          <w:fldChar w:fldCharType="separate"/>
        </w:r>
        <w:r>
          <w:rPr>
            <w:noProof/>
            <w:webHidden/>
          </w:rPr>
          <w:t>6</w:t>
        </w:r>
        <w:r>
          <w:rPr>
            <w:noProof/>
            <w:webHidden/>
          </w:rPr>
          <w:fldChar w:fldCharType="end"/>
        </w:r>
      </w:hyperlink>
    </w:p>
    <w:p w14:paraId="190AF88B" w14:textId="1BD3F613" w:rsidR="00B82AC2" w:rsidRDefault="00B82AC2">
      <w:pPr>
        <w:pStyle w:val="TOC2"/>
        <w:rPr>
          <w:noProof/>
          <w:kern w:val="2"/>
          <w:sz w:val="24"/>
          <w:szCs w:val="24"/>
          <w:lang w:val="en-GB"/>
          <w14:ligatures w14:val="standardContextual"/>
        </w:rPr>
      </w:pPr>
      <w:hyperlink w:anchor="_Toc208245432" w:history="1">
        <w:r w:rsidRPr="00065625">
          <w:rPr>
            <w:rStyle w:val="Hyperlink"/>
            <w:noProof/>
          </w:rPr>
          <w:t>II.</w:t>
        </w:r>
        <w:r>
          <w:rPr>
            <w:noProof/>
            <w:kern w:val="2"/>
            <w:sz w:val="24"/>
            <w:szCs w:val="24"/>
            <w:lang w:val="en-GB"/>
            <w14:ligatures w14:val="standardContextual"/>
          </w:rPr>
          <w:tab/>
        </w:r>
        <w:r w:rsidRPr="00065625">
          <w:rPr>
            <w:rStyle w:val="Hyperlink"/>
            <w:noProof/>
          </w:rPr>
          <w:t>Lomakkeisiin liittyvät ohjeet</w:t>
        </w:r>
        <w:r>
          <w:rPr>
            <w:noProof/>
            <w:webHidden/>
          </w:rPr>
          <w:tab/>
        </w:r>
        <w:r>
          <w:rPr>
            <w:noProof/>
            <w:webHidden/>
          </w:rPr>
          <w:fldChar w:fldCharType="begin"/>
        </w:r>
        <w:r>
          <w:rPr>
            <w:noProof/>
            <w:webHidden/>
          </w:rPr>
          <w:instrText xml:space="preserve"> PAGEREF _Toc208245432 \h </w:instrText>
        </w:r>
        <w:r>
          <w:rPr>
            <w:noProof/>
            <w:webHidden/>
          </w:rPr>
        </w:r>
        <w:r>
          <w:rPr>
            <w:noProof/>
            <w:webHidden/>
          </w:rPr>
          <w:fldChar w:fldCharType="separate"/>
        </w:r>
        <w:r>
          <w:rPr>
            <w:noProof/>
            <w:webHidden/>
          </w:rPr>
          <w:t>7</w:t>
        </w:r>
        <w:r>
          <w:rPr>
            <w:noProof/>
            <w:webHidden/>
          </w:rPr>
          <w:fldChar w:fldCharType="end"/>
        </w:r>
      </w:hyperlink>
    </w:p>
    <w:p w14:paraId="54EDB4A7" w14:textId="220E74D2" w:rsidR="00B82AC2" w:rsidRDefault="00B82AC2">
      <w:pPr>
        <w:pStyle w:val="TOC2"/>
        <w:rPr>
          <w:noProof/>
          <w:kern w:val="2"/>
          <w:sz w:val="24"/>
          <w:szCs w:val="24"/>
          <w:lang w:val="en-GB"/>
          <w14:ligatures w14:val="standardContextual"/>
        </w:rPr>
      </w:pPr>
      <w:hyperlink w:anchor="_Toc208245433" w:history="1">
        <w:r w:rsidRPr="00065625">
          <w:rPr>
            <w:rStyle w:val="Hyperlink"/>
            <w:noProof/>
          </w:rPr>
          <w:t>II.1</w:t>
        </w:r>
        <w:r>
          <w:rPr>
            <w:noProof/>
            <w:kern w:val="2"/>
            <w:sz w:val="24"/>
            <w:szCs w:val="24"/>
            <w:lang w:val="en-GB"/>
            <w14:ligatures w14:val="standardContextual"/>
          </w:rPr>
          <w:tab/>
        </w:r>
        <w:r w:rsidRPr="00065625">
          <w:rPr>
            <w:rStyle w:val="Hyperlink"/>
            <w:noProof/>
          </w:rPr>
          <w:t>Z 01.01 – Organisaatiot (ORG 1)</w:t>
        </w:r>
        <w:r>
          <w:rPr>
            <w:noProof/>
            <w:webHidden/>
          </w:rPr>
          <w:tab/>
        </w:r>
        <w:r>
          <w:rPr>
            <w:noProof/>
            <w:webHidden/>
          </w:rPr>
          <w:fldChar w:fldCharType="begin"/>
        </w:r>
        <w:r>
          <w:rPr>
            <w:noProof/>
            <w:webHidden/>
          </w:rPr>
          <w:instrText xml:space="preserve"> PAGEREF _Toc208245433 \h </w:instrText>
        </w:r>
        <w:r>
          <w:rPr>
            <w:noProof/>
            <w:webHidden/>
          </w:rPr>
        </w:r>
        <w:r>
          <w:rPr>
            <w:noProof/>
            <w:webHidden/>
          </w:rPr>
          <w:fldChar w:fldCharType="separate"/>
        </w:r>
        <w:r>
          <w:rPr>
            <w:noProof/>
            <w:webHidden/>
          </w:rPr>
          <w:t>7</w:t>
        </w:r>
        <w:r>
          <w:rPr>
            <w:noProof/>
            <w:webHidden/>
          </w:rPr>
          <w:fldChar w:fldCharType="end"/>
        </w:r>
      </w:hyperlink>
    </w:p>
    <w:p w14:paraId="3E38416F" w14:textId="0188B65B" w:rsidR="00B82AC2" w:rsidRDefault="00B82AC2">
      <w:pPr>
        <w:pStyle w:val="TOC2"/>
        <w:rPr>
          <w:noProof/>
          <w:kern w:val="2"/>
          <w:sz w:val="24"/>
          <w:szCs w:val="24"/>
          <w:lang w:val="en-GB"/>
          <w14:ligatures w14:val="standardContextual"/>
        </w:rPr>
      </w:pPr>
      <w:hyperlink w:anchor="_Toc208245434" w:history="1">
        <w:r w:rsidRPr="00065625">
          <w:rPr>
            <w:rStyle w:val="Hyperlink"/>
            <w:noProof/>
          </w:rPr>
          <w:t>II.2</w:t>
        </w:r>
        <w:r>
          <w:rPr>
            <w:noProof/>
            <w:kern w:val="2"/>
            <w:sz w:val="24"/>
            <w:szCs w:val="24"/>
            <w:lang w:val="en-GB"/>
            <w14:ligatures w14:val="standardContextual"/>
          </w:rPr>
          <w:tab/>
        </w:r>
        <w:r w:rsidRPr="00065625">
          <w:rPr>
            <w:rStyle w:val="Hyperlink"/>
            <w:noProof/>
          </w:rPr>
          <w:t>Z 01.02 – Omistusrakenne (ORG 2)</w:t>
        </w:r>
        <w:r>
          <w:rPr>
            <w:noProof/>
            <w:webHidden/>
          </w:rPr>
          <w:tab/>
        </w:r>
        <w:r>
          <w:rPr>
            <w:noProof/>
            <w:webHidden/>
          </w:rPr>
          <w:fldChar w:fldCharType="begin"/>
        </w:r>
        <w:r>
          <w:rPr>
            <w:noProof/>
            <w:webHidden/>
          </w:rPr>
          <w:instrText xml:space="preserve"> PAGEREF _Toc208245434 \h </w:instrText>
        </w:r>
        <w:r>
          <w:rPr>
            <w:noProof/>
            <w:webHidden/>
          </w:rPr>
        </w:r>
        <w:r>
          <w:rPr>
            <w:noProof/>
            <w:webHidden/>
          </w:rPr>
          <w:fldChar w:fldCharType="separate"/>
        </w:r>
        <w:r>
          <w:rPr>
            <w:noProof/>
            <w:webHidden/>
          </w:rPr>
          <w:t>10</w:t>
        </w:r>
        <w:r>
          <w:rPr>
            <w:noProof/>
            <w:webHidden/>
          </w:rPr>
          <w:fldChar w:fldCharType="end"/>
        </w:r>
      </w:hyperlink>
    </w:p>
    <w:p w14:paraId="0F332634" w14:textId="4A2E31CE" w:rsidR="00B82AC2" w:rsidRDefault="00B82AC2">
      <w:pPr>
        <w:pStyle w:val="TOC2"/>
        <w:rPr>
          <w:noProof/>
          <w:kern w:val="2"/>
          <w:sz w:val="24"/>
          <w:szCs w:val="24"/>
          <w:lang w:val="en-GB"/>
          <w14:ligatures w14:val="standardContextual"/>
        </w:rPr>
      </w:pPr>
      <w:hyperlink w:anchor="_Toc208245435" w:history="1">
        <w:r w:rsidRPr="00065625">
          <w:rPr>
            <w:rStyle w:val="Hyperlink"/>
            <w:noProof/>
          </w:rPr>
          <w:t>II.3</w:t>
        </w:r>
        <w:r>
          <w:rPr>
            <w:noProof/>
            <w:kern w:val="2"/>
            <w:sz w:val="24"/>
            <w:szCs w:val="24"/>
            <w:lang w:val="en-GB"/>
            <w14:ligatures w14:val="standardContextual"/>
          </w:rPr>
          <w:tab/>
        </w:r>
        <w:r w:rsidRPr="00065625">
          <w:rPr>
            <w:rStyle w:val="Hyperlink"/>
            <w:noProof/>
          </w:rPr>
          <w:t>Z 02.00 – Vastuiden rakenne (LIAB 1)</w:t>
        </w:r>
        <w:r>
          <w:rPr>
            <w:noProof/>
            <w:webHidden/>
          </w:rPr>
          <w:tab/>
        </w:r>
        <w:r>
          <w:rPr>
            <w:noProof/>
            <w:webHidden/>
          </w:rPr>
          <w:fldChar w:fldCharType="begin"/>
        </w:r>
        <w:r>
          <w:rPr>
            <w:noProof/>
            <w:webHidden/>
          </w:rPr>
          <w:instrText xml:space="preserve"> PAGEREF _Toc208245435 \h </w:instrText>
        </w:r>
        <w:r>
          <w:rPr>
            <w:noProof/>
            <w:webHidden/>
          </w:rPr>
        </w:r>
        <w:r>
          <w:rPr>
            <w:noProof/>
            <w:webHidden/>
          </w:rPr>
          <w:fldChar w:fldCharType="separate"/>
        </w:r>
        <w:r>
          <w:rPr>
            <w:noProof/>
            <w:webHidden/>
          </w:rPr>
          <w:t>12</w:t>
        </w:r>
        <w:r>
          <w:rPr>
            <w:noProof/>
            <w:webHidden/>
          </w:rPr>
          <w:fldChar w:fldCharType="end"/>
        </w:r>
      </w:hyperlink>
    </w:p>
    <w:p w14:paraId="384D5B6E" w14:textId="5C9C689B" w:rsidR="00B82AC2" w:rsidRDefault="00B82AC2">
      <w:pPr>
        <w:pStyle w:val="TOC2"/>
        <w:rPr>
          <w:noProof/>
          <w:kern w:val="2"/>
          <w:sz w:val="24"/>
          <w:szCs w:val="24"/>
          <w:lang w:val="en-GB"/>
          <w14:ligatures w14:val="standardContextual"/>
        </w:rPr>
      </w:pPr>
      <w:hyperlink w:anchor="_Toc208245436" w:history="1">
        <w:r w:rsidRPr="00065625">
          <w:rPr>
            <w:rStyle w:val="Hyperlink"/>
            <w:noProof/>
          </w:rPr>
          <w:t>II.4</w:t>
        </w:r>
        <w:r>
          <w:rPr>
            <w:noProof/>
            <w:kern w:val="2"/>
            <w:sz w:val="24"/>
            <w:szCs w:val="24"/>
            <w:lang w:val="en-GB"/>
            <w14:ligatures w14:val="standardContextual"/>
          </w:rPr>
          <w:tab/>
        </w:r>
        <w:r w:rsidRPr="00065625">
          <w:rPr>
            <w:rStyle w:val="Hyperlink"/>
            <w:noProof/>
          </w:rPr>
          <w:t>Z 03.01 – Omien varojen vaatimukset – Pankit (LIAB 2)</w:t>
        </w:r>
        <w:r>
          <w:rPr>
            <w:noProof/>
            <w:webHidden/>
          </w:rPr>
          <w:tab/>
        </w:r>
        <w:r>
          <w:rPr>
            <w:noProof/>
            <w:webHidden/>
          </w:rPr>
          <w:fldChar w:fldCharType="begin"/>
        </w:r>
        <w:r>
          <w:rPr>
            <w:noProof/>
            <w:webHidden/>
          </w:rPr>
          <w:instrText xml:space="preserve"> PAGEREF _Toc208245436 \h </w:instrText>
        </w:r>
        <w:r>
          <w:rPr>
            <w:noProof/>
            <w:webHidden/>
          </w:rPr>
        </w:r>
        <w:r>
          <w:rPr>
            <w:noProof/>
            <w:webHidden/>
          </w:rPr>
          <w:fldChar w:fldCharType="separate"/>
        </w:r>
        <w:r>
          <w:rPr>
            <w:noProof/>
            <w:webHidden/>
          </w:rPr>
          <w:t>20</w:t>
        </w:r>
        <w:r>
          <w:rPr>
            <w:noProof/>
            <w:webHidden/>
          </w:rPr>
          <w:fldChar w:fldCharType="end"/>
        </w:r>
      </w:hyperlink>
    </w:p>
    <w:p w14:paraId="0AB949D4" w14:textId="1E7E38A5" w:rsidR="00B82AC2" w:rsidRDefault="00B82AC2">
      <w:pPr>
        <w:pStyle w:val="TOC2"/>
        <w:rPr>
          <w:noProof/>
          <w:kern w:val="2"/>
          <w:sz w:val="24"/>
          <w:szCs w:val="24"/>
          <w:lang w:val="en-GB"/>
          <w14:ligatures w14:val="standardContextual"/>
        </w:rPr>
      </w:pPr>
      <w:hyperlink w:anchor="_Toc208245437" w:history="1">
        <w:r w:rsidRPr="00065625">
          <w:rPr>
            <w:rStyle w:val="Hyperlink"/>
            <w:noProof/>
          </w:rPr>
          <w:t>II.5</w:t>
        </w:r>
        <w:r>
          <w:rPr>
            <w:noProof/>
            <w:kern w:val="2"/>
            <w:sz w:val="24"/>
            <w:szCs w:val="24"/>
            <w:lang w:val="en-GB"/>
            <w14:ligatures w14:val="standardContextual"/>
          </w:rPr>
          <w:tab/>
        </w:r>
        <w:r w:rsidRPr="00065625">
          <w:rPr>
            <w:rStyle w:val="Hyperlink"/>
            <w:noProof/>
          </w:rPr>
          <w:t>Z 03.02 – Omien varojen vaatimukset – Pörssiyritykset (LIAB 3)</w:t>
        </w:r>
        <w:r>
          <w:rPr>
            <w:noProof/>
            <w:webHidden/>
          </w:rPr>
          <w:tab/>
        </w:r>
        <w:r>
          <w:rPr>
            <w:noProof/>
            <w:webHidden/>
          </w:rPr>
          <w:fldChar w:fldCharType="begin"/>
        </w:r>
        <w:r>
          <w:rPr>
            <w:noProof/>
            <w:webHidden/>
          </w:rPr>
          <w:instrText xml:space="preserve"> PAGEREF _Toc208245437 \h </w:instrText>
        </w:r>
        <w:r>
          <w:rPr>
            <w:noProof/>
            <w:webHidden/>
          </w:rPr>
        </w:r>
        <w:r>
          <w:rPr>
            <w:noProof/>
            <w:webHidden/>
          </w:rPr>
          <w:fldChar w:fldCharType="separate"/>
        </w:r>
        <w:r>
          <w:rPr>
            <w:noProof/>
            <w:webHidden/>
          </w:rPr>
          <w:t>23</w:t>
        </w:r>
        <w:r>
          <w:rPr>
            <w:noProof/>
            <w:webHidden/>
          </w:rPr>
          <w:fldChar w:fldCharType="end"/>
        </w:r>
      </w:hyperlink>
    </w:p>
    <w:p w14:paraId="01520CB5" w14:textId="70E4CE0E" w:rsidR="00B82AC2" w:rsidRDefault="00B82AC2">
      <w:pPr>
        <w:pStyle w:val="TOC2"/>
        <w:rPr>
          <w:noProof/>
          <w:kern w:val="2"/>
          <w:sz w:val="24"/>
          <w:szCs w:val="24"/>
          <w:lang w:val="en-GB"/>
          <w14:ligatures w14:val="standardContextual"/>
        </w:rPr>
      </w:pPr>
      <w:hyperlink w:anchor="_Toc208245438" w:history="1">
        <w:r w:rsidRPr="00065625">
          <w:rPr>
            <w:rStyle w:val="Hyperlink"/>
            <w:noProof/>
          </w:rPr>
          <w:t>II.6</w:t>
        </w:r>
        <w:r>
          <w:rPr>
            <w:noProof/>
            <w:kern w:val="2"/>
            <w:sz w:val="24"/>
            <w:szCs w:val="24"/>
            <w:lang w:val="en-GB"/>
            <w14:ligatures w14:val="standardContextual"/>
          </w:rPr>
          <w:tab/>
        </w:r>
        <w:r w:rsidRPr="00065625">
          <w:rPr>
            <w:rStyle w:val="Hyperlink"/>
            <w:noProof/>
          </w:rPr>
          <w:t>Z 04.00 – Konsernin sisäiset taloudelliset sidokset (LIAB 4)</w:t>
        </w:r>
        <w:r>
          <w:rPr>
            <w:noProof/>
            <w:webHidden/>
          </w:rPr>
          <w:tab/>
        </w:r>
        <w:r>
          <w:rPr>
            <w:noProof/>
            <w:webHidden/>
          </w:rPr>
          <w:fldChar w:fldCharType="begin"/>
        </w:r>
        <w:r>
          <w:rPr>
            <w:noProof/>
            <w:webHidden/>
          </w:rPr>
          <w:instrText xml:space="preserve"> PAGEREF _Toc208245438 \h </w:instrText>
        </w:r>
        <w:r>
          <w:rPr>
            <w:noProof/>
            <w:webHidden/>
          </w:rPr>
        </w:r>
        <w:r>
          <w:rPr>
            <w:noProof/>
            <w:webHidden/>
          </w:rPr>
          <w:fldChar w:fldCharType="separate"/>
        </w:r>
        <w:r>
          <w:rPr>
            <w:noProof/>
            <w:webHidden/>
          </w:rPr>
          <w:t>24</w:t>
        </w:r>
        <w:r>
          <w:rPr>
            <w:noProof/>
            <w:webHidden/>
          </w:rPr>
          <w:fldChar w:fldCharType="end"/>
        </w:r>
      </w:hyperlink>
    </w:p>
    <w:p w14:paraId="43BE2231" w14:textId="6C25DCBC" w:rsidR="00B82AC2" w:rsidRDefault="00B82AC2">
      <w:pPr>
        <w:pStyle w:val="TOC2"/>
        <w:rPr>
          <w:noProof/>
          <w:kern w:val="2"/>
          <w:sz w:val="24"/>
          <w:szCs w:val="24"/>
          <w:lang w:val="en-GB"/>
          <w14:ligatures w14:val="standardContextual"/>
        </w:rPr>
      </w:pPr>
      <w:hyperlink w:anchor="_Toc208245439" w:history="1">
        <w:r w:rsidRPr="00065625">
          <w:rPr>
            <w:rStyle w:val="Hyperlink"/>
            <w:noProof/>
          </w:rPr>
          <w:t>II.7</w:t>
        </w:r>
        <w:r>
          <w:rPr>
            <w:noProof/>
            <w:kern w:val="2"/>
            <w:sz w:val="24"/>
            <w:szCs w:val="24"/>
            <w:lang w:val="en-GB"/>
            <w14:ligatures w14:val="standardContextual"/>
          </w:rPr>
          <w:tab/>
        </w:r>
        <w:r w:rsidRPr="00065625">
          <w:rPr>
            <w:rStyle w:val="Hyperlink"/>
            <w:noProof/>
          </w:rPr>
          <w:t>Tärkeimmät vastapuolet (LIAB 5 ja 6)</w:t>
        </w:r>
        <w:r>
          <w:rPr>
            <w:noProof/>
            <w:webHidden/>
          </w:rPr>
          <w:tab/>
        </w:r>
        <w:r>
          <w:rPr>
            <w:noProof/>
            <w:webHidden/>
          </w:rPr>
          <w:fldChar w:fldCharType="begin"/>
        </w:r>
        <w:r>
          <w:rPr>
            <w:noProof/>
            <w:webHidden/>
          </w:rPr>
          <w:instrText xml:space="preserve"> PAGEREF _Toc208245439 \h </w:instrText>
        </w:r>
        <w:r>
          <w:rPr>
            <w:noProof/>
            <w:webHidden/>
          </w:rPr>
        </w:r>
        <w:r>
          <w:rPr>
            <w:noProof/>
            <w:webHidden/>
          </w:rPr>
          <w:fldChar w:fldCharType="separate"/>
        </w:r>
        <w:r>
          <w:rPr>
            <w:noProof/>
            <w:webHidden/>
          </w:rPr>
          <w:t>26</w:t>
        </w:r>
        <w:r>
          <w:rPr>
            <w:noProof/>
            <w:webHidden/>
          </w:rPr>
          <w:fldChar w:fldCharType="end"/>
        </w:r>
      </w:hyperlink>
    </w:p>
    <w:p w14:paraId="7032929B" w14:textId="14DCEE2E" w:rsidR="00B82AC2" w:rsidRDefault="00B82AC2">
      <w:pPr>
        <w:pStyle w:val="TOC2"/>
        <w:rPr>
          <w:noProof/>
          <w:kern w:val="2"/>
          <w:sz w:val="24"/>
          <w:szCs w:val="24"/>
          <w:lang w:val="en-GB"/>
          <w14:ligatures w14:val="standardContextual"/>
        </w:rPr>
      </w:pPr>
      <w:hyperlink w:anchor="_Toc208245440" w:history="1">
        <w:r w:rsidRPr="00065625">
          <w:rPr>
            <w:rStyle w:val="Hyperlink"/>
            <w:noProof/>
          </w:rPr>
          <w:t>II.8</w:t>
        </w:r>
        <w:r>
          <w:rPr>
            <w:noProof/>
            <w:kern w:val="2"/>
            <w:sz w:val="24"/>
            <w:szCs w:val="24"/>
            <w:lang w:val="en-GB"/>
            <w14:ligatures w14:val="standardContextual"/>
          </w:rPr>
          <w:tab/>
        </w:r>
        <w:r w:rsidRPr="00065625">
          <w:rPr>
            <w:rStyle w:val="Hyperlink"/>
            <w:noProof/>
          </w:rPr>
          <w:t>Z 05.01 – Suurimmat vastapuolet (velat) (MCP 1)</w:t>
        </w:r>
        <w:r>
          <w:rPr>
            <w:noProof/>
            <w:webHidden/>
          </w:rPr>
          <w:tab/>
        </w:r>
        <w:r>
          <w:rPr>
            <w:noProof/>
            <w:webHidden/>
          </w:rPr>
          <w:fldChar w:fldCharType="begin"/>
        </w:r>
        <w:r>
          <w:rPr>
            <w:noProof/>
            <w:webHidden/>
          </w:rPr>
          <w:instrText xml:space="preserve"> PAGEREF _Toc208245440 \h </w:instrText>
        </w:r>
        <w:r>
          <w:rPr>
            <w:noProof/>
            <w:webHidden/>
          </w:rPr>
        </w:r>
        <w:r>
          <w:rPr>
            <w:noProof/>
            <w:webHidden/>
          </w:rPr>
          <w:fldChar w:fldCharType="separate"/>
        </w:r>
        <w:r>
          <w:rPr>
            <w:noProof/>
            <w:webHidden/>
          </w:rPr>
          <w:t>27</w:t>
        </w:r>
        <w:r>
          <w:rPr>
            <w:noProof/>
            <w:webHidden/>
          </w:rPr>
          <w:fldChar w:fldCharType="end"/>
        </w:r>
      </w:hyperlink>
    </w:p>
    <w:p w14:paraId="5F2F43AF" w14:textId="6BD7979D" w:rsidR="00B82AC2" w:rsidRDefault="00B82AC2">
      <w:pPr>
        <w:pStyle w:val="TOC2"/>
        <w:rPr>
          <w:noProof/>
          <w:kern w:val="2"/>
          <w:sz w:val="24"/>
          <w:szCs w:val="24"/>
          <w:lang w:val="en-GB"/>
          <w14:ligatures w14:val="standardContextual"/>
        </w:rPr>
      </w:pPr>
      <w:hyperlink w:anchor="_Toc208245441" w:history="1">
        <w:r w:rsidRPr="00065625">
          <w:rPr>
            <w:rStyle w:val="Hyperlink"/>
            <w:noProof/>
          </w:rPr>
          <w:t>II.9</w:t>
        </w:r>
        <w:r>
          <w:rPr>
            <w:noProof/>
            <w:kern w:val="2"/>
            <w:sz w:val="24"/>
            <w:szCs w:val="24"/>
            <w:lang w:val="en-GB"/>
            <w14:ligatures w14:val="standardContextual"/>
          </w:rPr>
          <w:tab/>
        </w:r>
        <w:r w:rsidRPr="00065625">
          <w:rPr>
            <w:rStyle w:val="Hyperlink"/>
            <w:noProof/>
          </w:rPr>
          <w:t>Z 05.02 – Suurimmat vastapuolet (taseen ulkopuoliset erät) (LIAB 6)</w:t>
        </w:r>
        <w:r>
          <w:rPr>
            <w:noProof/>
            <w:webHidden/>
          </w:rPr>
          <w:tab/>
        </w:r>
        <w:r>
          <w:rPr>
            <w:noProof/>
            <w:webHidden/>
          </w:rPr>
          <w:fldChar w:fldCharType="begin"/>
        </w:r>
        <w:r>
          <w:rPr>
            <w:noProof/>
            <w:webHidden/>
          </w:rPr>
          <w:instrText xml:space="preserve"> PAGEREF _Toc208245441 \h </w:instrText>
        </w:r>
        <w:r>
          <w:rPr>
            <w:noProof/>
            <w:webHidden/>
          </w:rPr>
        </w:r>
        <w:r>
          <w:rPr>
            <w:noProof/>
            <w:webHidden/>
          </w:rPr>
          <w:fldChar w:fldCharType="separate"/>
        </w:r>
        <w:r>
          <w:rPr>
            <w:noProof/>
            <w:webHidden/>
          </w:rPr>
          <w:t>28</w:t>
        </w:r>
        <w:r>
          <w:rPr>
            <w:noProof/>
            <w:webHidden/>
          </w:rPr>
          <w:fldChar w:fldCharType="end"/>
        </w:r>
      </w:hyperlink>
    </w:p>
    <w:p w14:paraId="334488AF" w14:textId="5E5D0700" w:rsidR="00B82AC2" w:rsidRDefault="00B82AC2">
      <w:pPr>
        <w:pStyle w:val="TOC2"/>
        <w:rPr>
          <w:noProof/>
          <w:kern w:val="2"/>
          <w:sz w:val="24"/>
          <w:szCs w:val="24"/>
          <w:lang w:val="en-GB"/>
          <w14:ligatures w14:val="standardContextual"/>
        </w:rPr>
      </w:pPr>
      <w:hyperlink w:anchor="_Toc208245442" w:history="1">
        <w:r w:rsidRPr="00065625">
          <w:rPr>
            <w:rStyle w:val="Hyperlink"/>
            <w:noProof/>
          </w:rPr>
          <w:t>II.10</w:t>
        </w:r>
        <w:r>
          <w:rPr>
            <w:noProof/>
            <w:kern w:val="2"/>
            <w:sz w:val="24"/>
            <w:szCs w:val="24"/>
            <w:lang w:val="en-GB"/>
            <w14:ligatures w14:val="standardContextual"/>
          </w:rPr>
          <w:tab/>
        </w:r>
        <w:r w:rsidRPr="00065625">
          <w:rPr>
            <w:rStyle w:val="Hyperlink"/>
            <w:noProof/>
          </w:rPr>
          <w:t>Z 06.00 – Talletussuoja (LIAB 7)</w:t>
        </w:r>
        <w:r>
          <w:rPr>
            <w:noProof/>
            <w:webHidden/>
          </w:rPr>
          <w:tab/>
        </w:r>
        <w:r>
          <w:rPr>
            <w:noProof/>
            <w:webHidden/>
          </w:rPr>
          <w:fldChar w:fldCharType="begin"/>
        </w:r>
        <w:r>
          <w:rPr>
            <w:noProof/>
            <w:webHidden/>
          </w:rPr>
          <w:instrText xml:space="preserve"> PAGEREF _Toc208245442 \h </w:instrText>
        </w:r>
        <w:r>
          <w:rPr>
            <w:noProof/>
            <w:webHidden/>
          </w:rPr>
        </w:r>
        <w:r>
          <w:rPr>
            <w:noProof/>
            <w:webHidden/>
          </w:rPr>
          <w:fldChar w:fldCharType="separate"/>
        </w:r>
        <w:r>
          <w:rPr>
            <w:noProof/>
            <w:webHidden/>
          </w:rPr>
          <w:t>30</w:t>
        </w:r>
        <w:r>
          <w:rPr>
            <w:noProof/>
            <w:webHidden/>
          </w:rPr>
          <w:fldChar w:fldCharType="end"/>
        </w:r>
      </w:hyperlink>
    </w:p>
    <w:p w14:paraId="673C81EE" w14:textId="54DEC24E" w:rsidR="00B82AC2" w:rsidRDefault="00B82AC2">
      <w:pPr>
        <w:pStyle w:val="TOC2"/>
        <w:rPr>
          <w:noProof/>
          <w:kern w:val="2"/>
          <w:sz w:val="24"/>
          <w:szCs w:val="24"/>
          <w:lang w:val="en-GB"/>
          <w14:ligatures w14:val="standardContextual"/>
        </w:rPr>
      </w:pPr>
      <w:hyperlink w:anchor="_Toc208245443" w:history="1">
        <w:r w:rsidRPr="00065625">
          <w:rPr>
            <w:rStyle w:val="Hyperlink"/>
            <w:noProof/>
          </w:rPr>
          <w:t>II.11</w:t>
        </w:r>
        <w:r>
          <w:rPr>
            <w:noProof/>
            <w:kern w:val="2"/>
            <w:sz w:val="24"/>
            <w:szCs w:val="24"/>
            <w:lang w:val="en-GB"/>
            <w14:ligatures w14:val="standardContextual"/>
          </w:rPr>
          <w:tab/>
        </w:r>
        <w:r w:rsidRPr="00065625">
          <w:rPr>
            <w:rStyle w:val="Hyperlink"/>
            <w:noProof/>
          </w:rPr>
          <w:t>Kriittiset toiminnot ja ydinliiketoiminta-alueet</w:t>
        </w:r>
        <w:r>
          <w:rPr>
            <w:noProof/>
            <w:webHidden/>
          </w:rPr>
          <w:tab/>
        </w:r>
        <w:r>
          <w:rPr>
            <w:noProof/>
            <w:webHidden/>
          </w:rPr>
          <w:fldChar w:fldCharType="begin"/>
        </w:r>
        <w:r>
          <w:rPr>
            <w:noProof/>
            <w:webHidden/>
          </w:rPr>
          <w:instrText xml:space="preserve"> PAGEREF _Toc208245443 \h </w:instrText>
        </w:r>
        <w:r>
          <w:rPr>
            <w:noProof/>
            <w:webHidden/>
          </w:rPr>
        </w:r>
        <w:r>
          <w:rPr>
            <w:noProof/>
            <w:webHidden/>
          </w:rPr>
          <w:fldChar w:fldCharType="separate"/>
        </w:r>
        <w:r>
          <w:rPr>
            <w:noProof/>
            <w:webHidden/>
          </w:rPr>
          <w:t>33</w:t>
        </w:r>
        <w:r>
          <w:rPr>
            <w:noProof/>
            <w:webHidden/>
          </w:rPr>
          <w:fldChar w:fldCharType="end"/>
        </w:r>
      </w:hyperlink>
    </w:p>
    <w:p w14:paraId="175177EE" w14:textId="6C2734B3" w:rsidR="00B82AC2" w:rsidRDefault="00B82AC2">
      <w:pPr>
        <w:pStyle w:val="TOC2"/>
        <w:rPr>
          <w:noProof/>
          <w:kern w:val="2"/>
          <w:sz w:val="24"/>
          <w:szCs w:val="24"/>
          <w:lang w:val="en-GB"/>
          <w14:ligatures w14:val="standardContextual"/>
        </w:rPr>
      </w:pPr>
      <w:hyperlink w:anchor="_Toc208245444" w:history="1">
        <w:r w:rsidRPr="00065625">
          <w:rPr>
            <w:rStyle w:val="Hyperlink"/>
            <w:noProof/>
          </w:rPr>
          <w:t>II.12</w:t>
        </w:r>
        <w:r>
          <w:rPr>
            <w:noProof/>
            <w:kern w:val="2"/>
            <w:sz w:val="24"/>
            <w:szCs w:val="24"/>
            <w:lang w:val="en-GB"/>
            <w14:ligatures w14:val="standardContextual"/>
          </w:rPr>
          <w:tab/>
        </w:r>
        <w:r w:rsidRPr="00065625">
          <w:rPr>
            <w:rStyle w:val="Hyperlink"/>
            <w:noProof/>
          </w:rPr>
          <w:t>Z 07.01 – Taloudellisten toimintojen kriittisyysarviointi (FUNC 1)</w:t>
        </w:r>
        <w:r>
          <w:rPr>
            <w:noProof/>
            <w:webHidden/>
          </w:rPr>
          <w:tab/>
        </w:r>
        <w:r>
          <w:rPr>
            <w:noProof/>
            <w:webHidden/>
          </w:rPr>
          <w:fldChar w:fldCharType="begin"/>
        </w:r>
        <w:r>
          <w:rPr>
            <w:noProof/>
            <w:webHidden/>
          </w:rPr>
          <w:instrText xml:space="preserve"> PAGEREF _Toc208245444 \h </w:instrText>
        </w:r>
        <w:r>
          <w:rPr>
            <w:noProof/>
            <w:webHidden/>
          </w:rPr>
        </w:r>
        <w:r>
          <w:rPr>
            <w:noProof/>
            <w:webHidden/>
          </w:rPr>
          <w:fldChar w:fldCharType="separate"/>
        </w:r>
        <w:r>
          <w:rPr>
            <w:noProof/>
            <w:webHidden/>
          </w:rPr>
          <w:t>35</w:t>
        </w:r>
        <w:r>
          <w:rPr>
            <w:noProof/>
            <w:webHidden/>
          </w:rPr>
          <w:fldChar w:fldCharType="end"/>
        </w:r>
      </w:hyperlink>
    </w:p>
    <w:p w14:paraId="2B72B197" w14:textId="092819DD" w:rsidR="00B82AC2" w:rsidRDefault="00B82AC2">
      <w:pPr>
        <w:pStyle w:val="TOC2"/>
        <w:rPr>
          <w:noProof/>
          <w:kern w:val="2"/>
          <w:sz w:val="24"/>
          <w:szCs w:val="24"/>
          <w:lang w:val="en-GB"/>
          <w14:ligatures w14:val="standardContextual"/>
        </w:rPr>
      </w:pPr>
      <w:hyperlink w:anchor="_Toc208245445" w:history="1">
        <w:r w:rsidRPr="00065625">
          <w:rPr>
            <w:rStyle w:val="Hyperlink"/>
            <w:noProof/>
          </w:rPr>
          <w:t>II.13</w:t>
        </w:r>
        <w:r>
          <w:rPr>
            <w:noProof/>
            <w:kern w:val="2"/>
            <w:sz w:val="24"/>
            <w:szCs w:val="24"/>
            <w:lang w:val="en-GB"/>
            <w14:ligatures w14:val="standardContextual"/>
          </w:rPr>
          <w:tab/>
        </w:r>
        <w:r w:rsidRPr="00065625">
          <w:rPr>
            <w:rStyle w:val="Hyperlink"/>
            <w:noProof/>
          </w:rPr>
          <w:t>Z 07.01.1 FUNC 1 DEP</w:t>
        </w:r>
        <w:r>
          <w:rPr>
            <w:noProof/>
            <w:webHidden/>
          </w:rPr>
          <w:tab/>
        </w:r>
        <w:r>
          <w:rPr>
            <w:noProof/>
            <w:webHidden/>
          </w:rPr>
          <w:fldChar w:fldCharType="begin"/>
        </w:r>
        <w:r>
          <w:rPr>
            <w:noProof/>
            <w:webHidden/>
          </w:rPr>
          <w:instrText xml:space="preserve"> PAGEREF _Toc208245445 \h </w:instrText>
        </w:r>
        <w:r>
          <w:rPr>
            <w:noProof/>
            <w:webHidden/>
          </w:rPr>
        </w:r>
        <w:r>
          <w:rPr>
            <w:noProof/>
            <w:webHidden/>
          </w:rPr>
          <w:fldChar w:fldCharType="separate"/>
        </w:r>
        <w:r>
          <w:rPr>
            <w:noProof/>
            <w:webHidden/>
          </w:rPr>
          <w:t>38</w:t>
        </w:r>
        <w:r>
          <w:rPr>
            <w:noProof/>
            <w:webHidden/>
          </w:rPr>
          <w:fldChar w:fldCharType="end"/>
        </w:r>
      </w:hyperlink>
    </w:p>
    <w:p w14:paraId="6A13B64F" w14:textId="3C57DAE6" w:rsidR="00B82AC2" w:rsidRDefault="00B82AC2">
      <w:pPr>
        <w:pStyle w:val="TOC2"/>
        <w:rPr>
          <w:noProof/>
          <w:kern w:val="2"/>
          <w:sz w:val="24"/>
          <w:szCs w:val="24"/>
          <w:lang w:val="en-GB"/>
          <w14:ligatures w14:val="standardContextual"/>
        </w:rPr>
      </w:pPr>
      <w:hyperlink w:anchor="_Toc208245446" w:history="1">
        <w:r w:rsidRPr="00065625">
          <w:rPr>
            <w:rStyle w:val="Hyperlink"/>
            <w:noProof/>
          </w:rPr>
          <w:t>II.14</w:t>
        </w:r>
        <w:r>
          <w:rPr>
            <w:noProof/>
            <w:kern w:val="2"/>
            <w:sz w:val="24"/>
            <w:szCs w:val="24"/>
            <w:lang w:val="en-GB"/>
            <w14:ligatures w14:val="standardContextual"/>
          </w:rPr>
          <w:tab/>
        </w:r>
        <w:r w:rsidRPr="00065625">
          <w:rPr>
            <w:rStyle w:val="Hyperlink"/>
            <w:noProof/>
          </w:rPr>
          <w:t>Z 07.01.2 FUNC 1 LEN</w:t>
        </w:r>
        <w:r>
          <w:rPr>
            <w:noProof/>
            <w:webHidden/>
          </w:rPr>
          <w:tab/>
        </w:r>
        <w:r>
          <w:rPr>
            <w:noProof/>
            <w:webHidden/>
          </w:rPr>
          <w:fldChar w:fldCharType="begin"/>
        </w:r>
        <w:r>
          <w:rPr>
            <w:noProof/>
            <w:webHidden/>
          </w:rPr>
          <w:instrText xml:space="preserve"> PAGEREF _Toc208245446 \h </w:instrText>
        </w:r>
        <w:r>
          <w:rPr>
            <w:noProof/>
            <w:webHidden/>
          </w:rPr>
        </w:r>
        <w:r>
          <w:rPr>
            <w:noProof/>
            <w:webHidden/>
          </w:rPr>
          <w:fldChar w:fldCharType="separate"/>
        </w:r>
        <w:r>
          <w:rPr>
            <w:noProof/>
            <w:webHidden/>
          </w:rPr>
          <w:t>44</w:t>
        </w:r>
        <w:r>
          <w:rPr>
            <w:noProof/>
            <w:webHidden/>
          </w:rPr>
          <w:fldChar w:fldCharType="end"/>
        </w:r>
      </w:hyperlink>
    </w:p>
    <w:p w14:paraId="1145E758" w14:textId="60BAD3D7" w:rsidR="00B82AC2" w:rsidRDefault="00B82AC2">
      <w:pPr>
        <w:pStyle w:val="TOC2"/>
        <w:rPr>
          <w:noProof/>
          <w:kern w:val="2"/>
          <w:sz w:val="24"/>
          <w:szCs w:val="24"/>
          <w:lang w:val="en-GB"/>
          <w14:ligatures w14:val="standardContextual"/>
        </w:rPr>
      </w:pPr>
      <w:hyperlink w:anchor="_Toc208245447" w:history="1">
        <w:r w:rsidRPr="00065625">
          <w:rPr>
            <w:rStyle w:val="Hyperlink"/>
            <w:noProof/>
          </w:rPr>
          <w:t>II.15</w:t>
        </w:r>
        <w:r>
          <w:rPr>
            <w:noProof/>
            <w:kern w:val="2"/>
            <w:sz w:val="24"/>
            <w:szCs w:val="24"/>
            <w:lang w:val="en-GB"/>
            <w14:ligatures w14:val="standardContextual"/>
          </w:rPr>
          <w:tab/>
        </w:r>
        <w:r w:rsidRPr="00065625">
          <w:rPr>
            <w:rStyle w:val="Hyperlink"/>
            <w:noProof/>
          </w:rPr>
          <w:t>Z 07.01.3 FUNC 1 -PALKKA</w:t>
        </w:r>
        <w:r>
          <w:rPr>
            <w:noProof/>
            <w:webHidden/>
          </w:rPr>
          <w:tab/>
        </w:r>
        <w:r>
          <w:rPr>
            <w:noProof/>
            <w:webHidden/>
          </w:rPr>
          <w:fldChar w:fldCharType="begin"/>
        </w:r>
        <w:r>
          <w:rPr>
            <w:noProof/>
            <w:webHidden/>
          </w:rPr>
          <w:instrText xml:space="preserve"> PAGEREF _Toc208245447 \h </w:instrText>
        </w:r>
        <w:r>
          <w:rPr>
            <w:noProof/>
            <w:webHidden/>
          </w:rPr>
        </w:r>
        <w:r>
          <w:rPr>
            <w:noProof/>
            <w:webHidden/>
          </w:rPr>
          <w:fldChar w:fldCharType="separate"/>
        </w:r>
        <w:r>
          <w:rPr>
            <w:noProof/>
            <w:webHidden/>
          </w:rPr>
          <w:t>49</w:t>
        </w:r>
        <w:r>
          <w:rPr>
            <w:noProof/>
            <w:webHidden/>
          </w:rPr>
          <w:fldChar w:fldCharType="end"/>
        </w:r>
      </w:hyperlink>
    </w:p>
    <w:p w14:paraId="41C8CAFF" w14:textId="7C10A51B" w:rsidR="00B82AC2" w:rsidRDefault="00B82AC2">
      <w:pPr>
        <w:pStyle w:val="TOC2"/>
        <w:rPr>
          <w:noProof/>
          <w:kern w:val="2"/>
          <w:sz w:val="24"/>
          <w:szCs w:val="24"/>
          <w:lang w:val="en-GB"/>
          <w14:ligatures w14:val="standardContextual"/>
        </w:rPr>
      </w:pPr>
      <w:hyperlink w:anchor="_Toc208245448" w:history="1">
        <w:r w:rsidRPr="00065625">
          <w:rPr>
            <w:rStyle w:val="Hyperlink"/>
            <w:noProof/>
          </w:rPr>
          <w:t>II.13</w:t>
        </w:r>
        <w:r>
          <w:rPr>
            <w:noProof/>
            <w:kern w:val="2"/>
            <w:sz w:val="24"/>
            <w:szCs w:val="24"/>
            <w:lang w:val="en-GB"/>
            <w14:ligatures w14:val="standardContextual"/>
          </w:rPr>
          <w:tab/>
        </w:r>
        <w:r w:rsidRPr="00065625">
          <w:rPr>
            <w:rStyle w:val="Hyperlink"/>
            <w:noProof/>
          </w:rPr>
          <w:t>Z 07.01.4 FUNC 1 CM</w:t>
        </w:r>
        <w:r>
          <w:rPr>
            <w:noProof/>
            <w:webHidden/>
          </w:rPr>
          <w:tab/>
        </w:r>
        <w:r>
          <w:rPr>
            <w:noProof/>
            <w:webHidden/>
          </w:rPr>
          <w:fldChar w:fldCharType="begin"/>
        </w:r>
        <w:r>
          <w:rPr>
            <w:noProof/>
            <w:webHidden/>
          </w:rPr>
          <w:instrText xml:space="preserve"> PAGEREF _Toc208245448 \h </w:instrText>
        </w:r>
        <w:r>
          <w:rPr>
            <w:noProof/>
            <w:webHidden/>
          </w:rPr>
        </w:r>
        <w:r>
          <w:rPr>
            <w:noProof/>
            <w:webHidden/>
          </w:rPr>
          <w:fldChar w:fldCharType="separate"/>
        </w:r>
        <w:r>
          <w:rPr>
            <w:noProof/>
            <w:webHidden/>
          </w:rPr>
          <w:t>55</w:t>
        </w:r>
        <w:r>
          <w:rPr>
            <w:noProof/>
            <w:webHidden/>
          </w:rPr>
          <w:fldChar w:fldCharType="end"/>
        </w:r>
      </w:hyperlink>
    </w:p>
    <w:p w14:paraId="4F208309" w14:textId="4245D7BD" w:rsidR="00B82AC2" w:rsidRDefault="00B82AC2">
      <w:pPr>
        <w:pStyle w:val="TOC2"/>
        <w:rPr>
          <w:noProof/>
          <w:kern w:val="2"/>
          <w:sz w:val="24"/>
          <w:szCs w:val="24"/>
          <w:lang w:val="en-GB"/>
          <w14:ligatures w14:val="standardContextual"/>
        </w:rPr>
      </w:pPr>
      <w:hyperlink w:anchor="_Toc208245449" w:history="1">
        <w:r w:rsidRPr="00065625">
          <w:rPr>
            <w:rStyle w:val="Hyperlink"/>
            <w:noProof/>
          </w:rPr>
          <w:t>II.13</w:t>
        </w:r>
        <w:r>
          <w:rPr>
            <w:noProof/>
            <w:kern w:val="2"/>
            <w:sz w:val="24"/>
            <w:szCs w:val="24"/>
            <w:lang w:val="en-GB"/>
            <w14:ligatures w14:val="standardContextual"/>
          </w:rPr>
          <w:tab/>
        </w:r>
        <w:r w:rsidRPr="00065625">
          <w:rPr>
            <w:rStyle w:val="Hyperlink"/>
            <w:noProof/>
          </w:rPr>
          <w:t>Z 07.01.5 FUNC 1 WF</w:t>
        </w:r>
        <w:r>
          <w:rPr>
            <w:noProof/>
            <w:webHidden/>
          </w:rPr>
          <w:tab/>
        </w:r>
        <w:r>
          <w:rPr>
            <w:noProof/>
            <w:webHidden/>
          </w:rPr>
          <w:fldChar w:fldCharType="begin"/>
        </w:r>
        <w:r>
          <w:rPr>
            <w:noProof/>
            <w:webHidden/>
          </w:rPr>
          <w:instrText xml:space="preserve"> PAGEREF _Toc208245449 \h </w:instrText>
        </w:r>
        <w:r>
          <w:rPr>
            <w:noProof/>
            <w:webHidden/>
          </w:rPr>
        </w:r>
        <w:r>
          <w:rPr>
            <w:noProof/>
            <w:webHidden/>
          </w:rPr>
          <w:fldChar w:fldCharType="separate"/>
        </w:r>
        <w:r>
          <w:rPr>
            <w:noProof/>
            <w:webHidden/>
          </w:rPr>
          <w:t>60</w:t>
        </w:r>
        <w:r>
          <w:rPr>
            <w:noProof/>
            <w:webHidden/>
          </w:rPr>
          <w:fldChar w:fldCharType="end"/>
        </w:r>
      </w:hyperlink>
    </w:p>
    <w:p w14:paraId="2D4FC76A" w14:textId="17086CDB" w:rsidR="00B82AC2" w:rsidRDefault="00B82AC2">
      <w:pPr>
        <w:pStyle w:val="TOC2"/>
        <w:rPr>
          <w:noProof/>
          <w:kern w:val="2"/>
          <w:sz w:val="24"/>
          <w:szCs w:val="24"/>
          <w:lang w:val="en-GB"/>
          <w14:ligatures w14:val="standardContextual"/>
        </w:rPr>
      </w:pPr>
      <w:hyperlink w:anchor="_Toc208245450" w:history="1">
        <w:r w:rsidRPr="00065625">
          <w:rPr>
            <w:rStyle w:val="Hyperlink"/>
            <w:noProof/>
          </w:rPr>
          <w:t>II.16</w:t>
        </w:r>
        <w:r>
          <w:rPr>
            <w:noProof/>
            <w:kern w:val="2"/>
            <w:sz w:val="24"/>
            <w:szCs w:val="24"/>
            <w:lang w:val="en-GB"/>
            <w14:ligatures w14:val="standardContextual"/>
          </w:rPr>
          <w:tab/>
        </w:r>
        <w:r w:rsidRPr="00065625">
          <w:rPr>
            <w:rStyle w:val="Hyperlink"/>
            <w:noProof/>
          </w:rPr>
          <w:t>Z 07.02 – Taloudellisten toimintojen kartoitus oikeushenkilöiden mukaan (FUNC 2)</w:t>
        </w:r>
        <w:r>
          <w:rPr>
            <w:noProof/>
            <w:webHidden/>
          </w:rPr>
          <w:tab/>
        </w:r>
        <w:r>
          <w:rPr>
            <w:noProof/>
            <w:webHidden/>
          </w:rPr>
          <w:fldChar w:fldCharType="begin"/>
        </w:r>
        <w:r>
          <w:rPr>
            <w:noProof/>
            <w:webHidden/>
          </w:rPr>
          <w:instrText xml:space="preserve"> PAGEREF _Toc208245450 \h </w:instrText>
        </w:r>
        <w:r>
          <w:rPr>
            <w:noProof/>
            <w:webHidden/>
          </w:rPr>
        </w:r>
        <w:r>
          <w:rPr>
            <w:noProof/>
            <w:webHidden/>
          </w:rPr>
          <w:fldChar w:fldCharType="separate"/>
        </w:r>
        <w:r>
          <w:rPr>
            <w:noProof/>
            <w:webHidden/>
          </w:rPr>
          <w:t>65</w:t>
        </w:r>
        <w:r>
          <w:rPr>
            <w:noProof/>
            <w:webHidden/>
          </w:rPr>
          <w:fldChar w:fldCharType="end"/>
        </w:r>
      </w:hyperlink>
    </w:p>
    <w:p w14:paraId="68A1EA7F" w14:textId="1FE48E77" w:rsidR="00B82AC2" w:rsidRDefault="00B82AC2">
      <w:pPr>
        <w:pStyle w:val="TOC2"/>
        <w:rPr>
          <w:noProof/>
          <w:kern w:val="2"/>
          <w:sz w:val="24"/>
          <w:szCs w:val="24"/>
          <w:lang w:val="en-GB"/>
          <w14:ligatures w14:val="standardContextual"/>
        </w:rPr>
      </w:pPr>
      <w:hyperlink w:anchor="_Toc208245451" w:history="1">
        <w:r w:rsidRPr="00065625">
          <w:rPr>
            <w:rStyle w:val="Hyperlink"/>
            <w:noProof/>
          </w:rPr>
          <w:t>II.17</w:t>
        </w:r>
        <w:r>
          <w:rPr>
            <w:noProof/>
            <w:kern w:val="2"/>
            <w:sz w:val="24"/>
            <w:szCs w:val="24"/>
            <w:lang w:val="en-GB"/>
            <w14:ligatures w14:val="standardContextual"/>
          </w:rPr>
          <w:tab/>
        </w:r>
        <w:r w:rsidRPr="00065625">
          <w:rPr>
            <w:rStyle w:val="Hyperlink"/>
            <w:noProof/>
          </w:rPr>
          <w:t>Z 07.03 – Ydinliiketoiminta-alueiden kartoitus oikeushenkilöiden mukaan (FUNC 3)</w:t>
        </w:r>
        <w:r>
          <w:rPr>
            <w:noProof/>
            <w:webHidden/>
          </w:rPr>
          <w:tab/>
        </w:r>
        <w:r>
          <w:rPr>
            <w:noProof/>
            <w:webHidden/>
          </w:rPr>
          <w:fldChar w:fldCharType="begin"/>
        </w:r>
        <w:r>
          <w:rPr>
            <w:noProof/>
            <w:webHidden/>
          </w:rPr>
          <w:instrText xml:space="preserve"> PAGEREF _Toc208245451 \h </w:instrText>
        </w:r>
        <w:r>
          <w:rPr>
            <w:noProof/>
            <w:webHidden/>
          </w:rPr>
        </w:r>
        <w:r>
          <w:rPr>
            <w:noProof/>
            <w:webHidden/>
          </w:rPr>
          <w:fldChar w:fldCharType="separate"/>
        </w:r>
        <w:r>
          <w:rPr>
            <w:noProof/>
            <w:webHidden/>
          </w:rPr>
          <w:t>66</w:t>
        </w:r>
        <w:r>
          <w:rPr>
            <w:noProof/>
            <w:webHidden/>
          </w:rPr>
          <w:fldChar w:fldCharType="end"/>
        </w:r>
      </w:hyperlink>
    </w:p>
    <w:p w14:paraId="26AE04CC" w14:textId="3B78C0B9" w:rsidR="00B82AC2" w:rsidRDefault="00B82AC2">
      <w:pPr>
        <w:pStyle w:val="TOC2"/>
        <w:rPr>
          <w:noProof/>
          <w:kern w:val="2"/>
          <w:sz w:val="24"/>
          <w:szCs w:val="24"/>
          <w:lang w:val="en-GB"/>
          <w14:ligatures w14:val="standardContextual"/>
        </w:rPr>
      </w:pPr>
      <w:hyperlink w:anchor="_Toc208245452" w:history="1">
        <w:r w:rsidRPr="00065625">
          <w:rPr>
            <w:rStyle w:val="Hyperlink"/>
            <w:noProof/>
          </w:rPr>
          <w:t>II.18</w:t>
        </w:r>
        <w:r>
          <w:rPr>
            <w:noProof/>
            <w:kern w:val="2"/>
            <w:sz w:val="24"/>
            <w:szCs w:val="24"/>
            <w:lang w:val="en-GB"/>
            <w14:ligatures w14:val="standardContextual"/>
          </w:rPr>
          <w:tab/>
        </w:r>
        <w:r w:rsidRPr="00065625">
          <w:rPr>
            <w:rStyle w:val="Hyperlink"/>
            <w:noProof/>
          </w:rPr>
          <w:t>Z 07.04 – Taloudellisten toimintojen kartoitus ydinliiketoiminta-alueiden mukaan (FUNC 4)</w:t>
        </w:r>
        <w:r>
          <w:rPr>
            <w:noProof/>
            <w:webHidden/>
          </w:rPr>
          <w:tab/>
        </w:r>
        <w:r>
          <w:rPr>
            <w:noProof/>
            <w:webHidden/>
          </w:rPr>
          <w:fldChar w:fldCharType="begin"/>
        </w:r>
        <w:r>
          <w:rPr>
            <w:noProof/>
            <w:webHidden/>
          </w:rPr>
          <w:instrText xml:space="preserve"> PAGEREF _Toc208245452 \h </w:instrText>
        </w:r>
        <w:r>
          <w:rPr>
            <w:noProof/>
            <w:webHidden/>
          </w:rPr>
        </w:r>
        <w:r>
          <w:rPr>
            <w:noProof/>
            <w:webHidden/>
          </w:rPr>
          <w:fldChar w:fldCharType="separate"/>
        </w:r>
        <w:r>
          <w:rPr>
            <w:noProof/>
            <w:webHidden/>
          </w:rPr>
          <w:t>67</w:t>
        </w:r>
        <w:r>
          <w:rPr>
            <w:noProof/>
            <w:webHidden/>
          </w:rPr>
          <w:fldChar w:fldCharType="end"/>
        </w:r>
      </w:hyperlink>
    </w:p>
    <w:p w14:paraId="7CFAC6D8" w14:textId="1394C2E9" w:rsidR="00B82AC2" w:rsidRDefault="00B82AC2">
      <w:pPr>
        <w:pStyle w:val="TOC2"/>
        <w:rPr>
          <w:noProof/>
          <w:kern w:val="2"/>
          <w:sz w:val="24"/>
          <w:szCs w:val="24"/>
          <w:lang w:val="en-GB"/>
          <w14:ligatures w14:val="standardContextual"/>
        </w:rPr>
      </w:pPr>
      <w:hyperlink w:anchor="_Toc208245453" w:history="1">
        <w:r w:rsidRPr="00065625">
          <w:rPr>
            <w:rStyle w:val="Hyperlink"/>
            <w:noProof/>
          </w:rPr>
          <w:t>II.19</w:t>
        </w:r>
        <w:r>
          <w:rPr>
            <w:noProof/>
            <w:kern w:val="2"/>
            <w:sz w:val="24"/>
            <w:szCs w:val="24"/>
            <w:lang w:val="en-GB"/>
            <w14:ligatures w14:val="standardContextual"/>
          </w:rPr>
          <w:tab/>
        </w:r>
        <w:r w:rsidRPr="00065625">
          <w:rPr>
            <w:rStyle w:val="Hyperlink"/>
            <w:noProof/>
          </w:rPr>
          <w:t>Asiaankuuluvat palvelut</w:t>
        </w:r>
        <w:r>
          <w:rPr>
            <w:noProof/>
            <w:webHidden/>
          </w:rPr>
          <w:tab/>
        </w:r>
        <w:r>
          <w:rPr>
            <w:noProof/>
            <w:webHidden/>
          </w:rPr>
          <w:fldChar w:fldCharType="begin"/>
        </w:r>
        <w:r>
          <w:rPr>
            <w:noProof/>
            <w:webHidden/>
          </w:rPr>
          <w:instrText xml:space="preserve"> PAGEREF _Toc208245453 \h </w:instrText>
        </w:r>
        <w:r>
          <w:rPr>
            <w:noProof/>
            <w:webHidden/>
          </w:rPr>
        </w:r>
        <w:r>
          <w:rPr>
            <w:noProof/>
            <w:webHidden/>
          </w:rPr>
          <w:fldChar w:fldCharType="separate"/>
        </w:r>
        <w:r>
          <w:rPr>
            <w:noProof/>
            <w:webHidden/>
          </w:rPr>
          <w:t>68</w:t>
        </w:r>
        <w:r>
          <w:rPr>
            <w:noProof/>
            <w:webHidden/>
          </w:rPr>
          <w:fldChar w:fldCharType="end"/>
        </w:r>
      </w:hyperlink>
    </w:p>
    <w:p w14:paraId="3BAB4A46" w14:textId="7CB5DBFE" w:rsidR="00B82AC2" w:rsidRDefault="00B82AC2">
      <w:pPr>
        <w:pStyle w:val="TOC2"/>
        <w:rPr>
          <w:noProof/>
          <w:kern w:val="2"/>
          <w:sz w:val="24"/>
          <w:szCs w:val="24"/>
          <w:lang w:val="en-GB"/>
          <w14:ligatures w14:val="standardContextual"/>
        </w:rPr>
      </w:pPr>
      <w:hyperlink w:anchor="_Toc208245454" w:history="1">
        <w:r w:rsidRPr="00065625">
          <w:rPr>
            <w:rStyle w:val="Hyperlink"/>
            <w:rFonts w:eastAsia="Calibri"/>
            <w:noProof/>
          </w:rPr>
          <w:t>II.20</w:t>
        </w:r>
        <w:r>
          <w:rPr>
            <w:noProof/>
            <w:kern w:val="2"/>
            <w:sz w:val="24"/>
            <w:szCs w:val="24"/>
            <w:lang w:val="en-GB"/>
            <w14:ligatures w14:val="standardContextual"/>
          </w:rPr>
          <w:tab/>
        </w:r>
        <w:r w:rsidRPr="00065625">
          <w:rPr>
            <w:rStyle w:val="Hyperlink"/>
            <w:noProof/>
          </w:rPr>
          <w:t>Z 08.01 – Oikein olennaiset palvelut (SERV 1)</w:t>
        </w:r>
        <w:r>
          <w:rPr>
            <w:noProof/>
            <w:webHidden/>
          </w:rPr>
          <w:tab/>
        </w:r>
        <w:r>
          <w:rPr>
            <w:noProof/>
            <w:webHidden/>
          </w:rPr>
          <w:fldChar w:fldCharType="begin"/>
        </w:r>
        <w:r>
          <w:rPr>
            <w:noProof/>
            <w:webHidden/>
          </w:rPr>
          <w:instrText xml:space="preserve"> PAGEREF _Toc208245454 \h </w:instrText>
        </w:r>
        <w:r>
          <w:rPr>
            <w:noProof/>
            <w:webHidden/>
          </w:rPr>
        </w:r>
        <w:r>
          <w:rPr>
            <w:noProof/>
            <w:webHidden/>
          </w:rPr>
          <w:fldChar w:fldCharType="separate"/>
        </w:r>
        <w:r>
          <w:rPr>
            <w:noProof/>
            <w:webHidden/>
          </w:rPr>
          <w:t>68</w:t>
        </w:r>
        <w:r>
          <w:rPr>
            <w:noProof/>
            <w:webHidden/>
          </w:rPr>
          <w:fldChar w:fldCharType="end"/>
        </w:r>
      </w:hyperlink>
    </w:p>
    <w:p w14:paraId="354D385F" w14:textId="229547BA" w:rsidR="00B82AC2" w:rsidRDefault="00B82AC2">
      <w:pPr>
        <w:pStyle w:val="TOC2"/>
        <w:rPr>
          <w:noProof/>
          <w:kern w:val="2"/>
          <w:sz w:val="24"/>
          <w:szCs w:val="24"/>
          <w:lang w:val="en-GB"/>
          <w14:ligatures w14:val="standardContextual"/>
        </w:rPr>
      </w:pPr>
      <w:hyperlink w:anchor="_Toc208245455" w:history="1">
        <w:r w:rsidRPr="00065625">
          <w:rPr>
            <w:rStyle w:val="Hyperlink"/>
            <w:noProof/>
          </w:rPr>
          <w:t>II.21</w:t>
        </w:r>
        <w:r>
          <w:rPr>
            <w:noProof/>
            <w:kern w:val="2"/>
            <w:sz w:val="24"/>
            <w:szCs w:val="24"/>
            <w:lang w:val="en-GB"/>
            <w14:ligatures w14:val="standardContextual"/>
          </w:rPr>
          <w:tab/>
        </w:r>
        <w:r w:rsidRPr="00065625">
          <w:rPr>
            <w:rStyle w:val="Hyperlink"/>
            <w:noProof/>
          </w:rPr>
          <w:t>Z 08.02 – Asiaan liittyvät palvelut – kuvaus operatiivisista omaisuuseristä (SERV 2)</w:t>
        </w:r>
        <w:r>
          <w:rPr>
            <w:noProof/>
            <w:webHidden/>
          </w:rPr>
          <w:tab/>
        </w:r>
        <w:r>
          <w:rPr>
            <w:noProof/>
            <w:webHidden/>
          </w:rPr>
          <w:fldChar w:fldCharType="begin"/>
        </w:r>
        <w:r>
          <w:rPr>
            <w:noProof/>
            <w:webHidden/>
          </w:rPr>
          <w:instrText xml:space="preserve"> PAGEREF _Toc208245455 \h </w:instrText>
        </w:r>
        <w:r>
          <w:rPr>
            <w:noProof/>
            <w:webHidden/>
          </w:rPr>
        </w:r>
        <w:r>
          <w:rPr>
            <w:noProof/>
            <w:webHidden/>
          </w:rPr>
          <w:fldChar w:fldCharType="separate"/>
        </w:r>
        <w:r>
          <w:rPr>
            <w:noProof/>
            <w:webHidden/>
          </w:rPr>
          <w:t>74</w:t>
        </w:r>
        <w:r>
          <w:rPr>
            <w:noProof/>
            <w:webHidden/>
          </w:rPr>
          <w:fldChar w:fldCharType="end"/>
        </w:r>
      </w:hyperlink>
    </w:p>
    <w:p w14:paraId="6E785F4A" w14:textId="5970A827" w:rsidR="00B82AC2" w:rsidRDefault="00B82AC2">
      <w:pPr>
        <w:pStyle w:val="TOC2"/>
        <w:rPr>
          <w:noProof/>
          <w:kern w:val="2"/>
          <w:sz w:val="24"/>
          <w:szCs w:val="24"/>
          <w:lang w:val="en-GB"/>
          <w14:ligatures w14:val="standardContextual"/>
        </w:rPr>
      </w:pPr>
      <w:hyperlink w:anchor="_Toc208245456" w:history="1">
        <w:r w:rsidRPr="00065625">
          <w:rPr>
            <w:rStyle w:val="Hyperlink"/>
            <w:rFonts w:eastAsia="Calibri"/>
            <w:noProof/>
          </w:rPr>
          <w:t>II.22</w:t>
        </w:r>
        <w:r>
          <w:rPr>
            <w:noProof/>
            <w:kern w:val="2"/>
            <w:sz w:val="24"/>
            <w:szCs w:val="24"/>
            <w:lang w:val="en-GB"/>
            <w14:ligatures w14:val="standardContextual"/>
          </w:rPr>
          <w:tab/>
        </w:r>
        <w:r w:rsidRPr="00065625">
          <w:rPr>
            <w:rStyle w:val="Hyperlink"/>
            <w:noProof/>
          </w:rPr>
          <w:t>Z 08.03 – Asiaan liittyvät palvelut – roolien kartoitus (SERV 3)</w:t>
        </w:r>
        <w:r>
          <w:rPr>
            <w:noProof/>
            <w:webHidden/>
          </w:rPr>
          <w:tab/>
        </w:r>
        <w:r>
          <w:rPr>
            <w:noProof/>
            <w:webHidden/>
          </w:rPr>
          <w:fldChar w:fldCharType="begin"/>
        </w:r>
        <w:r>
          <w:rPr>
            <w:noProof/>
            <w:webHidden/>
          </w:rPr>
          <w:instrText xml:space="preserve"> PAGEREF _Toc208245456 \h </w:instrText>
        </w:r>
        <w:r>
          <w:rPr>
            <w:noProof/>
            <w:webHidden/>
          </w:rPr>
        </w:r>
        <w:r>
          <w:rPr>
            <w:noProof/>
            <w:webHidden/>
          </w:rPr>
          <w:fldChar w:fldCharType="separate"/>
        </w:r>
        <w:r>
          <w:rPr>
            <w:noProof/>
            <w:webHidden/>
          </w:rPr>
          <w:t>77</w:t>
        </w:r>
        <w:r>
          <w:rPr>
            <w:noProof/>
            <w:webHidden/>
          </w:rPr>
          <w:fldChar w:fldCharType="end"/>
        </w:r>
      </w:hyperlink>
    </w:p>
    <w:p w14:paraId="1AEC7E5D" w14:textId="76327FB6" w:rsidR="00B82AC2" w:rsidRDefault="00B82AC2">
      <w:pPr>
        <w:pStyle w:val="TOC2"/>
        <w:rPr>
          <w:noProof/>
          <w:kern w:val="2"/>
          <w:sz w:val="24"/>
          <w:szCs w:val="24"/>
          <w:lang w:val="en-GB"/>
          <w14:ligatures w14:val="standardContextual"/>
        </w:rPr>
      </w:pPr>
      <w:hyperlink w:anchor="_Toc208245457" w:history="1">
        <w:r w:rsidRPr="00065625">
          <w:rPr>
            <w:rStyle w:val="Hyperlink"/>
            <w:rFonts w:eastAsia="Calibri"/>
            <w:noProof/>
          </w:rPr>
          <w:t>II.23</w:t>
        </w:r>
        <w:r>
          <w:rPr>
            <w:noProof/>
            <w:kern w:val="2"/>
            <w:sz w:val="24"/>
            <w:szCs w:val="24"/>
            <w:lang w:val="en-GB"/>
            <w14:ligatures w14:val="standardContextual"/>
          </w:rPr>
          <w:tab/>
        </w:r>
        <w:r w:rsidRPr="00065625">
          <w:rPr>
            <w:rStyle w:val="Hyperlink"/>
            <w:noProof/>
          </w:rPr>
          <w:t>Z 08.04 – Kriittiset palvelut – kartoitus kriittisiin toimintoihin (SERV 4)</w:t>
        </w:r>
        <w:r>
          <w:rPr>
            <w:noProof/>
            <w:webHidden/>
          </w:rPr>
          <w:tab/>
        </w:r>
        <w:r>
          <w:rPr>
            <w:noProof/>
            <w:webHidden/>
          </w:rPr>
          <w:fldChar w:fldCharType="begin"/>
        </w:r>
        <w:r>
          <w:rPr>
            <w:noProof/>
            <w:webHidden/>
          </w:rPr>
          <w:instrText xml:space="preserve"> PAGEREF _Toc208245457 \h </w:instrText>
        </w:r>
        <w:r>
          <w:rPr>
            <w:noProof/>
            <w:webHidden/>
          </w:rPr>
        </w:r>
        <w:r>
          <w:rPr>
            <w:noProof/>
            <w:webHidden/>
          </w:rPr>
          <w:fldChar w:fldCharType="separate"/>
        </w:r>
        <w:r>
          <w:rPr>
            <w:noProof/>
            <w:webHidden/>
          </w:rPr>
          <w:t>78</w:t>
        </w:r>
        <w:r>
          <w:rPr>
            <w:noProof/>
            <w:webHidden/>
          </w:rPr>
          <w:fldChar w:fldCharType="end"/>
        </w:r>
      </w:hyperlink>
    </w:p>
    <w:p w14:paraId="7DB87F96" w14:textId="4A47D7F2" w:rsidR="00B82AC2" w:rsidRDefault="00B82AC2">
      <w:pPr>
        <w:pStyle w:val="TOC2"/>
        <w:rPr>
          <w:noProof/>
          <w:kern w:val="2"/>
          <w:sz w:val="24"/>
          <w:szCs w:val="24"/>
          <w:lang w:val="en-GB"/>
          <w14:ligatures w14:val="standardContextual"/>
        </w:rPr>
      </w:pPr>
      <w:hyperlink w:anchor="_Toc208245458" w:history="1">
        <w:r w:rsidRPr="00065625">
          <w:rPr>
            <w:rStyle w:val="Hyperlink"/>
            <w:noProof/>
          </w:rPr>
          <w:t>Yleiset ohjeet</w:t>
        </w:r>
        <w:r>
          <w:rPr>
            <w:noProof/>
            <w:webHidden/>
          </w:rPr>
          <w:tab/>
        </w:r>
        <w:r>
          <w:rPr>
            <w:noProof/>
            <w:webHidden/>
          </w:rPr>
          <w:fldChar w:fldCharType="begin"/>
        </w:r>
        <w:r>
          <w:rPr>
            <w:noProof/>
            <w:webHidden/>
          </w:rPr>
          <w:instrText xml:space="preserve"> PAGEREF _Toc208245458 \h </w:instrText>
        </w:r>
        <w:r>
          <w:rPr>
            <w:noProof/>
            <w:webHidden/>
          </w:rPr>
        </w:r>
        <w:r>
          <w:rPr>
            <w:noProof/>
            <w:webHidden/>
          </w:rPr>
          <w:fldChar w:fldCharType="separate"/>
        </w:r>
        <w:r>
          <w:rPr>
            <w:noProof/>
            <w:webHidden/>
          </w:rPr>
          <w:t>78</w:t>
        </w:r>
        <w:r>
          <w:rPr>
            <w:noProof/>
            <w:webHidden/>
          </w:rPr>
          <w:fldChar w:fldCharType="end"/>
        </w:r>
      </w:hyperlink>
    </w:p>
    <w:p w14:paraId="2A039A79" w14:textId="0C552B92" w:rsidR="00B82AC2" w:rsidRDefault="00B82AC2">
      <w:pPr>
        <w:pStyle w:val="TOC2"/>
        <w:rPr>
          <w:noProof/>
          <w:kern w:val="2"/>
          <w:sz w:val="24"/>
          <w:szCs w:val="24"/>
          <w:lang w:val="en-GB"/>
          <w14:ligatures w14:val="standardContextual"/>
        </w:rPr>
      </w:pPr>
      <w:hyperlink w:anchor="_Toc208245459" w:history="1">
        <w:r w:rsidRPr="00065625">
          <w:rPr>
            <w:rStyle w:val="Hyperlink"/>
            <w:rFonts w:eastAsia="Calibri"/>
            <w:noProof/>
          </w:rPr>
          <w:t>II.24</w:t>
        </w:r>
        <w:r>
          <w:rPr>
            <w:noProof/>
            <w:kern w:val="2"/>
            <w:sz w:val="24"/>
            <w:szCs w:val="24"/>
            <w:lang w:val="en-GB"/>
            <w14:ligatures w14:val="standardContextual"/>
          </w:rPr>
          <w:tab/>
        </w:r>
        <w:r w:rsidRPr="00065625">
          <w:rPr>
            <w:rStyle w:val="Hyperlink"/>
            <w:noProof/>
          </w:rPr>
          <w:t>Z 08.05 – Olennaiset palvelut – ydinliiketoiminta-alueiden kartoitus (SERV 5)</w:t>
        </w:r>
        <w:r>
          <w:rPr>
            <w:noProof/>
            <w:webHidden/>
          </w:rPr>
          <w:tab/>
        </w:r>
        <w:r>
          <w:rPr>
            <w:noProof/>
            <w:webHidden/>
          </w:rPr>
          <w:fldChar w:fldCharType="begin"/>
        </w:r>
        <w:r>
          <w:rPr>
            <w:noProof/>
            <w:webHidden/>
          </w:rPr>
          <w:instrText xml:space="preserve"> PAGEREF _Toc208245459 \h </w:instrText>
        </w:r>
        <w:r>
          <w:rPr>
            <w:noProof/>
            <w:webHidden/>
          </w:rPr>
        </w:r>
        <w:r>
          <w:rPr>
            <w:noProof/>
            <w:webHidden/>
          </w:rPr>
          <w:fldChar w:fldCharType="separate"/>
        </w:r>
        <w:r>
          <w:rPr>
            <w:noProof/>
            <w:webHidden/>
          </w:rPr>
          <w:t>79</w:t>
        </w:r>
        <w:r>
          <w:rPr>
            <w:noProof/>
            <w:webHidden/>
          </w:rPr>
          <w:fldChar w:fldCharType="end"/>
        </w:r>
      </w:hyperlink>
    </w:p>
    <w:p w14:paraId="6749ECE5" w14:textId="4028DF63" w:rsidR="00B82AC2" w:rsidRDefault="00B82AC2">
      <w:pPr>
        <w:pStyle w:val="TOC2"/>
        <w:rPr>
          <w:noProof/>
          <w:kern w:val="2"/>
          <w:sz w:val="24"/>
          <w:szCs w:val="24"/>
          <w:lang w:val="en-GB"/>
          <w14:ligatures w14:val="standardContextual"/>
        </w:rPr>
      </w:pPr>
      <w:hyperlink w:anchor="_Toc208245460" w:history="1">
        <w:r w:rsidRPr="00065625">
          <w:rPr>
            <w:rStyle w:val="Hyperlink"/>
            <w:noProof/>
          </w:rPr>
          <w:t>II.25</w:t>
        </w:r>
        <w:r>
          <w:rPr>
            <w:noProof/>
            <w:kern w:val="2"/>
            <w:sz w:val="24"/>
            <w:szCs w:val="24"/>
            <w:lang w:val="en-GB"/>
            <w14:ligatures w14:val="standardContextual"/>
          </w:rPr>
          <w:tab/>
        </w:r>
        <w:r w:rsidRPr="00065625">
          <w:rPr>
            <w:rStyle w:val="Hyperlink"/>
            <w:noProof/>
          </w:rPr>
          <w:t>FMI-palvelut</w:t>
        </w:r>
        <w:r>
          <w:rPr>
            <w:noProof/>
            <w:webHidden/>
          </w:rPr>
          <w:tab/>
        </w:r>
        <w:r>
          <w:rPr>
            <w:noProof/>
            <w:webHidden/>
          </w:rPr>
          <w:fldChar w:fldCharType="begin"/>
        </w:r>
        <w:r>
          <w:rPr>
            <w:noProof/>
            <w:webHidden/>
          </w:rPr>
          <w:instrText xml:space="preserve"> PAGEREF _Toc208245460 \h </w:instrText>
        </w:r>
        <w:r>
          <w:rPr>
            <w:noProof/>
            <w:webHidden/>
          </w:rPr>
        </w:r>
        <w:r>
          <w:rPr>
            <w:noProof/>
            <w:webHidden/>
          </w:rPr>
          <w:fldChar w:fldCharType="separate"/>
        </w:r>
        <w:r>
          <w:rPr>
            <w:noProof/>
            <w:webHidden/>
          </w:rPr>
          <w:t>80</w:t>
        </w:r>
        <w:r>
          <w:rPr>
            <w:noProof/>
            <w:webHidden/>
          </w:rPr>
          <w:fldChar w:fldCharType="end"/>
        </w:r>
      </w:hyperlink>
    </w:p>
    <w:p w14:paraId="1A11FE56" w14:textId="001EE14B" w:rsidR="00B82AC2" w:rsidRDefault="00B82AC2">
      <w:pPr>
        <w:pStyle w:val="TOC2"/>
        <w:rPr>
          <w:noProof/>
          <w:kern w:val="2"/>
          <w:sz w:val="24"/>
          <w:szCs w:val="24"/>
          <w:lang w:val="en-GB"/>
          <w14:ligatures w14:val="standardContextual"/>
        </w:rPr>
      </w:pPr>
      <w:hyperlink w:anchor="_Toc208245461" w:history="1">
        <w:r w:rsidRPr="00065625">
          <w:rPr>
            <w:rStyle w:val="Hyperlink"/>
            <w:noProof/>
          </w:rPr>
          <w:t>II.26</w:t>
        </w:r>
        <w:r>
          <w:rPr>
            <w:noProof/>
            <w:kern w:val="2"/>
            <w:sz w:val="24"/>
            <w:szCs w:val="24"/>
            <w:lang w:val="en-GB"/>
            <w14:ligatures w14:val="standardContextual"/>
          </w:rPr>
          <w:tab/>
        </w:r>
        <w:r w:rsidRPr="00065625">
          <w:rPr>
            <w:rStyle w:val="Hyperlink"/>
            <w:noProof/>
          </w:rPr>
          <w:t>Z 09.01 – FMI-palvelut – Palveluntarjoajat ja käyttäjät (FMI 1)</w:t>
        </w:r>
        <w:r>
          <w:rPr>
            <w:noProof/>
            <w:webHidden/>
          </w:rPr>
          <w:tab/>
        </w:r>
        <w:r>
          <w:rPr>
            <w:noProof/>
            <w:webHidden/>
          </w:rPr>
          <w:fldChar w:fldCharType="begin"/>
        </w:r>
        <w:r>
          <w:rPr>
            <w:noProof/>
            <w:webHidden/>
          </w:rPr>
          <w:instrText xml:space="preserve"> PAGEREF _Toc208245461 \h </w:instrText>
        </w:r>
        <w:r>
          <w:rPr>
            <w:noProof/>
            <w:webHidden/>
          </w:rPr>
        </w:r>
        <w:r>
          <w:rPr>
            <w:noProof/>
            <w:webHidden/>
          </w:rPr>
          <w:fldChar w:fldCharType="separate"/>
        </w:r>
        <w:r>
          <w:rPr>
            <w:noProof/>
            <w:webHidden/>
          </w:rPr>
          <w:t>80</w:t>
        </w:r>
        <w:r>
          <w:rPr>
            <w:noProof/>
            <w:webHidden/>
          </w:rPr>
          <w:fldChar w:fldCharType="end"/>
        </w:r>
      </w:hyperlink>
    </w:p>
    <w:p w14:paraId="3F56E75C" w14:textId="4415A109" w:rsidR="00B82AC2" w:rsidRDefault="00B82AC2">
      <w:pPr>
        <w:pStyle w:val="TOC2"/>
        <w:rPr>
          <w:noProof/>
          <w:kern w:val="2"/>
          <w:sz w:val="24"/>
          <w:szCs w:val="24"/>
          <w:lang w:val="en-GB"/>
          <w14:ligatures w14:val="standardContextual"/>
        </w:rPr>
      </w:pPr>
      <w:hyperlink w:anchor="_Toc208245462" w:history="1">
        <w:r w:rsidRPr="00065625">
          <w:rPr>
            <w:rStyle w:val="Hyperlink"/>
            <w:rFonts w:eastAsia="Calibri"/>
            <w:noProof/>
          </w:rPr>
          <w:t>II.27</w:t>
        </w:r>
        <w:r>
          <w:rPr>
            <w:noProof/>
            <w:kern w:val="2"/>
            <w:sz w:val="24"/>
            <w:szCs w:val="24"/>
            <w:lang w:val="en-GB"/>
            <w14:ligatures w14:val="standardContextual"/>
          </w:rPr>
          <w:tab/>
        </w:r>
        <w:r w:rsidRPr="00065625">
          <w:rPr>
            <w:rStyle w:val="Hyperlink"/>
            <w:noProof/>
          </w:rPr>
          <w:t>Z 09.02 – Mittaus kriittisiin ja keskeisiin rahoitusmarkkinoiden infrastruktuureihin (FMI 2)</w:t>
        </w:r>
        <w:r>
          <w:rPr>
            <w:noProof/>
            <w:webHidden/>
          </w:rPr>
          <w:tab/>
        </w:r>
        <w:r>
          <w:rPr>
            <w:noProof/>
            <w:webHidden/>
          </w:rPr>
          <w:fldChar w:fldCharType="begin"/>
        </w:r>
        <w:r>
          <w:rPr>
            <w:noProof/>
            <w:webHidden/>
          </w:rPr>
          <w:instrText xml:space="preserve"> PAGEREF _Toc208245462 \h </w:instrText>
        </w:r>
        <w:r>
          <w:rPr>
            <w:noProof/>
            <w:webHidden/>
          </w:rPr>
        </w:r>
        <w:r>
          <w:rPr>
            <w:noProof/>
            <w:webHidden/>
          </w:rPr>
          <w:fldChar w:fldCharType="separate"/>
        </w:r>
        <w:r>
          <w:rPr>
            <w:noProof/>
            <w:webHidden/>
          </w:rPr>
          <w:t>84</w:t>
        </w:r>
        <w:r>
          <w:rPr>
            <w:noProof/>
            <w:webHidden/>
          </w:rPr>
          <w:fldChar w:fldCharType="end"/>
        </w:r>
      </w:hyperlink>
    </w:p>
    <w:p w14:paraId="03F67E28" w14:textId="16A3F3D9" w:rsidR="00B82AC2" w:rsidRDefault="00B82AC2">
      <w:pPr>
        <w:pStyle w:val="TOC2"/>
        <w:rPr>
          <w:noProof/>
          <w:kern w:val="2"/>
          <w:sz w:val="24"/>
          <w:szCs w:val="24"/>
          <w:lang w:val="en-GB"/>
          <w14:ligatures w14:val="standardContextual"/>
        </w:rPr>
      </w:pPr>
      <w:hyperlink w:anchor="_Toc208245463" w:history="1">
        <w:r w:rsidRPr="00065625">
          <w:rPr>
            <w:rStyle w:val="Hyperlink"/>
            <w:noProof/>
          </w:rPr>
          <w:t>II.28</w:t>
        </w:r>
        <w:r>
          <w:rPr>
            <w:noProof/>
            <w:kern w:val="2"/>
            <w:sz w:val="24"/>
            <w:szCs w:val="24"/>
            <w:lang w:val="en-GB"/>
            <w14:ligatures w14:val="standardContextual"/>
          </w:rPr>
          <w:tab/>
        </w:r>
        <w:r w:rsidRPr="00065625">
          <w:rPr>
            <w:rStyle w:val="Hyperlink"/>
            <w:noProof/>
          </w:rPr>
          <w:t>Z 09.03 – FMI-palvelut – Keskeiset mittarit (FMI 3)</w:t>
        </w:r>
        <w:r>
          <w:rPr>
            <w:noProof/>
            <w:webHidden/>
          </w:rPr>
          <w:tab/>
        </w:r>
        <w:r>
          <w:rPr>
            <w:noProof/>
            <w:webHidden/>
          </w:rPr>
          <w:fldChar w:fldCharType="begin"/>
        </w:r>
        <w:r>
          <w:rPr>
            <w:noProof/>
            <w:webHidden/>
          </w:rPr>
          <w:instrText xml:space="preserve"> PAGEREF _Toc208245463 \h </w:instrText>
        </w:r>
        <w:r>
          <w:rPr>
            <w:noProof/>
            <w:webHidden/>
          </w:rPr>
        </w:r>
        <w:r>
          <w:rPr>
            <w:noProof/>
            <w:webHidden/>
          </w:rPr>
          <w:fldChar w:fldCharType="separate"/>
        </w:r>
        <w:r>
          <w:rPr>
            <w:noProof/>
            <w:webHidden/>
          </w:rPr>
          <w:t>86</w:t>
        </w:r>
        <w:r>
          <w:rPr>
            <w:noProof/>
            <w:webHidden/>
          </w:rPr>
          <w:fldChar w:fldCharType="end"/>
        </w:r>
      </w:hyperlink>
    </w:p>
    <w:p w14:paraId="22526DD2" w14:textId="4EE58C25" w:rsidR="00B82AC2" w:rsidRDefault="00B82AC2">
      <w:pPr>
        <w:pStyle w:val="TOC2"/>
        <w:rPr>
          <w:noProof/>
          <w:kern w:val="2"/>
          <w:sz w:val="24"/>
          <w:szCs w:val="24"/>
          <w:lang w:val="en-GB"/>
          <w14:ligatures w14:val="standardContextual"/>
        </w:rPr>
      </w:pPr>
      <w:hyperlink w:anchor="_Toc208245464" w:history="1">
        <w:r w:rsidRPr="00065625">
          <w:rPr>
            <w:rStyle w:val="Hyperlink"/>
            <w:noProof/>
          </w:rPr>
          <w:t>II.29</w:t>
        </w:r>
        <w:r>
          <w:rPr>
            <w:noProof/>
            <w:kern w:val="2"/>
            <w:sz w:val="24"/>
            <w:szCs w:val="24"/>
            <w:lang w:val="en-GB"/>
            <w14:ligatures w14:val="standardContextual"/>
          </w:rPr>
          <w:tab/>
        </w:r>
        <w:r w:rsidRPr="00065625">
          <w:rPr>
            <w:rStyle w:val="Hyperlink"/>
            <w:noProof/>
          </w:rPr>
          <w:t>Z 09.04 – FMI-palvelut – keskusvastapuolet – vaihtoehtoiset palveluntarjoajat (FMI 4)</w:t>
        </w:r>
        <w:r>
          <w:rPr>
            <w:noProof/>
            <w:webHidden/>
          </w:rPr>
          <w:tab/>
        </w:r>
        <w:r>
          <w:rPr>
            <w:noProof/>
            <w:webHidden/>
          </w:rPr>
          <w:fldChar w:fldCharType="begin"/>
        </w:r>
        <w:r>
          <w:rPr>
            <w:noProof/>
            <w:webHidden/>
          </w:rPr>
          <w:instrText xml:space="preserve"> PAGEREF _Toc208245464 \h </w:instrText>
        </w:r>
        <w:r>
          <w:rPr>
            <w:noProof/>
            <w:webHidden/>
          </w:rPr>
        </w:r>
        <w:r>
          <w:rPr>
            <w:noProof/>
            <w:webHidden/>
          </w:rPr>
          <w:fldChar w:fldCharType="separate"/>
        </w:r>
        <w:r>
          <w:rPr>
            <w:noProof/>
            <w:webHidden/>
          </w:rPr>
          <w:t>88</w:t>
        </w:r>
        <w:r>
          <w:rPr>
            <w:noProof/>
            <w:webHidden/>
          </w:rPr>
          <w:fldChar w:fldCharType="end"/>
        </w:r>
      </w:hyperlink>
    </w:p>
    <w:p w14:paraId="4F4BC7FC" w14:textId="0DFE8EEE" w:rsidR="00B82AC2" w:rsidRDefault="00B82AC2">
      <w:pPr>
        <w:pStyle w:val="TOC2"/>
        <w:rPr>
          <w:noProof/>
          <w:kern w:val="2"/>
          <w:sz w:val="24"/>
          <w:szCs w:val="24"/>
          <w:lang w:val="en-GB"/>
          <w14:ligatures w14:val="standardContextual"/>
        </w:rPr>
      </w:pPr>
      <w:hyperlink w:anchor="_Toc208245465" w:history="1">
        <w:r w:rsidRPr="00065625">
          <w:rPr>
            <w:rStyle w:val="Hyperlink"/>
            <w:noProof/>
          </w:rPr>
          <w:t>II.30</w:t>
        </w:r>
        <w:r>
          <w:rPr>
            <w:noProof/>
            <w:kern w:val="2"/>
            <w:sz w:val="24"/>
            <w:szCs w:val="24"/>
            <w:lang w:val="en-GB"/>
            <w14:ligatures w14:val="standardContextual"/>
          </w:rPr>
          <w:tab/>
        </w:r>
        <w:r w:rsidRPr="00065625">
          <w:rPr>
            <w:rStyle w:val="Hyperlink"/>
            <w:noProof/>
          </w:rPr>
          <w:t>Vastuuanalyysi</w:t>
        </w:r>
        <w:r>
          <w:rPr>
            <w:noProof/>
            <w:webHidden/>
          </w:rPr>
          <w:tab/>
        </w:r>
        <w:r>
          <w:rPr>
            <w:noProof/>
            <w:webHidden/>
          </w:rPr>
          <w:fldChar w:fldCharType="begin"/>
        </w:r>
        <w:r>
          <w:rPr>
            <w:noProof/>
            <w:webHidden/>
          </w:rPr>
          <w:instrText xml:space="preserve"> PAGEREF _Toc208245465 \h </w:instrText>
        </w:r>
        <w:r>
          <w:rPr>
            <w:noProof/>
            <w:webHidden/>
          </w:rPr>
        </w:r>
        <w:r>
          <w:rPr>
            <w:noProof/>
            <w:webHidden/>
          </w:rPr>
          <w:fldChar w:fldCharType="separate"/>
        </w:r>
        <w:r>
          <w:rPr>
            <w:noProof/>
            <w:webHidden/>
          </w:rPr>
          <w:t>88</w:t>
        </w:r>
        <w:r>
          <w:rPr>
            <w:noProof/>
            <w:webHidden/>
          </w:rPr>
          <w:fldChar w:fldCharType="end"/>
        </w:r>
      </w:hyperlink>
    </w:p>
    <w:p w14:paraId="2943FF51" w14:textId="085243B5" w:rsidR="00B82AC2" w:rsidRDefault="00B82AC2">
      <w:pPr>
        <w:pStyle w:val="TOC2"/>
        <w:rPr>
          <w:noProof/>
          <w:kern w:val="2"/>
          <w:sz w:val="24"/>
          <w:szCs w:val="24"/>
          <w:lang w:val="en-GB"/>
          <w14:ligatures w14:val="standardContextual"/>
        </w:rPr>
      </w:pPr>
      <w:hyperlink w:anchor="_Toc208245466" w:history="1">
        <w:r w:rsidRPr="00065625">
          <w:rPr>
            <w:rStyle w:val="Hyperlink"/>
            <w:rFonts w:ascii="Times New Roman" w:hAnsi="Times New Roman" w:cs="Times New Roman"/>
            <w:noProof/>
          </w:rPr>
          <w:t>II.31</w:t>
        </w:r>
        <w:r>
          <w:rPr>
            <w:noProof/>
            <w:kern w:val="2"/>
            <w:sz w:val="24"/>
            <w:szCs w:val="24"/>
            <w:lang w:val="en-GB"/>
            <w14:ligatures w14:val="standardContextual"/>
          </w:rPr>
          <w:tab/>
        </w:r>
        <w:r w:rsidRPr="00065625">
          <w:rPr>
            <w:rStyle w:val="Hyperlink"/>
            <w:rFonts w:ascii="Times New Roman" w:hAnsi="Times New Roman" w:cs="Times New Roman"/>
            <w:noProof/>
          </w:rPr>
          <w:t>Z 11.00 Ryhmän sisäiset velat</w:t>
        </w:r>
        <w:r w:rsidRPr="00065625">
          <w:rPr>
            <w:rStyle w:val="Hyperlink"/>
            <w:rFonts w:ascii="Times New Roman" w:eastAsia="Calibri" w:hAnsi="Times New Roman" w:cs="Times New Roman"/>
            <w:noProof/>
          </w:rPr>
          <w:t xml:space="preserve"> (LIAB-G-1)</w:t>
        </w:r>
        <w:r>
          <w:rPr>
            <w:noProof/>
            <w:webHidden/>
          </w:rPr>
          <w:tab/>
        </w:r>
        <w:r>
          <w:rPr>
            <w:noProof/>
            <w:webHidden/>
          </w:rPr>
          <w:fldChar w:fldCharType="begin"/>
        </w:r>
        <w:r>
          <w:rPr>
            <w:noProof/>
            <w:webHidden/>
          </w:rPr>
          <w:instrText xml:space="preserve"> PAGEREF _Toc208245466 \h </w:instrText>
        </w:r>
        <w:r>
          <w:rPr>
            <w:noProof/>
            <w:webHidden/>
          </w:rPr>
        </w:r>
        <w:r>
          <w:rPr>
            <w:noProof/>
            <w:webHidden/>
          </w:rPr>
          <w:fldChar w:fldCharType="separate"/>
        </w:r>
        <w:r>
          <w:rPr>
            <w:noProof/>
            <w:webHidden/>
          </w:rPr>
          <w:t>88</w:t>
        </w:r>
        <w:r>
          <w:rPr>
            <w:noProof/>
            <w:webHidden/>
          </w:rPr>
          <w:fldChar w:fldCharType="end"/>
        </w:r>
      </w:hyperlink>
    </w:p>
    <w:p w14:paraId="30A68810" w14:textId="224BF25A" w:rsidR="00B82AC2" w:rsidRDefault="00B82AC2">
      <w:pPr>
        <w:pStyle w:val="TOC2"/>
        <w:rPr>
          <w:noProof/>
          <w:kern w:val="2"/>
          <w:sz w:val="24"/>
          <w:szCs w:val="24"/>
          <w:lang w:val="en-GB"/>
          <w14:ligatures w14:val="standardContextual"/>
        </w:rPr>
      </w:pPr>
      <w:hyperlink w:anchor="_Toc208245467" w:history="1">
        <w:r w:rsidRPr="00065625">
          <w:rPr>
            <w:rStyle w:val="Hyperlink"/>
            <w:rFonts w:ascii="Times New Roman" w:hAnsi="Times New Roman" w:cs="Times New Roman"/>
            <w:noProof/>
          </w:rPr>
          <w:t>II.32</w:t>
        </w:r>
        <w:r>
          <w:rPr>
            <w:noProof/>
            <w:kern w:val="2"/>
            <w:sz w:val="24"/>
            <w:szCs w:val="24"/>
            <w:lang w:val="en-GB"/>
            <w14:ligatures w14:val="standardContextual"/>
          </w:rPr>
          <w:tab/>
        </w:r>
        <w:r w:rsidRPr="00065625">
          <w:rPr>
            <w:rStyle w:val="Hyperlink"/>
            <w:rFonts w:ascii="Times New Roman" w:hAnsi="Times New Roman" w:cs="Times New Roman"/>
            <w:noProof/>
          </w:rPr>
          <w:t xml:space="preserve">Z 12.00 – </w:t>
        </w:r>
        <w:r w:rsidRPr="00065625">
          <w:rPr>
            <w:rStyle w:val="Hyperlink"/>
            <w:rFonts w:ascii="Times New Roman" w:eastAsia="Cambria" w:hAnsi="Times New Roman" w:cs="Times New Roman"/>
            <w:noProof/>
          </w:rPr>
          <w:t xml:space="preserve">arvopaperit (mukaan lukien ydinpääoman (CET1), ensisijaisen lisäpääoman (AT1) ja toissijaisen pääoman (T2) instrumentit; ei sisällä konsernia) </w:t>
        </w:r>
        <w:r w:rsidRPr="00065625">
          <w:rPr>
            <w:rStyle w:val="Hyperlink"/>
            <w:rFonts w:ascii="Times New Roman" w:eastAsia="Calibri" w:hAnsi="Times New Roman" w:cs="Times New Roman"/>
            <w:noProof/>
          </w:rPr>
          <w:t>(LIAB-G-2)</w:t>
        </w:r>
        <w:r>
          <w:rPr>
            <w:noProof/>
            <w:webHidden/>
          </w:rPr>
          <w:tab/>
        </w:r>
        <w:r>
          <w:rPr>
            <w:noProof/>
            <w:webHidden/>
          </w:rPr>
          <w:fldChar w:fldCharType="begin"/>
        </w:r>
        <w:r>
          <w:rPr>
            <w:noProof/>
            <w:webHidden/>
          </w:rPr>
          <w:instrText xml:space="preserve"> PAGEREF _Toc208245467 \h </w:instrText>
        </w:r>
        <w:r>
          <w:rPr>
            <w:noProof/>
            <w:webHidden/>
          </w:rPr>
        </w:r>
        <w:r>
          <w:rPr>
            <w:noProof/>
            <w:webHidden/>
          </w:rPr>
          <w:fldChar w:fldCharType="separate"/>
        </w:r>
        <w:r>
          <w:rPr>
            <w:noProof/>
            <w:webHidden/>
          </w:rPr>
          <w:t>91</w:t>
        </w:r>
        <w:r>
          <w:rPr>
            <w:noProof/>
            <w:webHidden/>
          </w:rPr>
          <w:fldChar w:fldCharType="end"/>
        </w:r>
      </w:hyperlink>
    </w:p>
    <w:p w14:paraId="7FBEAC25" w14:textId="64079B65" w:rsidR="00B82AC2" w:rsidRDefault="00B82AC2">
      <w:pPr>
        <w:pStyle w:val="TOC2"/>
        <w:rPr>
          <w:noProof/>
          <w:kern w:val="2"/>
          <w:sz w:val="24"/>
          <w:szCs w:val="24"/>
          <w:lang w:val="en-GB"/>
          <w14:ligatures w14:val="standardContextual"/>
        </w:rPr>
      </w:pPr>
      <w:hyperlink w:anchor="_Toc208245468" w:history="1">
        <w:r w:rsidRPr="00065625">
          <w:rPr>
            <w:rStyle w:val="Hyperlink"/>
            <w:rFonts w:ascii="Times New Roman" w:hAnsi="Times New Roman" w:cs="Times New Roman"/>
            <w:noProof/>
          </w:rPr>
          <w:t>II.33</w:t>
        </w:r>
        <w:r>
          <w:rPr>
            <w:noProof/>
            <w:kern w:val="2"/>
            <w:sz w:val="24"/>
            <w:szCs w:val="24"/>
            <w:lang w:val="en-GB"/>
            <w14:ligatures w14:val="standardContextual"/>
          </w:rPr>
          <w:tab/>
        </w:r>
        <w:r w:rsidRPr="00065625">
          <w:rPr>
            <w:rStyle w:val="Hyperlink"/>
            <w:rFonts w:ascii="Times New Roman" w:hAnsi="Times New Roman" w:cs="Times New Roman"/>
            <w:noProof/>
          </w:rPr>
          <w:t xml:space="preserve">Z 13.00 – Kaikki talletukset (lukuun ottamatta konsernin sisäisiä) </w:t>
        </w:r>
        <w:r w:rsidRPr="00065625">
          <w:rPr>
            <w:rStyle w:val="Hyperlink"/>
            <w:rFonts w:ascii="Times New Roman" w:eastAsia="Calibri" w:hAnsi="Times New Roman" w:cs="Times New Roman"/>
            <w:noProof/>
          </w:rPr>
          <w:t>(LIAB-G-3)</w:t>
        </w:r>
        <w:r>
          <w:rPr>
            <w:noProof/>
            <w:webHidden/>
          </w:rPr>
          <w:tab/>
        </w:r>
        <w:r>
          <w:rPr>
            <w:noProof/>
            <w:webHidden/>
          </w:rPr>
          <w:fldChar w:fldCharType="begin"/>
        </w:r>
        <w:r>
          <w:rPr>
            <w:noProof/>
            <w:webHidden/>
          </w:rPr>
          <w:instrText xml:space="preserve"> PAGEREF _Toc208245468 \h </w:instrText>
        </w:r>
        <w:r>
          <w:rPr>
            <w:noProof/>
            <w:webHidden/>
          </w:rPr>
        </w:r>
        <w:r>
          <w:rPr>
            <w:noProof/>
            <w:webHidden/>
          </w:rPr>
          <w:fldChar w:fldCharType="separate"/>
        </w:r>
        <w:r>
          <w:rPr>
            <w:noProof/>
            <w:webHidden/>
          </w:rPr>
          <w:t>96</w:t>
        </w:r>
        <w:r>
          <w:rPr>
            <w:noProof/>
            <w:webHidden/>
          </w:rPr>
          <w:fldChar w:fldCharType="end"/>
        </w:r>
      </w:hyperlink>
    </w:p>
    <w:p w14:paraId="50DEFB94" w14:textId="6C8DBEDD" w:rsidR="00B82AC2" w:rsidRDefault="00B82AC2">
      <w:pPr>
        <w:pStyle w:val="TOC2"/>
        <w:rPr>
          <w:noProof/>
          <w:kern w:val="2"/>
          <w:sz w:val="24"/>
          <w:szCs w:val="24"/>
          <w:lang w:val="en-GB"/>
          <w14:ligatures w14:val="standardContextual"/>
        </w:rPr>
      </w:pPr>
      <w:hyperlink w:anchor="_Toc208245469" w:history="1">
        <w:r w:rsidRPr="00065625">
          <w:rPr>
            <w:rStyle w:val="Hyperlink"/>
            <w:rFonts w:ascii="Times New Roman" w:hAnsi="Times New Roman" w:cs="Times New Roman"/>
            <w:noProof/>
          </w:rPr>
          <w:t>II.34</w:t>
        </w:r>
        <w:r>
          <w:rPr>
            <w:noProof/>
            <w:kern w:val="2"/>
            <w:sz w:val="24"/>
            <w:szCs w:val="24"/>
            <w:lang w:val="en-GB"/>
            <w14:ligatures w14:val="standardContextual"/>
          </w:rPr>
          <w:tab/>
        </w:r>
        <w:r w:rsidRPr="00065625">
          <w:rPr>
            <w:rStyle w:val="Hyperlink"/>
            <w:rFonts w:ascii="Times New Roman" w:hAnsi="Times New Roman" w:cs="Times New Roman"/>
            <w:noProof/>
          </w:rPr>
          <w:t xml:space="preserve">Z 14.00 – Muut rahoitusvelat (jotka eivät sisälly muihin välilehtiin, ei kuitenkaan konsernin sisäiset) </w:t>
        </w:r>
        <w:r w:rsidRPr="00065625">
          <w:rPr>
            <w:rStyle w:val="Hyperlink"/>
            <w:rFonts w:ascii="Times New Roman" w:eastAsia="Calibri" w:hAnsi="Times New Roman" w:cs="Times New Roman"/>
            <w:noProof/>
          </w:rPr>
          <w:t>(LIAB-G-4)</w:t>
        </w:r>
        <w:r>
          <w:rPr>
            <w:noProof/>
            <w:webHidden/>
          </w:rPr>
          <w:tab/>
        </w:r>
        <w:r>
          <w:rPr>
            <w:noProof/>
            <w:webHidden/>
          </w:rPr>
          <w:fldChar w:fldCharType="begin"/>
        </w:r>
        <w:r>
          <w:rPr>
            <w:noProof/>
            <w:webHidden/>
          </w:rPr>
          <w:instrText xml:space="preserve"> PAGEREF _Toc208245469 \h </w:instrText>
        </w:r>
        <w:r>
          <w:rPr>
            <w:noProof/>
            <w:webHidden/>
          </w:rPr>
        </w:r>
        <w:r>
          <w:rPr>
            <w:noProof/>
            <w:webHidden/>
          </w:rPr>
          <w:fldChar w:fldCharType="separate"/>
        </w:r>
        <w:r>
          <w:rPr>
            <w:noProof/>
            <w:webHidden/>
          </w:rPr>
          <w:t>98</w:t>
        </w:r>
        <w:r>
          <w:rPr>
            <w:noProof/>
            <w:webHidden/>
          </w:rPr>
          <w:fldChar w:fldCharType="end"/>
        </w:r>
      </w:hyperlink>
    </w:p>
    <w:p w14:paraId="15664B96" w14:textId="72BA05A0" w:rsidR="00B82AC2" w:rsidRDefault="00B82AC2">
      <w:pPr>
        <w:pStyle w:val="TOC2"/>
        <w:rPr>
          <w:noProof/>
          <w:kern w:val="2"/>
          <w:sz w:val="24"/>
          <w:szCs w:val="24"/>
          <w:lang w:val="en-GB"/>
          <w14:ligatures w14:val="standardContextual"/>
        </w:rPr>
      </w:pPr>
      <w:hyperlink w:anchor="_Toc208245470" w:history="1">
        <w:r w:rsidRPr="00065625">
          <w:rPr>
            <w:rStyle w:val="Hyperlink"/>
            <w:rFonts w:ascii="Times New Roman" w:hAnsi="Times New Roman" w:cs="Times New Roman"/>
            <w:noProof/>
          </w:rPr>
          <w:t>II.35</w:t>
        </w:r>
        <w:r>
          <w:rPr>
            <w:noProof/>
            <w:kern w:val="2"/>
            <w:sz w:val="24"/>
            <w:szCs w:val="24"/>
            <w:lang w:val="en-GB"/>
            <w14:ligatures w14:val="standardContextual"/>
          </w:rPr>
          <w:tab/>
        </w:r>
        <w:r w:rsidRPr="00065625">
          <w:rPr>
            <w:rStyle w:val="Hyperlink"/>
            <w:rFonts w:ascii="Times New Roman" w:hAnsi="Times New Roman" w:cs="Times New Roman"/>
            <w:noProof/>
          </w:rPr>
          <w:t xml:space="preserve">Z 15.00 – Johdannaiset </w:t>
        </w:r>
        <w:r w:rsidRPr="00065625">
          <w:rPr>
            <w:rStyle w:val="Hyperlink"/>
            <w:rFonts w:ascii="Times New Roman" w:eastAsia="Calibri" w:hAnsi="Times New Roman" w:cs="Times New Roman"/>
            <w:noProof/>
          </w:rPr>
          <w:t>(LIAB-G-5)</w:t>
        </w:r>
        <w:r>
          <w:rPr>
            <w:noProof/>
            <w:webHidden/>
          </w:rPr>
          <w:tab/>
        </w:r>
        <w:r>
          <w:rPr>
            <w:noProof/>
            <w:webHidden/>
          </w:rPr>
          <w:fldChar w:fldCharType="begin"/>
        </w:r>
        <w:r>
          <w:rPr>
            <w:noProof/>
            <w:webHidden/>
          </w:rPr>
          <w:instrText xml:space="preserve"> PAGEREF _Toc208245470 \h </w:instrText>
        </w:r>
        <w:r>
          <w:rPr>
            <w:noProof/>
            <w:webHidden/>
          </w:rPr>
        </w:r>
        <w:r>
          <w:rPr>
            <w:noProof/>
            <w:webHidden/>
          </w:rPr>
          <w:fldChar w:fldCharType="separate"/>
        </w:r>
        <w:r>
          <w:rPr>
            <w:noProof/>
            <w:webHidden/>
          </w:rPr>
          <w:t>100</w:t>
        </w:r>
        <w:r>
          <w:rPr>
            <w:noProof/>
            <w:webHidden/>
          </w:rPr>
          <w:fldChar w:fldCharType="end"/>
        </w:r>
      </w:hyperlink>
    </w:p>
    <w:p w14:paraId="106E85C6" w14:textId="164CAAC1" w:rsidR="00B82AC2" w:rsidRDefault="00B82AC2">
      <w:pPr>
        <w:pStyle w:val="TOC2"/>
        <w:rPr>
          <w:noProof/>
          <w:kern w:val="2"/>
          <w:sz w:val="24"/>
          <w:szCs w:val="24"/>
          <w:lang w:val="en-GB"/>
          <w14:ligatures w14:val="standardContextual"/>
        </w:rPr>
      </w:pPr>
      <w:hyperlink w:anchor="_Toc208245471" w:history="1">
        <w:r w:rsidRPr="00065625">
          <w:rPr>
            <w:rStyle w:val="Hyperlink"/>
            <w:rFonts w:ascii="Times New Roman" w:hAnsi="Times New Roman" w:cs="Times New Roman"/>
            <w:noProof/>
          </w:rPr>
          <w:t>II.36</w:t>
        </w:r>
        <w:r>
          <w:rPr>
            <w:noProof/>
            <w:kern w:val="2"/>
            <w:sz w:val="24"/>
            <w:szCs w:val="24"/>
            <w:lang w:val="en-GB"/>
            <w14:ligatures w14:val="standardContextual"/>
          </w:rPr>
          <w:tab/>
        </w:r>
        <w:r w:rsidRPr="00065625">
          <w:rPr>
            <w:rStyle w:val="Hyperlink"/>
            <w:rFonts w:ascii="Times New Roman" w:hAnsi="Times New Roman" w:cs="Times New Roman"/>
            <w:noProof/>
          </w:rPr>
          <w:t xml:space="preserve">Z 16.00 – Turvalliset rahoitustoimet, ei kuitenkaan konsernin sisäiset </w:t>
        </w:r>
        <w:r w:rsidRPr="00065625">
          <w:rPr>
            <w:rStyle w:val="Hyperlink"/>
            <w:rFonts w:ascii="Times New Roman" w:eastAsia="Calibri" w:hAnsi="Times New Roman" w:cs="Times New Roman"/>
            <w:noProof/>
          </w:rPr>
          <w:t>(LIAB-G-6)</w:t>
        </w:r>
        <w:r>
          <w:rPr>
            <w:noProof/>
            <w:webHidden/>
          </w:rPr>
          <w:tab/>
        </w:r>
        <w:r>
          <w:rPr>
            <w:noProof/>
            <w:webHidden/>
          </w:rPr>
          <w:fldChar w:fldCharType="begin"/>
        </w:r>
        <w:r>
          <w:rPr>
            <w:noProof/>
            <w:webHidden/>
          </w:rPr>
          <w:instrText xml:space="preserve"> PAGEREF _Toc208245471 \h </w:instrText>
        </w:r>
        <w:r>
          <w:rPr>
            <w:noProof/>
            <w:webHidden/>
          </w:rPr>
        </w:r>
        <w:r>
          <w:rPr>
            <w:noProof/>
            <w:webHidden/>
          </w:rPr>
          <w:fldChar w:fldCharType="separate"/>
        </w:r>
        <w:r>
          <w:rPr>
            <w:noProof/>
            <w:webHidden/>
          </w:rPr>
          <w:t>103</w:t>
        </w:r>
        <w:r>
          <w:rPr>
            <w:noProof/>
            <w:webHidden/>
          </w:rPr>
          <w:fldChar w:fldCharType="end"/>
        </w:r>
      </w:hyperlink>
    </w:p>
    <w:p w14:paraId="7B0EACF5" w14:textId="1B9AAC7C" w:rsidR="00B82AC2" w:rsidRDefault="00B82AC2">
      <w:pPr>
        <w:pStyle w:val="TOC2"/>
        <w:rPr>
          <w:noProof/>
          <w:kern w:val="2"/>
          <w:sz w:val="24"/>
          <w:szCs w:val="24"/>
          <w:lang w:val="en-GB"/>
          <w14:ligatures w14:val="standardContextual"/>
        </w:rPr>
      </w:pPr>
      <w:hyperlink w:anchor="_Toc208245472" w:history="1">
        <w:r w:rsidRPr="00065625">
          <w:rPr>
            <w:rStyle w:val="Hyperlink"/>
            <w:rFonts w:ascii="Times New Roman" w:hAnsi="Times New Roman" w:cs="Times New Roman"/>
            <w:noProof/>
          </w:rPr>
          <w:t>II.37</w:t>
        </w:r>
        <w:r>
          <w:rPr>
            <w:noProof/>
            <w:kern w:val="2"/>
            <w:sz w:val="24"/>
            <w:szCs w:val="24"/>
            <w:lang w:val="en-GB"/>
            <w14:ligatures w14:val="standardContextual"/>
          </w:rPr>
          <w:tab/>
        </w:r>
        <w:r w:rsidRPr="00065625">
          <w:rPr>
            <w:rStyle w:val="Hyperlink"/>
            <w:rFonts w:ascii="Times New Roman" w:hAnsi="Times New Roman" w:cs="Times New Roman"/>
            <w:noProof/>
          </w:rPr>
          <w:t xml:space="preserve">Z 17.00 – Muut rahoitusvelat (jotka eivät sisälly muihin välilehtiin, ei kuitenkaan konsernin sisäiset) </w:t>
        </w:r>
        <w:r w:rsidRPr="00065625">
          <w:rPr>
            <w:rStyle w:val="Hyperlink"/>
            <w:rFonts w:ascii="Times New Roman" w:eastAsia="Calibri" w:hAnsi="Times New Roman" w:cs="Times New Roman"/>
            <w:noProof/>
          </w:rPr>
          <w:t>(LIAB-G-7)</w:t>
        </w:r>
        <w:r>
          <w:rPr>
            <w:noProof/>
            <w:webHidden/>
          </w:rPr>
          <w:tab/>
        </w:r>
        <w:r>
          <w:rPr>
            <w:noProof/>
            <w:webHidden/>
          </w:rPr>
          <w:fldChar w:fldCharType="begin"/>
        </w:r>
        <w:r>
          <w:rPr>
            <w:noProof/>
            <w:webHidden/>
          </w:rPr>
          <w:instrText xml:space="preserve"> PAGEREF _Toc208245472 \h </w:instrText>
        </w:r>
        <w:r>
          <w:rPr>
            <w:noProof/>
            <w:webHidden/>
          </w:rPr>
        </w:r>
        <w:r>
          <w:rPr>
            <w:noProof/>
            <w:webHidden/>
          </w:rPr>
          <w:fldChar w:fldCharType="separate"/>
        </w:r>
        <w:r>
          <w:rPr>
            <w:noProof/>
            <w:webHidden/>
          </w:rPr>
          <w:t>104</w:t>
        </w:r>
        <w:r>
          <w:rPr>
            <w:noProof/>
            <w:webHidden/>
          </w:rPr>
          <w:fldChar w:fldCharType="end"/>
        </w:r>
      </w:hyperlink>
    </w:p>
    <w:p w14:paraId="7D0E1D66" w14:textId="4AE60280" w:rsidR="00B82AC2" w:rsidRDefault="00B82AC2">
      <w:pPr>
        <w:pStyle w:val="TOC2"/>
        <w:rPr>
          <w:noProof/>
          <w:kern w:val="2"/>
          <w:sz w:val="24"/>
          <w:szCs w:val="24"/>
          <w:lang w:val="en-GB"/>
          <w14:ligatures w14:val="standardContextual"/>
        </w:rPr>
      </w:pPr>
      <w:hyperlink w:anchor="_Toc208245473" w:history="1">
        <w:r w:rsidRPr="00065625">
          <w:rPr>
            <w:rStyle w:val="Hyperlink"/>
            <w:noProof/>
          </w:rPr>
          <w:t>II.38</w:t>
        </w:r>
        <w:r>
          <w:rPr>
            <w:noProof/>
            <w:kern w:val="2"/>
            <w:sz w:val="24"/>
            <w:szCs w:val="24"/>
            <w:lang w:val="en-GB"/>
            <w14:ligatures w14:val="standardContextual"/>
          </w:rPr>
          <w:tab/>
        </w:r>
        <w:r w:rsidRPr="00065625">
          <w:rPr>
            <w:rStyle w:val="Hyperlink"/>
            <w:noProof/>
          </w:rPr>
          <w:t>Liite I – Luettelo lomakkeessa Z 09.01 – c0050 käytettävistä FMI-infrastruktuureista</w:t>
        </w:r>
        <w:r>
          <w:rPr>
            <w:noProof/>
            <w:webHidden/>
          </w:rPr>
          <w:tab/>
        </w:r>
        <w:r>
          <w:rPr>
            <w:noProof/>
            <w:webHidden/>
          </w:rPr>
          <w:fldChar w:fldCharType="begin"/>
        </w:r>
        <w:r>
          <w:rPr>
            <w:noProof/>
            <w:webHidden/>
          </w:rPr>
          <w:instrText xml:space="preserve"> PAGEREF _Toc208245473 \h </w:instrText>
        </w:r>
        <w:r>
          <w:rPr>
            <w:noProof/>
            <w:webHidden/>
          </w:rPr>
        </w:r>
        <w:r>
          <w:rPr>
            <w:noProof/>
            <w:webHidden/>
          </w:rPr>
          <w:fldChar w:fldCharType="separate"/>
        </w:r>
        <w:r>
          <w:rPr>
            <w:noProof/>
            <w:webHidden/>
          </w:rPr>
          <w:t>107</w:t>
        </w:r>
        <w:r>
          <w:rPr>
            <w:noProof/>
            <w:webHidden/>
          </w:rPr>
          <w:fldChar w:fldCharType="end"/>
        </w:r>
      </w:hyperlink>
    </w:p>
    <w:p w14:paraId="7FE1B2E2" w14:textId="218ACF90" w:rsidR="00B81226" w:rsidRDefault="00B82AC2">
      <w:pPr>
        <w:rPr>
          <w:rFonts w:ascii="Times New Roman" w:hAnsi="Times New Roman" w:cs="Times New Roman"/>
          <w:b/>
          <w:color w:val="000000" w:themeColor="text1"/>
          <w:sz w:val="20"/>
          <w:szCs w:val="20"/>
        </w:rPr>
      </w:pPr>
      <w:r>
        <w:rPr>
          <w:rFonts w:ascii="Times New Roman" w:hAnsi="Times New Roman" w:cs="Times New Roman"/>
          <w:bCs/>
          <w:color w:val="000000" w:themeColor="text1"/>
          <w:sz w:val="20"/>
          <w:szCs w:val="20"/>
        </w:rPr>
        <w:fldChar w:fldCharType="end"/>
      </w:r>
    </w:p>
    <w:p w14:paraId="7FE1B2E3" w14:textId="77777777" w:rsidR="00B81226" w:rsidRDefault="00B81226">
      <w:pPr>
        <w:rPr>
          <w:rFonts w:ascii="Times New Roman" w:hAnsi="Times New Roman" w:cs="Times New Roman"/>
          <w:b/>
          <w:color w:val="000000" w:themeColor="text1"/>
          <w:sz w:val="20"/>
          <w:szCs w:val="20"/>
        </w:rPr>
      </w:pPr>
    </w:p>
    <w:p w14:paraId="7FE1B2E4" w14:textId="77777777" w:rsidR="00B81226" w:rsidRDefault="00B81226">
      <w:pPr>
        <w:pStyle w:val="ListParagraph"/>
        <w:rPr>
          <w:rFonts w:ascii="Times New Roman" w:hAnsi="Times New Roman"/>
          <w:b/>
          <w:color w:val="000000" w:themeColor="text1"/>
          <w:sz w:val="20"/>
          <w:szCs w:val="20"/>
        </w:rPr>
      </w:pPr>
    </w:p>
    <w:p w14:paraId="7FE1B2E5" w14:textId="77777777" w:rsidR="00B81226" w:rsidRDefault="00B82AC2">
      <w:pPr>
        <w:pStyle w:val="P68B1DB1-Normal3"/>
        <w:spacing w:after="200" w:line="276" w:lineRule="auto"/>
        <w:rPr>
          <w:rFonts w:eastAsiaTheme="majorEastAsia"/>
          <w:kern w:val="28"/>
        </w:rPr>
      </w:pPr>
      <w:bookmarkStart w:id="0" w:name="_Toc492542318"/>
      <w:r>
        <w:br w:type="page"/>
      </w:r>
    </w:p>
    <w:p w14:paraId="7FE1B2E6" w14:textId="77777777" w:rsidR="00B81226" w:rsidRDefault="00B82AC2">
      <w:pPr>
        <w:pStyle w:val="P68B1DB1-Instructionsberschrift24"/>
        <w:numPr>
          <w:ilvl w:val="0"/>
          <w:numId w:val="49"/>
        </w:numPr>
        <w:ind w:left="357" w:hanging="357"/>
      </w:pPr>
      <w:bookmarkStart w:id="1" w:name="_Toc81454170"/>
      <w:bookmarkStart w:id="2" w:name="_Toc208245425"/>
      <w:r>
        <w:lastRenderedPageBreak/>
        <w:t>Yleiset ohjeet</w:t>
      </w:r>
      <w:bookmarkEnd w:id="0"/>
      <w:bookmarkEnd w:id="1"/>
      <w:bookmarkEnd w:id="2"/>
    </w:p>
    <w:p w14:paraId="7FE1B2E7" w14:textId="77777777" w:rsidR="00B81226" w:rsidRDefault="00B82AC2">
      <w:pPr>
        <w:pStyle w:val="P68B1DB1-Instructionsberschrift25"/>
        <w:numPr>
          <w:ilvl w:val="1"/>
          <w:numId w:val="49"/>
        </w:numPr>
        <w:ind w:left="357" w:hanging="357"/>
      </w:pPr>
      <w:bookmarkStart w:id="3" w:name="_Toc81454171"/>
      <w:bookmarkStart w:id="4" w:name="_Toc208245426"/>
      <w:r>
        <w:t>Rakenne</w:t>
      </w:r>
      <w:bookmarkEnd w:id="3"/>
      <w:bookmarkEnd w:id="4"/>
    </w:p>
    <w:p w14:paraId="7FE1B2E8" w14:textId="261F32BB" w:rsidR="00B81226" w:rsidRDefault="00B82AC2">
      <w:pPr>
        <w:pStyle w:val="P68B1DB1-InstructionsText26"/>
        <w:numPr>
          <w:ilvl w:val="0"/>
          <w:numId w:val="71"/>
        </w:numPr>
        <w:spacing w:before="0"/>
        <w:ind w:left="714" w:hanging="357"/>
      </w:pPr>
      <w:r>
        <w:t>Raportointikehys sisältää 29 lomaketta, jotka on järjestetty kuuteen ryhmään:</w:t>
      </w:r>
    </w:p>
    <w:p w14:paraId="7FE1B2EA" w14:textId="45B1FB28" w:rsidR="00B81226" w:rsidRDefault="00B82AC2">
      <w:pPr>
        <w:pStyle w:val="P68B1DB1-body7"/>
        <w:numPr>
          <w:ilvl w:val="0"/>
          <w:numId w:val="61"/>
        </w:numPr>
      </w:pPr>
      <w:r>
        <w:t>”Yleiset tiedot”, jotka antavat yleiskuvan konsernin ja siihen kuuluvien yhteisöjen organisaatiorakenteesta, varojen jakautumisesta ja riskin määrästä. Tässä ryhmässä on lomaketta:</w:t>
      </w:r>
    </w:p>
    <w:p w14:paraId="7FE1B2EB" w14:textId="75468367" w:rsidR="00B81226" w:rsidRDefault="00B82AC2">
      <w:pPr>
        <w:pStyle w:val="P68B1DB1-body7"/>
        <w:numPr>
          <w:ilvl w:val="1"/>
          <w:numId w:val="207"/>
        </w:numPr>
      </w:pPr>
      <w:r>
        <w:t>Z 01.01 – Organisaatiot (ORG 1)</w:t>
      </w:r>
    </w:p>
    <w:p w14:paraId="7FE1B2EC" w14:textId="77777777" w:rsidR="00B81226" w:rsidRDefault="00B82AC2">
      <w:pPr>
        <w:pStyle w:val="P68B1DB1-body7"/>
        <w:numPr>
          <w:ilvl w:val="1"/>
          <w:numId w:val="207"/>
        </w:numPr>
      </w:pPr>
      <w:r>
        <w:t>Z 01.02 – Omistusrakenne (ORG 2)</w:t>
      </w:r>
    </w:p>
    <w:p w14:paraId="7FE1B2ED" w14:textId="0B29A8FB" w:rsidR="00B81226" w:rsidRDefault="00B82AC2">
      <w:pPr>
        <w:pStyle w:val="P68B1DB1-body7"/>
        <w:numPr>
          <w:ilvl w:val="0"/>
          <w:numId w:val="61"/>
        </w:numPr>
      </w:pPr>
      <w:r>
        <w:t>”Yhteenveto taseeseen sisältyvistä ja taseen ulkopuolisista eristä”, jotka sisältävät taloudelliset tiedot veloista, omista varoista, konserniyhteisöjen välisistä taloudellisista yhteyksistä, suurimmille vastapuolille olevista veloista, suurimmilta vastapuolilta saaduista taseen ulkopuolisista eristä ja talletussuojasta. Tässä ryhmässä on seitsemän lomaketta:</w:t>
      </w:r>
    </w:p>
    <w:p w14:paraId="7FE1B2EE" w14:textId="77777777" w:rsidR="00B81226" w:rsidRDefault="00B82AC2">
      <w:pPr>
        <w:pStyle w:val="P68B1DB1-body7"/>
        <w:numPr>
          <w:ilvl w:val="0"/>
          <w:numId w:val="208"/>
        </w:numPr>
      </w:pPr>
      <w:r>
        <w:t>”Z 02.00 – Vastuiden rakenne (LIAB 1)”;</w:t>
      </w:r>
    </w:p>
    <w:p w14:paraId="7FE1B2EF" w14:textId="584458BC" w:rsidR="00B81226" w:rsidRDefault="00B82AC2">
      <w:pPr>
        <w:pStyle w:val="P68B1DB1-body7"/>
        <w:numPr>
          <w:ilvl w:val="0"/>
          <w:numId w:val="208"/>
        </w:numPr>
      </w:pPr>
      <w:r>
        <w:t>”Z 03.01 – Omien varojen vaatimukset pankkialan toimijoille (LIAB 2)”</w:t>
      </w:r>
    </w:p>
    <w:p w14:paraId="7FE1B2F0" w14:textId="77777777" w:rsidR="00B81226" w:rsidRDefault="00B82AC2">
      <w:pPr>
        <w:pStyle w:val="P68B1DB1-body7"/>
        <w:numPr>
          <w:ilvl w:val="0"/>
          <w:numId w:val="208"/>
        </w:numPr>
      </w:pPr>
      <w:r>
        <w:t>”Z 03.02 – Omien varojen vaatimukset sijoitustoimistojen (LIAB 3)”</w:t>
      </w:r>
    </w:p>
    <w:p w14:paraId="7FE1B2F2" w14:textId="77777777" w:rsidR="00B81226" w:rsidRDefault="00B82AC2">
      <w:pPr>
        <w:pStyle w:val="P68B1DB1-body7"/>
        <w:numPr>
          <w:ilvl w:val="0"/>
          <w:numId w:val="208"/>
        </w:numPr>
      </w:pPr>
      <w:r>
        <w:t>”Z 04.00 – Konsernin sisäiset taloudelliset sidokset (LIAB 4)”</w:t>
      </w:r>
    </w:p>
    <w:p w14:paraId="7FE1B2F3" w14:textId="780D871C" w:rsidR="00B81226" w:rsidRDefault="00B82AC2">
      <w:pPr>
        <w:pStyle w:val="P68B1DB1-body7"/>
        <w:numPr>
          <w:ilvl w:val="0"/>
          <w:numId w:val="208"/>
        </w:numPr>
      </w:pPr>
      <w:r>
        <w:t>”Z 05.01 – Suuret vastapuolet (LIAB 5)”;</w:t>
      </w:r>
    </w:p>
    <w:p w14:paraId="7FE1B2F4" w14:textId="510CE128" w:rsidR="00B81226" w:rsidRDefault="00B82AC2">
      <w:pPr>
        <w:pStyle w:val="P68B1DB1-body7"/>
        <w:numPr>
          <w:ilvl w:val="0"/>
          <w:numId w:val="208"/>
        </w:numPr>
      </w:pPr>
      <w:r>
        <w:t>’Z 05.02 – Suurimmat vastapuolet (taseen ulkopuoliset erät) (LIAB 6)’;</w:t>
      </w:r>
    </w:p>
    <w:p w14:paraId="7FE1B2F5" w14:textId="762695F7" w:rsidR="00B81226" w:rsidRDefault="00B82AC2">
      <w:pPr>
        <w:pStyle w:val="P68B1DB1-body7"/>
        <w:numPr>
          <w:ilvl w:val="0"/>
          <w:numId w:val="208"/>
        </w:numPr>
      </w:pPr>
      <w:r>
        <w:t>”Z 06.00 – Talletussuoja (LIAB 7)”.</w:t>
      </w:r>
    </w:p>
    <w:p w14:paraId="7FE1B2F6" w14:textId="75559FD1" w:rsidR="00B81226" w:rsidRDefault="00B82AC2">
      <w:pPr>
        <w:pStyle w:val="P68B1DB1-body7"/>
        <w:numPr>
          <w:ilvl w:val="0"/>
          <w:numId w:val="61"/>
        </w:numPr>
      </w:pPr>
      <w:r>
        <w:t>”Kriittiset toiminnot”, jotka tarjoavat yleiskuvan kriittisistä toiminnoista ja joissa kriittiset toiminnot kartoitetaan oikeushenkilöiden, ydinliiketoiminta-alueiden, kriittisten palveluiden, rahoitusmarkkinoiden infrastruktuurien ja tietojärjestelmien mukaan. Tässä ryhmässä on neljä lomaketta:</w:t>
      </w:r>
    </w:p>
    <w:p w14:paraId="7FE1B2F7" w14:textId="433A5E71" w:rsidR="00B81226" w:rsidRDefault="00B82AC2">
      <w:pPr>
        <w:pStyle w:val="P68B1DB1-body7"/>
        <w:numPr>
          <w:ilvl w:val="1"/>
          <w:numId w:val="209"/>
        </w:numPr>
      </w:pPr>
      <w:r>
        <w:t xml:space="preserve">Z 07.01 – Taloudellisten toimintojen kriittisyysarviointi (FUNC 1), </w:t>
      </w:r>
    </w:p>
    <w:p w14:paraId="7FE1B2F8" w14:textId="3145F629" w:rsidR="00B81226" w:rsidRDefault="00B82AC2">
      <w:pPr>
        <w:pStyle w:val="P68B1DB1-body7"/>
        <w:numPr>
          <w:ilvl w:val="1"/>
          <w:numId w:val="209"/>
        </w:numPr>
      </w:pPr>
      <w:r>
        <w:t xml:space="preserve">Z 07.02 – Kriittisten toimintojen kartoitus oikeushenkilökohtaisesti (FUNC 2) </w:t>
      </w:r>
    </w:p>
    <w:p w14:paraId="7FE1B2F9" w14:textId="1FE59149" w:rsidR="00B81226" w:rsidRDefault="00B82AC2">
      <w:pPr>
        <w:pStyle w:val="P68B1DB1-body7"/>
        <w:numPr>
          <w:ilvl w:val="1"/>
          <w:numId w:val="209"/>
        </w:numPr>
      </w:pPr>
      <w:r>
        <w:t xml:space="preserve">Z 07.03 – Ydinliiketoiminta-alueiden kartoitus oikeushenkilöiden mukaan (FUNC 3) ja </w:t>
      </w:r>
    </w:p>
    <w:p w14:paraId="7FE1B2FB" w14:textId="3D116B7E" w:rsidR="00B81226" w:rsidRDefault="00B82AC2">
      <w:pPr>
        <w:pStyle w:val="P68B1DB1-body7"/>
        <w:ind w:left="1794"/>
      </w:pPr>
      <w:r>
        <w:t>Z 07.04 – Kriittisten toimintojen kartoitus ydinliiketoiminta-alueiden mukaan (FUNC 4);</w:t>
      </w:r>
    </w:p>
    <w:p w14:paraId="7FE1B2FC" w14:textId="77777777" w:rsidR="00B81226" w:rsidRDefault="00B82AC2">
      <w:pPr>
        <w:pStyle w:val="P68B1DB1-body7"/>
        <w:numPr>
          <w:ilvl w:val="0"/>
          <w:numId w:val="61"/>
        </w:numPr>
      </w:pPr>
      <w:bookmarkStart w:id="5" w:name="_Hlk160696385"/>
      <w:r>
        <w:t>Palvelut ja yksiköt, jotka esittävät erittelyn palvelujen käyttäjistä ja tarjoajista ja kartoittavat ne taloudellisiin toimintoihin ja liiketoiminta-alueisiin</w:t>
      </w:r>
      <w:bookmarkEnd w:id="5"/>
      <w:r>
        <w:t>:</w:t>
      </w:r>
    </w:p>
    <w:p w14:paraId="7FE1B2FD" w14:textId="77777777" w:rsidR="00B81226" w:rsidRDefault="00B82AC2">
      <w:pPr>
        <w:pStyle w:val="P68B1DB1-body7"/>
        <w:numPr>
          <w:ilvl w:val="1"/>
          <w:numId w:val="210"/>
        </w:numPr>
      </w:pPr>
      <w:r>
        <w:t>Z 08.01 – Oikeat palvelut (SERV 1)</w:t>
      </w:r>
    </w:p>
    <w:p w14:paraId="7FE1B2FE" w14:textId="77777777" w:rsidR="00B81226" w:rsidRDefault="00B82AC2">
      <w:pPr>
        <w:pStyle w:val="P68B1DB1-body7"/>
        <w:numPr>
          <w:ilvl w:val="1"/>
          <w:numId w:val="210"/>
        </w:numPr>
      </w:pPr>
      <w:r>
        <w:t>Z 08.02 – Asiaan liittyvät palvelut – Varojen kartoitus (SERV 2)</w:t>
      </w:r>
    </w:p>
    <w:p w14:paraId="7FE1B2FF" w14:textId="77777777" w:rsidR="00B81226" w:rsidRDefault="00B82AC2">
      <w:pPr>
        <w:pStyle w:val="P68B1DB1-body7"/>
        <w:numPr>
          <w:ilvl w:val="1"/>
          <w:numId w:val="210"/>
        </w:numPr>
      </w:pPr>
      <w:r>
        <w:t>Z 08.03 – Asiaan liittyvät palvelut – roolien kartoitus (SERV 3)</w:t>
      </w:r>
    </w:p>
    <w:p w14:paraId="7FE1B300" w14:textId="77777777" w:rsidR="00B81226" w:rsidRDefault="00B82AC2">
      <w:pPr>
        <w:pStyle w:val="P68B1DB1-body7"/>
        <w:numPr>
          <w:ilvl w:val="1"/>
          <w:numId w:val="210"/>
        </w:numPr>
      </w:pPr>
      <w:r>
        <w:lastRenderedPageBreak/>
        <w:t>Z 08.04 – Asiaan liittyvät palvelut – Kriittisten toimintojen kartoitus (SERV 4)</w:t>
      </w:r>
    </w:p>
    <w:p w14:paraId="7FE1B301" w14:textId="77777777" w:rsidR="00B81226" w:rsidRDefault="00B82AC2">
      <w:pPr>
        <w:pStyle w:val="P68B1DB1-body7"/>
        <w:numPr>
          <w:ilvl w:val="1"/>
          <w:numId w:val="210"/>
        </w:numPr>
      </w:pPr>
      <w:r>
        <w:t>Z 08.05 – Merkitykselliset palvelut – ydinliiketoiminta-alueiden kartoitus (SERV 5)</w:t>
      </w:r>
    </w:p>
    <w:p w14:paraId="7FE1B303" w14:textId="397A4C74" w:rsidR="00B81226" w:rsidRDefault="00B82AC2">
      <w:pPr>
        <w:pStyle w:val="P68B1DB1-body7"/>
        <w:numPr>
          <w:ilvl w:val="0"/>
          <w:numId w:val="61"/>
        </w:numPr>
      </w:pPr>
      <w:r>
        <w:t>FMI-palveluja koskeva raportointi</w:t>
      </w:r>
    </w:p>
    <w:p w14:paraId="7FE1B304" w14:textId="110EA9FD" w:rsidR="00B81226" w:rsidRDefault="00B82AC2">
      <w:pPr>
        <w:pStyle w:val="P68B1DB1-body7"/>
        <w:numPr>
          <w:ilvl w:val="1"/>
          <w:numId w:val="211"/>
        </w:numPr>
      </w:pPr>
      <w:r>
        <w:t>Z 09.01 – FMI-palvelut – Palveluntarjoajat ja käyttäjät (FMI 1)</w:t>
      </w:r>
    </w:p>
    <w:p w14:paraId="7FE1B305" w14:textId="77777777" w:rsidR="00B81226" w:rsidRDefault="00B82AC2">
      <w:pPr>
        <w:pStyle w:val="P68B1DB1-body7"/>
        <w:numPr>
          <w:ilvl w:val="1"/>
          <w:numId w:val="211"/>
        </w:numPr>
      </w:pPr>
      <w:r>
        <w:t>Z 09.02 – FMI-palvelut – Mittaus kriittisiin ja keskeisiin rahoitusmarkkinoiden infrastruktuureihin (FMI 2)</w:t>
      </w:r>
    </w:p>
    <w:p w14:paraId="7FE1B306" w14:textId="77777777" w:rsidR="00B81226" w:rsidRDefault="00B82AC2">
      <w:pPr>
        <w:pStyle w:val="P68B1DB1-body7"/>
        <w:numPr>
          <w:ilvl w:val="1"/>
          <w:numId w:val="211"/>
        </w:numPr>
      </w:pPr>
      <w:r>
        <w:t>Z 09.03 – FMI-palvelut – Keskeiset mittarit (FMI 3)</w:t>
      </w:r>
    </w:p>
    <w:p w14:paraId="7FE1B307" w14:textId="77777777" w:rsidR="00B81226" w:rsidRDefault="00B82AC2">
      <w:pPr>
        <w:pStyle w:val="P68B1DB1-body7"/>
        <w:numPr>
          <w:ilvl w:val="1"/>
          <w:numId w:val="211"/>
        </w:numPr>
      </w:pPr>
      <w:r>
        <w:t>Z 09.04 – FMI-palvelut – keskusvastapuolet – Vaihtoehtoiset palveluntarjoajat (FMI 4)</w:t>
      </w:r>
    </w:p>
    <w:p w14:paraId="7FE1B30B" w14:textId="05DD2D8B" w:rsidR="00B81226" w:rsidRDefault="00B82AC2">
      <w:pPr>
        <w:pStyle w:val="P68B1DB1-body7"/>
        <w:numPr>
          <w:ilvl w:val="0"/>
          <w:numId w:val="61"/>
        </w:numPr>
      </w:pPr>
      <w:r>
        <w:t>Bail-in-arviointiin liittyvien vastuutietojen yksityiskohtainen raportointi</w:t>
      </w:r>
    </w:p>
    <w:p w14:paraId="7FE1B30C" w14:textId="6ACC8549" w:rsidR="00B81226" w:rsidRDefault="00B82AC2">
      <w:pPr>
        <w:pStyle w:val="P68B1DB1-body7"/>
        <w:numPr>
          <w:ilvl w:val="0"/>
          <w:numId w:val="217"/>
        </w:numPr>
      </w:pPr>
      <w:r>
        <w:t>Z 11.00 – Ryhmän sisäiset velat (lukuun ottamatta johdannaisia) (LIAB-G-1)</w:t>
      </w:r>
    </w:p>
    <w:p w14:paraId="7FE1B30D" w14:textId="140BB302" w:rsidR="00B81226" w:rsidRDefault="00B82AC2">
      <w:pPr>
        <w:pStyle w:val="P68B1DB1-body7"/>
        <w:numPr>
          <w:ilvl w:val="0"/>
          <w:numId w:val="217"/>
        </w:numPr>
      </w:pPr>
      <w:r>
        <w:t>Z 12.00 – Arvopaperit (mukaan lukien ydinpääoman (CET1), ensisijaisen lisäpääoman (AT1) ja toissijaisen pääoman (T2) instrumentit, lukuun ottamatta konsernin sisäisiä instrumentteja (LIAB-G-2)</w:t>
      </w:r>
    </w:p>
    <w:p w14:paraId="7FE1B30E" w14:textId="67922446" w:rsidR="00B81226" w:rsidRDefault="00B82AC2">
      <w:pPr>
        <w:pStyle w:val="P68B1DB1-body7"/>
        <w:numPr>
          <w:ilvl w:val="0"/>
          <w:numId w:val="217"/>
        </w:numPr>
      </w:pPr>
      <w:r>
        <w:t>Z 13.00 – Kaikki talletukset (lukuun ottamatta konsernin sisäisiä) (LIAB-G-3)</w:t>
      </w:r>
    </w:p>
    <w:p w14:paraId="7FE1B30F" w14:textId="2D8F046E" w:rsidR="00B81226" w:rsidRDefault="00B82AC2">
      <w:pPr>
        <w:pStyle w:val="P68B1DB1-body7"/>
        <w:numPr>
          <w:ilvl w:val="0"/>
          <w:numId w:val="217"/>
        </w:numPr>
      </w:pPr>
      <w:r>
        <w:t>Z 14.00 – Muut rahoitusvelat (LIAB-G-4)</w:t>
      </w:r>
    </w:p>
    <w:p w14:paraId="7FE1B310" w14:textId="69B08C3E" w:rsidR="00B81226" w:rsidRDefault="00B82AC2">
      <w:pPr>
        <w:pStyle w:val="P68B1DB1-body7"/>
        <w:numPr>
          <w:ilvl w:val="1"/>
          <w:numId w:val="211"/>
        </w:numPr>
      </w:pPr>
      <w:r>
        <w:t>Z 15.00 – Johdannaiset (LIAB-G-5)</w:t>
      </w:r>
    </w:p>
    <w:p w14:paraId="7FE1B311" w14:textId="2130BFF9" w:rsidR="00B81226" w:rsidRDefault="00B82AC2">
      <w:pPr>
        <w:pStyle w:val="P68B1DB1-body7"/>
        <w:numPr>
          <w:ilvl w:val="1"/>
          <w:numId w:val="211"/>
        </w:numPr>
      </w:pPr>
      <w:r>
        <w:t>Z 16.00 – Turvallinen rahoitus, lukuun ottamatta konsernin sisäistä rahoitusta (LIAB-G-6)</w:t>
      </w:r>
    </w:p>
    <w:p w14:paraId="7FE1B312" w14:textId="77742066" w:rsidR="00B81226" w:rsidRDefault="00B82AC2">
      <w:pPr>
        <w:pStyle w:val="P68B1DB1-body7"/>
        <w:numPr>
          <w:ilvl w:val="1"/>
          <w:numId w:val="211"/>
        </w:numPr>
      </w:pPr>
      <w:r>
        <w:t>Z 17.00 – Muut rahoitusvelat (LIAB-G-7)</w:t>
      </w:r>
    </w:p>
    <w:p w14:paraId="7FE1B313" w14:textId="77777777" w:rsidR="00B81226" w:rsidRDefault="00B81226">
      <w:pPr>
        <w:pStyle w:val="body"/>
        <w:ind w:left="426"/>
        <w:rPr>
          <w:rFonts w:ascii="Times New Roman" w:hAnsi="Times New Roman" w:cs="Times New Roman"/>
          <w:color w:val="000000" w:themeColor="text1"/>
          <w:sz w:val="20"/>
          <w:szCs w:val="20"/>
        </w:rPr>
      </w:pPr>
    </w:p>
    <w:p w14:paraId="7FE1B314" w14:textId="77777777" w:rsidR="00B81226" w:rsidRDefault="00B82AC2">
      <w:pPr>
        <w:pStyle w:val="P68B1DB1-Instructionsberschrift25"/>
        <w:numPr>
          <w:ilvl w:val="1"/>
          <w:numId w:val="49"/>
        </w:numPr>
        <w:ind w:left="357" w:hanging="357"/>
      </w:pPr>
      <w:bookmarkStart w:id="6" w:name="_Toc81454172"/>
      <w:bookmarkStart w:id="7" w:name="_Toc208245427"/>
      <w:r>
        <w:t>Viiteasiakirja</w:t>
      </w:r>
      <w:bookmarkEnd w:id="6"/>
      <w:bookmarkEnd w:id="7"/>
    </w:p>
    <w:p w14:paraId="7FE1B315" w14:textId="77777777" w:rsidR="00B81226" w:rsidRDefault="00B82AC2">
      <w:pPr>
        <w:pStyle w:val="P68B1DB1-InstructionsText26"/>
        <w:numPr>
          <w:ilvl w:val="0"/>
          <w:numId w:val="225"/>
        </w:numPr>
        <w:spacing w:before="0"/>
      </w:pPr>
      <w:r>
        <w:t>Tässä liitteessä käytetään seuraavia lyhenteitä:</w:t>
      </w:r>
    </w:p>
    <w:p w14:paraId="7FE1B317" w14:textId="77777777" w:rsidR="00B81226" w:rsidRDefault="00B82AC2">
      <w:pPr>
        <w:pStyle w:val="P68B1DB1-ListParagraph8"/>
        <w:numPr>
          <w:ilvl w:val="0"/>
          <w:numId w:val="60"/>
        </w:numPr>
        <w:ind w:left="1074"/>
        <w:jc w:val="both"/>
      </w:pPr>
      <w:r>
        <w:t>’CPMI:llä’ tarkoitetaan Kansainvälisen järjestelypankin maksujärjestelmä- ja markkinainfrastruktuurikomiteaa;</w:t>
      </w:r>
    </w:p>
    <w:p w14:paraId="7FE1B318" w14:textId="36318AB0" w:rsidR="00B81226" w:rsidRDefault="00B82AC2">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’FINREPilla’ komission täytäntöönpanoasetuksen (EU) 2024/3117 liitteessä I olevia FINREP-lomakkeita</w:t>
      </w:r>
      <w:r>
        <w:rPr>
          <w:rStyle w:val="FootnoteReference"/>
          <w:rFonts w:ascii="Times New Roman" w:hAnsi="Times New Roman"/>
          <w:sz w:val="20"/>
          <w:szCs w:val="20"/>
        </w:rPr>
        <w:footnoteReference w:id="2"/>
      </w:r>
      <w:r>
        <w:rPr>
          <w:rFonts w:ascii="Times New Roman" w:hAnsi="Times New Roman"/>
          <w:color w:val="000000" w:themeColor="text1"/>
          <w:sz w:val="20"/>
          <w:szCs w:val="20"/>
        </w:rPr>
        <w:t>;</w:t>
      </w:r>
    </w:p>
    <w:p w14:paraId="7FE1B319" w14:textId="5E436E82" w:rsidR="00B81226" w:rsidRDefault="00B82AC2">
      <w:pPr>
        <w:pStyle w:val="P68B1DB1-ListParagraph8"/>
        <w:numPr>
          <w:ilvl w:val="0"/>
          <w:numId w:val="60"/>
        </w:numPr>
        <w:ind w:left="1074"/>
        <w:jc w:val="both"/>
      </w:pPr>
      <w:r>
        <w:t>’COREPilla (OF)’ komission täytäntöönpanoasetuksen (EU) 2024/3117 liitteessä I olevia COREP-lomakkeita;</w:t>
      </w:r>
    </w:p>
    <w:p w14:paraId="7FE1B31A" w14:textId="2492C34D" w:rsidR="00B81226" w:rsidRDefault="00B82AC2">
      <w:pPr>
        <w:pStyle w:val="P68B1DB1-ListParagraph8"/>
        <w:numPr>
          <w:ilvl w:val="0"/>
          <w:numId w:val="60"/>
        </w:numPr>
        <w:ind w:left="1074"/>
        <w:jc w:val="both"/>
      </w:pPr>
      <w:r>
        <w:t>’COREPilla (LR)’ komission täytäntöönpanoasetuksen (EU) 2024/3117 liitteeseen I sisältyviä COREP-malleja (LR);</w:t>
      </w:r>
    </w:p>
    <w:p w14:paraId="7FE1B31B" w14:textId="77777777" w:rsidR="00B81226" w:rsidRDefault="00B82AC2">
      <w:pPr>
        <w:pStyle w:val="P68B1DB1-ListParagraph8"/>
        <w:numPr>
          <w:ilvl w:val="0"/>
          <w:numId w:val="60"/>
        </w:numPr>
        <w:ind w:left="1074"/>
        <w:jc w:val="both"/>
      </w:pPr>
      <w:r>
        <w:t>’FSB:llä’ tarkoitetaan finanssimarkkinoiden vakauden valvontaryhmää;</w:t>
      </w:r>
    </w:p>
    <w:p w14:paraId="7FE1B31C" w14:textId="77777777" w:rsidR="00B81226" w:rsidRDefault="00B82AC2">
      <w:pPr>
        <w:pStyle w:val="P68B1DB1-ListParagraph9"/>
        <w:numPr>
          <w:ilvl w:val="0"/>
          <w:numId w:val="60"/>
        </w:numPr>
        <w:ind w:left="1074"/>
        <w:jc w:val="both"/>
        <w:rPr>
          <w:color w:val="000000" w:themeColor="text1"/>
          <w:sz w:val="20"/>
          <w:szCs w:val="20"/>
        </w:rPr>
      </w:pPr>
      <w:r>
        <w:rPr>
          <w:color w:val="000000" w:themeColor="text1"/>
          <w:sz w:val="20"/>
          <w:szCs w:val="20"/>
        </w:rPr>
        <w:lastRenderedPageBreak/>
        <w:t>’IAS-standardeilla’ tarkoitetaan Euroopan parlamentin ja neuvoston asetuksen (EY) N:o 1606/2002 2 artiklassa määriteltyjä kansainvälisiä tilinpäätösstandardeja</w:t>
      </w:r>
      <w:r>
        <w:footnoteReference w:id="3"/>
      </w:r>
      <w:r>
        <w:rPr>
          <w:color w:val="000000" w:themeColor="text1"/>
          <w:sz w:val="20"/>
          <w:szCs w:val="20"/>
        </w:rPr>
        <w:t>;</w:t>
      </w:r>
    </w:p>
    <w:p w14:paraId="7FE1B31D" w14:textId="77777777" w:rsidR="00B81226" w:rsidRDefault="00B82AC2">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’IFRS-standardeilla’ tarkoitetaan asetuksen (EY) N:o 1606/2002 2 artiklassa määriteltyjä kansainvälisiä tilinpäätösstandardeja</w:t>
      </w:r>
      <w:r>
        <w:rPr>
          <w:rStyle w:val="FootnoteReference"/>
          <w:rFonts w:ascii="Times New Roman" w:hAnsi="Times New Roman"/>
          <w:color w:val="000000" w:themeColor="text1"/>
          <w:sz w:val="20"/>
          <w:szCs w:val="20"/>
        </w:rPr>
        <w:footnoteReference w:id="4"/>
      </w:r>
      <w:r>
        <w:rPr>
          <w:rFonts w:ascii="Times New Roman" w:hAnsi="Times New Roman"/>
          <w:color w:val="000000" w:themeColor="text1"/>
          <w:sz w:val="20"/>
          <w:szCs w:val="20"/>
        </w:rPr>
        <w:t>;</w:t>
      </w:r>
    </w:p>
    <w:p w14:paraId="7FE1B31E" w14:textId="527A31A3" w:rsidR="00B81226" w:rsidRDefault="00B82AC2">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’LEI-tunnuksella’ (’Legal Entity Identifier’) tarkoitetaan finanssimarkkinoiden vakauden valvontaryhmän (FSB) ehdottamaa ja G20-ryhmän vahvistamaa oikeushenkilötunnusta, jolla pyritään varmistamaan finanssitransaktioiden osapuolten yksilöllinen ja maailmanlaajuinen tunnistaminen. Siihen asti, kun maailmanlaajuinen LEI-järjestelmä alkaa toimia täysimittaisesti, käyttöönottovaiheen niin kutsuttuja pre-LEI-tunnuksia myöntää vastapuolille maailmanlaajuisten oikeushenkilötunnusten järjestelmän valvontaelimen (Re</w:t>
      </w:r>
      <w:r>
        <w:rPr>
          <w:rFonts w:ascii="Times New Roman" w:hAnsi="Times New Roman"/>
          <w:color w:val="000000" w:themeColor="text1"/>
          <w:sz w:val="20"/>
          <w:szCs w:val="20"/>
        </w:rPr>
        <w:t xml:space="preserve">gulatory Oversight Committee – ROC) valtuuttama paikallinen toimintayksikkö (Local Operational Unit) (yksityiskohtaisia tietoja on saatavissa verkkosivustolla </w:t>
      </w:r>
      <w:hyperlink r:id="rId11" w:history="1">
        <w:r>
          <w:rPr>
            <w:rStyle w:val="Hyperlink"/>
            <w:rFonts w:ascii="Times New Roman" w:hAnsi="Times New Roman"/>
            <w:color w:val="000000" w:themeColor="text1"/>
            <w:sz w:val="20"/>
            <w:szCs w:val="20"/>
          </w:rPr>
          <w:t>www.leiroc.org</w:t>
        </w:r>
      </w:hyperlink>
      <w:r>
        <w:rPr>
          <w:rFonts w:ascii="Times New Roman" w:hAnsi="Times New Roman"/>
          <w:color w:val="000000" w:themeColor="text1"/>
          <w:sz w:val="20"/>
          <w:szCs w:val="20"/>
        </w:rPr>
        <w:t>). Jos tietyllä vastapuolella on oikeushenkilötunnus (LEI-tunnus), sitä on käytettävä kyseisen vastapuolen yksilöimiseksi;</w:t>
      </w:r>
    </w:p>
    <w:p w14:paraId="7FE1B31F" w14:textId="34CF2B95" w:rsidR="00B81226" w:rsidRDefault="00B82AC2">
      <w:pPr>
        <w:pStyle w:val="P68B1DB1-ListParagraph8"/>
        <w:numPr>
          <w:ilvl w:val="0"/>
          <w:numId w:val="60"/>
        </w:numPr>
        <w:ind w:left="1074"/>
        <w:jc w:val="both"/>
      </w:pPr>
      <w:r>
        <w:t>”Rahalaitoksen tunniste” tai ”rahalaitoksen tunniste” on rahalaitoksen yksilöllinen tunnistekoodi rahalaitosten luettelossa, jota EKP ylläpitää ja julkaisee tilastointia varten luottolaitosten ja rahalaitossektorin tase-eristä 22 päivänä tammikuuta 2021 annetun Euroopan keskuspankin asetuksen (EU) 2021/379 (uudelleenlaadittu) (EKP/2021/2) mukaisesti ja joka ilmoitetaan, jos LEI-koodia ei ole jo olemassa.</w:t>
      </w:r>
    </w:p>
    <w:p w14:paraId="7FE1B320" w14:textId="0AC7C627" w:rsidR="00B81226" w:rsidRDefault="00B82AC2">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’NGAAP:llä’ tai ’kansallisilla yleisesti hyväksytyillä kirjanpitoperiaatteilla’ tarkoitetaan direktiivin 86/635/ETY nojalla laadittuja kansallisia tilinpitosäännöstöjä</w:t>
      </w:r>
      <w:r>
        <w:rPr>
          <w:rStyle w:val="FootnoteReference"/>
          <w:rFonts w:ascii="Times New Roman" w:hAnsi="Times New Roman"/>
          <w:color w:val="000000" w:themeColor="text1"/>
        </w:rPr>
        <w:footnoteReference w:id="5"/>
      </w:r>
      <w:r>
        <w:rPr>
          <w:rFonts w:ascii="Times New Roman" w:hAnsi="Times New Roman"/>
          <w:color w:val="000000" w:themeColor="text1"/>
          <w:sz w:val="20"/>
          <w:szCs w:val="20"/>
        </w:rPr>
        <w:t>.</w:t>
      </w:r>
    </w:p>
    <w:p w14:paraId="7FE1B321" w14:textId="77777777" w:rsidR="00B81226" w:rsidRDefault="00B82AC2">
      <w:pPr>
        <w:pStyle w:val="P68B1DB1-ListParagraph8"/>
        <w:numPr>
          <w:ilvl w:val="0"/>
          <w:numId w:val="60"/>
        </w:numPr>
        <w:ind w:left="1074"/>
        <w:jc w:val="both"/>
      </w:pPr>
      <w:r>
        <w:t>”Operatiivinen omaisuuserä” – omaisuuserä, joka ei ole rahoitusvaroihin kuuluva omaisuuserä ja jota edellytetään asiaankuuluvien palvelujen, kuten kiinteistöjen, suorittamiseksi; teollis- ja tekijänoikeudet, mukaan lukien tavaramerkit, patentit ja ohjelmistot; laitteisto Tietotekniikkajärjestelmät ja -sovellukset; ja tietovarastot. Operatiiviset voimavarat ovat kriittisiä/välttämättömiä, jos niiden käyttö on välttämätöntä kriittisen/olennaisen palvelun suorittamiseksi;</w:t>
      </w:r>
    </w:p>
    <w:p w14:paraId="7FE1B322" w14:textId="77777777" w:rsidR="00B81226" w:rsidRDefault="00B82AC2">
      <w:pPr>
        <w:pStyle w:val="P68B1DB1-ListParagraph8"/>
        <w:numPr>
          <w:ilvl w:val="0"/>
          <w:numId w:val="60"/>
        </w:numPr>
        <w:ind w:left="1074"/>
        <w:jc w:val="both"/>
      </w:pPr>
      <w:r>
        <w:t>”Merkitykselliset palvelut” – Palvelut, jotka tukevat i) pankin talouden kannalta kriittisiä toimintoja (kriittiset palvelut) ja ii) ydinliiketoiminta-alueita (keskeiset palvelut), joilla jatkuvuus on tarpeen kriisinratkaisustrategian tehokkaan täytäntöönpanon kannalta. Nämä luokat voivat olla päällekkäisiä. Tämä koskee vastaavasti operatiivisia voimavaroja ja henkilöstöä.</w:t>
      </w:r>
    </w:p>
    <w:p w14:paraId="7FE1B323" w14:textId="77777777" w:rsidR="00B81226" w:rsidRDefault="00B82AC2">
      <w:pPr>
        <w:pStyle w:val="P68B1DB1-ListParagraph8"/>
        <w:numPr>
          <w:ilvl w:val="0"/>
          <w:numId w:val="60"/>
        </w:numPr>
        <w:ind w:left="1074"/>
        <w:jc w:val="both"/>
      </w:pPr>
      <w:r>
        <w:t>”Asiaankuuluvat roolet” – Johtotehtävät, joiden avoinna oleva kriisinratkaisu voi muodostaa esteen kriittisten toimintojen jatkuvuudelle ja ydinliiketoiminta-alueille, joita kriisinratkaisustrategian tehokas täytäntöönpano ja siitä seuraava uudelleenjärjestely edellyttävät.</w:t>
      </w:r>
    </w:p>
    <w:p w14:paraId="7FE1B324" w14:textId="77777777" w:rsidR="00B81226" w:rsidRDefault="00B81226">
      <w:pPr>
        <w:pStyle w:val="ListParagraph"/>
        <w:ind w:left="1074"/>
        <w:rPr>
          <w:rFonts w:ascii="Times New Roman" w:hAnsi="Times New Roman"/>
          <w:color w:val="000000" w:themeColor="text1"/>
          <w:sz w:val="20"/>
          <w:szCs w:val="20"/>
        </w:rPr>
      </w:pPr>
    </w:p>
    <w:p w14:paraId="7FE1B325" w14:textId="77777777" w:rsidR="00B81226" w:rsidRDefault="00B82AC2">
      <w:pPr>
        <w:pStyle w:val="P68B1DB1-Instructionsberschrift25"/>
        <w:numPr>
          <w:ilvl w:val="1"/>
          <w:numId w:val="49"/>
        </w:numPr>
        <w:ind w:left="357" w:hanging="357"/>
      </w:pPr>
      <w:bookmarkStart w:id="8" w:name="_Toc81454173"/>
      <w:bookmarkStart w:id="9" w:name="_Toc208245428"/>
      <w:r>
        <w:t>Tilinpäätösstandardit</w:t>
      </w:r>
      <w:bookmarkEnd w:id="8"/>
      <w:bookmarkEnd w:id="9"/>
    </w:p>
    <w:p w14:paraId="7FE1B326" w14:textId="6C573E68" w:rsidR="00B81226" w:rsidRDefault="00B82AC2">
      <w:pPr>
        <w:pStyle w:val="P68B1DB1-InstructionsText26"/>
        <w:numPr>
          <w:ilvl w:val="0"/>
          <w:numId w:val="71"/>
        </w:numPr>
        <w:spacing w:before="0"/>
        <w:ind w:left="714" w:hanging="357"/>
      </w:pPr>
      <w:r>
        <w:t xml:space="preserve">Ellei näissä ohjeissa muuta määrätä, laitosten on ilmoitettava kaikki määrät sen tilinpäätössäännöstön perusteella, jota ne käyttävät raportoidessaan taloudellisia tietoja täytäntöönpanoasetuksen (EU) 2024/3117 9–11 artiklan mukaisesti. Laitosten, joiden ei edellytetä raportoivan taloudellisia tietoja täytäntöönpanoasetuksen (EU) 2024/3117 mukaisesti, on sovellettava oman tilinpäätössäännöstönsä sääntöjä. </w:t>
      </w:r>
    </w:p>
    <w:p w14:paraId="7FE1B327" w14:textId="77777777" w:rsidR="00B81226" w:rsidRDefault="00B82AC2">
      <w:pPr>
        <w:pStyle w:val="P68B1DB1-InstructionsText26"/>
        <w:numPr>
          <w:ilvl w:val="0"/>
          <w:numId w:val="227"/>
        </w:numPr>
        <w:spacing w:before="0"/>
      </w:pPr>
      <w:r>
        <w:t>Niitä laitoksia varten, jotka raportoivat IFRS-standardien mukaisesti, on lisätty viittaukset asianomaisiin IFRS-standardeihin.</w:t>
      </w:r>
    </w:p>
    <w:p w14:paraId="7FE1B328" w14:textId="77777777" w:rsidR="00B81226" w:rsidRDefault="00B82AC2">
      <w:pPr>
        <w:pStyle w:val="P68B1DB1-Instructionsberschrift25"/>
        <w:numPr>
          <w:ilvl w:val="1"/>
          <w:numId w:val="49"/>
        </w:numPr>
        <w:ind w:left="357" w:hanging="357"/>
      </w:pPr>
      <w:bookmarkStart w:id="10" w:name="_Hlk167181695"/>
      <w:bookmarkStart w:id="11" w:name="_Toc81454174"/>
      <w:bookmarkStart w:id="12" w:name="_Toc208245429"/>
      <w:r>
        <w:lastRenderedPageBreak/>
        <w:t>Valvontatietojen ilmoittaminen</w:t>
      </w:r>
      <w:bookmarkEnd w:id="12"/>
    </w:p>
    <w:p w14:paraId="7FE1B329" w14:textId="6A020DBF" w:rsidR="00B81226" w:rsidRDefault="00B82AC2">
      <w:pPr>
        <w:pStyle w:val="P68B1DB1-Instructionsberschrift310"/>
        <w:numPr>
          <w:ilvl w:val="4"/>
          <w:numId w:val="49"/>
        </w:numPr>
      </w:pPr>
      <w:r>
        <w:t>Jos raportoivaan yhteisöön sovelletaan asetuksen (EU) N:o</w:t>
      </w:r>
      <w:r>
        <w:footnoteReference w:id="6"/>
      </w:r>
      <w:r>
        <w:t xml:space="preserve"> 575/2013 mukaista valvontaan liittyvää raportointia konsolidoidulla tai yksittäisen yrityksen tasolla kriisinratkaisun suunnittelun pyydettynä viitepäivänä, yhteisön ei tarvitse ilmoittaa jo ilmoitettuja tietopisteitä. Kriisinratkaisuviranomaiset saavat nämä tietopisteet suoraan raportoivan yhteisön jo ilmoittamista valvontaraporteista.</w:t>
      </w:r>
    </w:p>
    <w:p w14:paraId="7FE1B32A" w14:textId="05B0296B" w:rsidR="00B81226" w:rsidRDefault="00B82AC2">
      <w:pPr>
        <w:pStyle w:val="Instructionsberschrift3"/>
        <w:numPr>
          <w:ilvl w:val="4"/>
          <w:numId w:val="49"/>
        </w:numPr>
      </w:pPr>
      <w:r>
        <w:rPr>
          <w:u w:val="none"/>
        </w:rPr>
        <w:t xml:space="preserve">Jos yhteisöön ei sovelleta valvontaan liittyvää raportointia tiettynä viitepäivänä, sen on ilmoitettava nämä tietopisteet täytäntöönpanoasetuksen (EU) 20XX </w:t>
      </w:r>
      <w:r>
        <w:rPr>
          <w:highlight w:val="yellow"/>
          <w:u w:val="none"/>
        </w:rPr>
        <w:t>/XXX</w:t>
      </w:r>
      <w:r>
        <w:rPr>
          <w:u w:val="none"/>
        </w:rPr>
        <w:t>mukaisesti</w:t>
      </w:r>
      <w:r>
        <w:t xml:space="preserve">. </w:t>
      </w:r>
      <w:r>
        <w:rPr>
          <w:u w:val="none"/>
        </w:rPr>
        <w:t>.</w:t>
      </w:r>
    </w:p>
    <w:p w14:paraId="7FE1B32B" w14:textId="77777777" w:rsidR="00B81226" w:rsidRDefault="00B82AC2">
      <w:pPr>
        <w:pStyle w:val="P68B1DB1-Instructionsberschrift25"/>
        <w:numPr>
          <w:ilvl w:val="1"/>
          <w:numId w:val="49"/>
        </w:numPr>
        <w:ind w:left="357" w:hanging="357"/>
      </w:pPr>
      <w:bookmarkStart w:id="13" w:name="_Toc208245430"/>
      <w:bookmarkEnd w:id="10"/>
      <w:r>
        <w:t>Konsolidoinnin laajuus</w:t>
      </w:r>
      <w:bookmarkEnd w:id="11"/>
      <w:bookmarkEnd w:id="13"/>
    </w:p>
    <w:p w14:paraId="7FE1B32C" w14:textId="77777777" w:rsidR="00B81226" w:rsidRDefault="00B82AC2">
      <w:pPr>
        <w:pStyle w:val="P68B1DB1-InstructionsText26"/>
        <w:numPr>
          <w:ilvl w:val="0"/>
          <w:numId w:val="228"/>
        </w:numPr>
        <w:spacing w:before="0"/>
      </w:pPr>
      <w:r>
        <w:t>Tässä kehyksessä viitataan lomakkeesta riippuen seuraaviin:</w:t>
      </w:r>
    </w:p>
    <w:p w14:paraId="7FE1B32D" w14:textId="77777777" w:rsidR="00B81226" w:rsidRDefault="00B82AC2">
      <w:pPr>
        <w:pStyle w:val="P68B1DB1-numberedparagraph11"/>
        <w:numPr>
          <w:ilvl w:val="0"/>
          <w:numId w:val="81"/>
        </w:numPr>
        <w:rPr>
          <w:rFonts w:eastAsiaTheme="majorEastAsia"/>
        </w:rPr>
      </w:pPr>
      <w:r>
        <w:t>tilinpäätössäännöstön mukainen konsolidointi (sovellettavan tilinpäätössäännöstön mukaisesti konsernitilinpäätökseen sisällytetyt yhteisöt);</w:t>
      </w:r>
    </w:p>
    <w:p w14:paraId="7FE1B32E" w14:textId="179BBDC6" w:rsidR="00B81226" w:rsidRDefault="00B82AC2">
      <w:pPr>
        <w:pStyle w:val="P68B1DB1-numberedparagraph11"/>
        <w:numPr>
          <w:ilvl w:val="0"/>
          <w:numId w:val="81"/>
        </w:numPr>
        <w:rPr>
          <w:rFonts w:eastAsiaTheme="majorEastAsia"/>
        </w:rPr>
      </w:pPr>
      <w:r>
        <w:t xml:space="preserve">varovaisuusperiaatteen mukainen konsolidointi (yhteisöt, jotka kuuluvat konsolidoinnin piiriin Euroopan parlamentin ja neuvoston asetuksen (EU) N:o 575/2013 ensimmäisen osan II osaston 2 luvun mukaisesti) unionissa emoyrityksenä toimivan yrityksen tasolla; </w:t>
      </w:r>
    </w:p>
    <w:p w14:paraId="7FE1B32F" w14:textId="77777777" w:rsidR="00B81226" w:rsidRDefault="00B82AC2">
      <w:pPr>
        <w:pStyle w:val="P68B1DB1-numberedparagraph11"/>
        <w:numPr>
          <w:ilvl w:val="0"/>
          <w:numId w:val="81"/>
        </w:numPr>
        <w:rPr>
          <w:rFonts w:eastAsiaTheme="majorEastAsia"/>
        </w:rPr>
      </w:pPr>
      <w:r>
        <w:t>konsolidointi kriisinratkaisun kohteena olevan yhteisön tasolla kriisinratkaisun kohteena olevan konsernin osalta.</w:t>
      </w:r>
    </w:p>
    <w:p w14:paraId="7FE1B330" w14:textId="4B5FA476" w:rsidR="00B81226" w:rsidRDefault="00B82AC2">
      <w:pPr>
        <w:pStyle w:val="InstructionsText2"/>
        <w:numPr>
          <w:ilvl w:val="0"/>
          <w:numId w:val="229"/>
        </w:numPr>
        <w:spacing w:before="0"/>
        <w:rPr>
          <w:rFonts w:ascii="Times New Roman" w:hAnsi="Times New Roman" w:cs="Times New Roman"/>
          <w:sz w:val="20"/>
          <w:szCs w:val="20"/>
        </w:rPr>
      </w:pPr>
      <w:r>
        <w:rPr>
          <w:rFonts w:ascii="Times New Roman" w:hAnsi="Times New Roman" w:cs="Times New Roman"/>
          <w:sz w:val="20"/>
          <w:szCs w:val="20"/>
        </w:rPr>
        <w:t xml:space="preserve">Laitosten on noudatettava kunkin lomakkeen osalta yhtä tai useampaa konsolidointiperustetta, jota sovelletaan täytäntöönpanoasetuksen (EU) N:o </w:t>
      </w:r>
      <w:r>
        <w:rPr>
          <w:rFonts w:ascii="Times New Roman" w:hAnsi="Times New Roman" w:cs="Times New Roman"/>
          <w:sz w:val="20"/>
          <w:szCs w:val="20"/>
          <w:highlight w:val="yellow"/>
        </w:rPr>
        <w:t>20</w:t>
      </w:r>
      <w:r>
        <w:rPr>
          <w:rFonts w:ascii="Times New Roman" w:hAnsi="Times New Roman" w:cs="Times New Roman"/>
          <w:sz w:val="20"/>
          <w:szCs w:val="20"/>
        </w:rPr>
        <w:t>XX/XXX 2–5 artiklan</w:t>
      </w:r>
      <w:r>
        <w:rPr>
          <w:highlight w:val="yellow"/>
        </w:rPr>
        <w:t>nojalla</w:t>
      </w:r>
      <w:r>
        <w:rPr>
          <w:rFonts w:ascii="Times New Roman" w:hAnsi="Times New Roman" w:cs="Times New Roman"/>
          <w:sz w:val="20"/>
          <w:szCs w:val="20"/>
        </w:rPr>
        <w:t>.</w:t>
      </w:r>
    </w:p>
    <w:p w14:paraId="7FE1B331" w14:textId="77777777" w:rsidR="00B81226" w:rsidRDefault="00B82AC2">
      <w:pPr>
        <w:pStyle w:val="P68B1DB1-Instructionsberschrift25"/>
        <w:numPr>
          <w:ilvl w:val="1"/>
          <w:numId w:val="49"/>
        </w:numPr>
        <w:ind w:left="357" w:hanging="357"/>
      </w:pPr>
      <w:bookmarkStart w:id="14" w:name="_Toc81454175"/>
      <w:bookmarkStart w:id="15" w:name="_Toc208245431"/>
      <w:r>
        <w:t>Numerointi ja muut käytännöt</w:t>
      </w:r>
      <w:bookmarkEnd w:id="14"/>
      <w:bookmarkEnd w:id="15"/>
    </w:p>
    <w:p w14:paraId="7FE1B332" w14:textId="639ED14D" w:rsidR="00B81226" w:rsidRDefault="00B82AC2">
      <w:pPr>
        <w:pStyle w:val="P68B1DB1-InstructionsText26"/>
        <w:numPr>
          <w:ilvl w:val="0"/>
          <w:numId w:val="230"/>
        </w:numPr>
        <w:spacing w:before="0"/>
      </w:pPr>
      <w:r>
        <w:t>Näissä ohjeissa noudatetaan jäljempänä esitettyä merkintäkäytäntöä, kun viitataan lomakkeiden sarakkeisiin, riveihin ja soluihin. Näitä numerokoodeja käytetään laajasti validointisäännöissä.</w:t>
      </w:r>
    </w:p>
    <w:p w14:paraId="7FE1B333" w14:textId="24776AD5" w:rsidR="00B81226" w:rsidRDefault="00B82AC2">
      <w:pPr>
        <w:pStyle w:val="P68B1DB1-InstructionsText26"/>
        <w:numPr>
          <w:ilvl w:val="0"/>
          <w:numId w:val="230"/>
        </w:numPr>
        <w:spacing w:before="0"/>
      </w:pPr>
      <w:r>
        <w:t>Näissä ohjeissa noudatetaan seuraavia yleisiä merkintätapoja viitattaessa lomakkeen sarakkeisiin, riveihin ja soluihin: Lomake;rivi;sarake.</w:t>
      </w:r>
    </w:p>
    <w:p w14:paraId="7FE1B334" w14:textId="144A32B1" w:rsidR="00B81226" w:rsidRDefault="00B82AC2">
      <w:pPr>
        <w:pStyle w:val="P68B1DB1-InstructionsText26"/>
        <w:numPr>
          <w:ilvl w:val="0"/>
          <w:numId w:val="230"/>
        </w:numPr>
        <w:spacing w:before="0"/>
      </w:pPr>
      <w:r>
        <w:t>Kun on kyse lomakkeen sisällä tehtävistä validoinneista, joissa käytetään ainoastaan kyseiseen lomakkeeseen sisältyviä tietoelementtejä, merkinnöissä ei viitata itse lomakkeeseen: {Rivi;sarake}.</w:t>
      </w:r>
    </w:p>
    <w:p w14:paraId="7FE1B335" w14:textId="77777777" w:rsidR="00B81226" w:rsidRDefault="00B82AC2">
      <w:pPr>
        <w:pStyle w:val="P68B1DB1-InstructionsText26"/>
        <w:numPr>
          <w:ilvl w:val="0"/>
          <w:numId w:val="230"/>
        </w:numPr>
        <w:spacing w:before="0"/>
      </w:pPr>
      <w:r>
        <w:t>Lomakkeissa, joissa on ainoastaan yksi sarake, viitataan vain riveihin: {Malli;rivi}.</w:t>
      </w:r>
    </w:p>
    <w:p w14:paraId="7FE1B336" w14:textId="77777777" w:rsidR="00B81226" w:rsidRDefault="00B82AC2">
      <w:pPr>
        <w:pStyle w:val="P68B1DB1-InstructionsText26"/>
        <w:numPr>
          <w:ilvl w:val="0"/>
          <w:numId w:val="230"/>
        </w:numPr>
        <w:spacing w:before="0"/>
      </w:pPr>
      <w:r>
        <w:t>Asteriskia (*) käytetään ilmaisemaan, että validointi kohdistuu edellä määriteltyihin riveihin tai sarakkeisiin.</w:t>
      </w:r>
    </w:p>
    <w:p w14:paraId="7FE1B337" w14:textId="77777777" w:rsidR="00B81226" w:rsidRDefault="00B82AC2">
      <w:pPr>
        <w:pStyle w:val="P68B1DB1-InstructionsText26"/>
        <w:numPr>
          <w:ilvl w:val="0"/>
          <w:numId w:val="230"/>
        </w:numPr>
        <w:spacing w:before="0"/>
      </w:pPr>
      <w:r>
        <w:t>Jos tietoyksikkö ei koske yhteisöjä, joista ilmoitus annetaan, vastaava kenttä jätetään tyhjäksi.</w:t>
      </w:r>
    </w:p>
    <w:p w14:paraId="7FE1B338" w14:textId="77777777" w:rsidR="00B81226" w:rsidRDefault="00B82AC2">
      <w:pPr>
        <w:pStyle w:val="P68B1DB1-InstructionsText26"/>
        <w:numPr>
          <w:ilvl w:val="0"/>
          <w:numId w:val="230"/>
        </w:numPr>
        <w:spacing w:before="0"/>
      </w:pPr>
      <w:r>
        <w:t xml:space="preserve">Kun ohjeissa viitataan ensisijaiseen avaimeen, tällä tarkoitetaan saraketta tai sarakeyhdistelmää, jolla on tarkoitus tunnistaa yksiselitteisesti kaikki lomakkeen rivit. </w:t>
      </w:r>
      <w:r>
        <w:lastRenderedPageBreak/>
        <w:t>Ensisijaisen avaimen on sisällettävä yksilöllinen arvo kullekin lomakkeen riville. Se ei saa sisältää tyhjää arvoa.</w:t>
      </w:r>
    </w:p>
    <w:p w14:paraId="7FE1B339" w14:textId="77777777" w:rsidR="00B81226" w:rsidRDefault="00B82AC2">
      <w:pPr>
        <w:pStyle w:val="P68B1DB1-Instructionsberschrift24"/>
        <w:numPr>
          <w:ilvl w:val="0"/>
          <w:numId w:val="49"/>
        </w:numPr>
        <w:ind w:left="357" w:hanging="357"/>
      </w:pPr>
      <w:bookmarkStart w:id="16" w:name="_Toc492542319"/>
      <w:bookmarkStart w:id="17" w:name="_Toc81454176"/>
      <w:bookmarkStart w:id="18" w:name="_Toc208245432"/>
      <w:r>
        <w:t>Lomakkeisiin liittyvät ohjeet</w:t>
      </w:r>
      <w:bookmarkEnd w:id="16"/>
      <w:bookmarkEnd w:id="17"/>
      <w:bookmarkEnd w:id="18"/>
    </w:p>
    <w:p w14:paraId="7FE1B33A" w14:textId="0E76C32D" w:rsidR="00B81226" w:rsidRDefault="00B82AC2">
      <w:pPr>
        <w:pStyle w:val="P68B1DB1-Instructionsberschrift25"/>
        <w:numPr>
          <w:ilvl w:val="1"/>
          <w:numId w:val="49"/>
        </w:numPr>
        <w:ind w:left="357" w:hanging="357"/>
      </w:pPr>
      <w:bookmarkStart w:id="19" w:name="_Toc493236007"/>
      <w:bookmarkStart w:id="20" w:name="_Toc81454177"/>
      <w:bookmarkStart w:id="21" w:name="_Toc208245433"/>
      <w:bookmarkEnd w:id="19"/>
      <w:r>
        <w:t>Z 01.01 – Organisaatiot (ORG 1)</w:t>
      </w:r>
      <w:bookmarkEnd w:id="20"/>
      <w:bookmarkEnd w:id="21"/>
    </w:p>
    <w:p w14:paraId="7FE1B33B" w14:textId="77777777" w:rsidR="00B81226" w:rsidRDefault="00B82AC2">
      <w:pPr>
        <w:pStyle w:val="Instructionsberschrift3"/>
      </w:pPr>
      <w:r>
        <w:t>Yleiset huomautukset</w:t>
      </w:r>
    </w:p>
    <w:p w14:paraId="7FE1B33C" w14:textId="73410408" w:rsidR="00B81226" w:rsidRDefault="00B82AC2">
      <w:pPr>
        <w:pStyle w:val="P68B1DB1-InstructionsText26"/>
        <w:numPr>
          <w:ilvl w:val="0"/>
          <w:numId w:val="231"/>
        </w:numPr>
        <w:spacing w:before="0"/>
      </w:pPr>
      <w:r>
        <w:t xml:space="preserve">Kaikista kirjanpidollisen konsolidoinnin piiriin kuuluvista konserniyhteisöistä on toimitettava yksi lomake. Lomakkeeseen sisällytetään vain oikeushenkilöt. </w:t>
      </w:r>
    </w:p>
    <w:p w14:paraId="7FE1B33D" w14:textId="32A49085" w:rsidR="00B81226" w:rsidRDefault="00B82AC2">
      <w:pPr>
        <w:pStyle w:val="P68B1DB1-InstructionsText26"/>
        <w:numPr>
          <w:ilvl w:val="0"/>
          <w:numId w:val="231"/>
        </w:numPr>
        <w:spacing w:before="0"/>
      </w:pPr>
      <w:r>
        <w:t>Asianomaisten oikeushenkilöiden käsite ei rajoitu pelkästään pankkitoimintaan, vaan se kattaa myös muut yksiköt, joita tarvitaan pankkikonsernin toiminnan tukemiseksi merkittävällä tavalla. Tähän sisältyvät kriittisten toimintojen ja/tai merkittävien liiketoiminta-alueiden palveluntarjoajat, rahoitusta tarjoavat yhteisöt ja muut yhteisöt, jotka ovat (taloudellisesti) tiiviisti sidoksissa konserniin. Näiden uusien yhteisöjen yksilöinnin odotetaan perustuvan kriisinratkaisustrategian vaatimuksiin, jotka kriis</w:t>
      </w:r>
      <w:r>
        <w:t>inratkaisuviranomaiset määrittelevät.</w:t>
      </w:r>
    </w:p>
    <w:p w14:paraId="7FE1B33E" w14:textId="77777777" w:rsidR="00B81226" w:rsidRDefault="00B82AC2">
      <w:pPr>
        <w:pStyle w:val="P68B1DB1-Instructionsberschrift312"/>
      </w:pPr>
      <w:r>
        <w:t>Tiettyjä kohtia koskevat ohjeet</w:t>
      </w:r>
    </w:p>
    <w:p w14:paraId="7FE1B33F" w14:textId="77777777" w:rsidR="00B81226" w:rsidRDefault="00B81226">
      <w:pPr>
        <w:spacing w:before="8"/>
        <w:rPr>
          <w:rFonts w:ascii="Times New Roman" w:eastAsia="Cambria"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938"/>
        <w:gridCol w:w="8088"/>
      </w:tblGrid>
      <w:tr w:rsidR="00B81226" w14:paraId="7FE1B342"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340" w14:textId="77777777" w:rsidR="00B81226" w:rsidRDefault="00B82AC2">
            <w:pPr>
              <w:pStyle w:val="P68B1DB1-TableParagraph13"/>
              <w:spacing w:before="66"/>
              <w:rPr>
                <w:rFonts w:eastAsia="Cambria"/>
              </w:rPr>
            </w:pPr>
            <w:r>
              <w:t>Sarakkeet</w:t>
            </w:r>
          </w:p>
        </w:tc>
        <w:tc>
          <w:tcPr>
            <w:tcW w:w="0" w:type="auto"/>
            <w:tcBorders>
              <w:top w:val="single" w:sz="4" w:space="0" w:color="1A171C"/>
              <w:left w:val="single" w:sz="4" w:space="0" w:color="1A171C"/>
              <w:bottom w:val="single" w:sz="4" w:space="0" w:color="1A171C"/>
              <w:right w:val="nil"/>
            </w:tcBorders>
            <w:shd w:val="clear" w:color="auto" w:fill="E4E5E5"/>
          </w:tcPr>
          <w:p w14:paraId="7FE1B341" w14:textId="77777777" w:rsidR="00B81226" w:rsidRDefault="00B82AC2">
            <w:pPr>
              <w:pStyle w:val="P68B1DB1-TableParagraph13"/>
              <w:spacing w:before="66"/>
              <w:ind w:right="1"/>
              <w:jc w:val="center"/>
              <w:rPr>
                <w:rFonts w:eastAsia="Cambria"/>
              </w:rPr>
            </w:pPr>
            <w:r>
              <w:t>Ohjeet</w:t>
            </w:r>
          </w:p>
        </w:tc>
      </w:tr>
      <w:tr w:rsidR="00B81226" w14:paraId="7FE1B349" w14:textId="77777777">
        <w:tc>
          <w:tcPr>
            <w:tcW w:w="0" w:type="auto"/>
            <w:tcBorders>
              <w:top w:val="single" w:sz="4" w:space="0" w:color="1A171C"/>
              <w:left w:val="nil"/>
              <w:bottom w:val="single" w:sz="4" w:space="0" w:color="1A171C"/>
              <w:right w:val="single" w:sz="4" w:space="0" w:color="1A171C"/>
            </w:tcBorders>
          </w:tcPr>
          <w:p w14:paraId="7FE1B346" w14:textId="77777777" w:rsidR="00B81226" w:rsidRDefault="00B82AC2">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tcPr>
          <w:p w14:paraId="7FE1B347" w14:textId="77777777" w:rsidR="00B81226" w:rsidRDefault="00B82AC2">
            <w:pPr>
              <w:pStyle w:val="P68B1DB1-TableParagraph14"/>
              <w:spacing w:before="108"/>
              <w:ind w:left="85"/>
            </w:pPr>
            <w:r>
              <w:t>Nimi</w:t>
            </w:r>
          </w:p>
          <w:p w14:paraId="7FE1B348" w14:textId="3D2D6D6A" w:rsidR="00B81226" w:rsidRDefault="00B82AC2">
            <w:pPr>
              <w:pStyle w:val="P68B1DB1-TableParagraph15"/>
              <w:spacing w:before="108"/>
              <w:ind w:left="85"/>
            </w:pPr>
            <w:r>
              <w:t>Yhteisön nimi. Yhteisön asiakirjoihin merkitty virallinen nimi, myös maininta oikeudellisesta muodosta.</w:t>
            </w:r>
          </w:p>
        </w:tc>
      </w:tr>
      <w:tr w:rsidR="00B81226" w14:paraId="7FE1B34E" w14:textId="77777777">
        <w:tc>
          <w:tcPr>
            <w:tcW w:w="0" w:type="auto"/>
            <w:tcBorders>
              <w:top w:val="single" w:sz="4" w:space="0" w:color="1A171C"/>
              <w:left w:val="nil"/>
              <w:bottom w:val="single" w:sz="4" w:space="0" w:color="1A171C"/>
              <w:right w:val="single" w:sz="4" w:space="0" w:color="1A171C"/>
            </w:tcBorders>
          </w:tcPr>
          <w:p w14:paraId="7FE1B34A" w14:textId="77777777" w:rsidR="00B81226" w:rsidRDefault="00B82AC2">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tcPr>
          <w:p w14:paraId="7FE1B34B" w14:textId="77777777" w:rsidR="00B81226" w:rsidRDefault="00B82AC2">
            <w:pPr>
              <w:pStyle w:val="P68B1DB1-TableParagraph14"/>
              <w:spacing w:before="108"/>
              <w:ind w:left="85"/>
            </w:pPr>
            <w:r>
              <w:t>Koodi</w:t>
            </w:r>
          </w:p>
          <w:p w14:paraId="7FE1B34C" w14:textId="5527678D" w:rsidR="00B81226" w:rsidRDefault="00B82AC2">
            <w:pPr>
              <w:pStyle w:val="P68B1DB1-TableParagraph13"/>
              <w:spacing w:before="108"/>
              <w:ind w:left="85"/>
            </w:pPr>
            <w:r>
              <w:t>Yhteisön koodi. Laitosten osalta koodin on oltava 20-numeroinen, aakkosnumeerinen LEI-tunnus. Muiden yhteisöjen osalta koodin on oltava 20-numeroinen, aakkosnumeerinen LEI-tunnus tai, jos sitä ei ole käytettävissä, MFI-tunnus tai unionin yhdenmukaisen kodifioinnin mukainen koodi.</w:t>
            </w:r>
          </w:p>
          <w:p w14:paraId="7FE1B34D" w14:textId="77777777" w:rsidR="00B81226" w:rsidRDefault="00B82AC2">
            <w:pPr>
              <w:pStyle w:val="P68B1DB1-TableParagraph13"/>
              <w:spacing w:before="108"/>
              <w:ind w:left="85"/>
            </w:pPr>
            <w:r>
              <w:t>Koodin on oltava yksilöllinen, ja sitä on käytettävä johdonmukaisesti lomakkeissa. Tunnuksella on aina oltava arvo.</w:t>
            </w:r>
          </w:p>
        </w:tc>
      </w:tr>
      <w:tr w:rsidR="00B81226" w14:paraId="7FE1B354" w14:textId="77777777">
        <w:tc>
          <w:tcPr>
            <w:tcW w:w="0" w:type="auto"/>
            <w:tcBorders>
              <w:top w:val="single" w:sz="4" w:space="0" w:color="1A171C"/>
              <w:left w:val="nil"/>
              <w:bottom w:val="single" w:sz="4" w:space="0" w:color="1A171C"/>
              <w:right w:val="single" w:sz="4" w:space="0" w:color="1A171C"/>
            </w:tcBorders>
          </w:tcPr>
          <w:p w14:paraId="7FE1B34F" w14:textId="77777777" w:rsidR="00B81226" w:rsidRDefault="00B82AC2">
            <w:pPr>
              <w:pStyle w:val="P68B1DB1-TableParagraph13"/>
              <w:spacing w:before="106"/>
              <w:ind w:left="-1"/>
            </w:pPr>
            <w:r>
              <w:t>0025</w:t>
            </w:r>
          </w:p>
        </w:tc>
        <w:tc>
          <w:tcPr>
            <w:tcW w:w="0" w:type="auto"/>
            <w:tcBorders>
              <w:top w:val="single" w:sz="4" w:space="0" w:color="1A171C"/>
              <w:left w:val="single" w:sz="4" w:space="0" w:color="1A171C"/>
              <w:bottom w:val="single" w:sz="4" w:space="0" w:color="1A171C"/>
              <w:right w:val="nil"/>
            </w:tcBorders>
          </w:tcPr>
          <w:p w14:paraId="7FE1B350" w14:textId="10E10E31" w:rsidR="00B81226" w:rsidRDefault="00B82AC2">
            <w:pPr>
              <w:pStyle w:val="P68B1DB1-TableParagraph14"/>
              <w:spacing w:before="108"/>
              <w:ind w:left="85"/>
              <w:jc w:val="both"/>
            </w:pPr>
            <w:r>
              <w:t>Koodien tyyppi</w:t>
            </w:r>
          </w:p>
          <w:p w14:paraId="7FE1B352" w14:textId="7C9FB737" w:rsidR="00B81226" w:rsidRDefault="00B82AC2">
            <w:pPr>
              <w:pStyle w:val="P68B1DB1-TableParagraph13"/>
              <w:spacing w:before="108"/>
            </w:pPr>
            <w:r>
              <w:t>Tässä on valittava seuraavista vaihtoehdoista: LEI-tunnus, MFI-tunnus tai muu tunnisteen tyyppi kuin LEI- tai MFI-tunnus</w:t>
            </w:r>
          </w:p>
          <w:p w14:paraId="7FE1B353" w14:textId="77777777" w:rsidR="00B81226" w:rsidRDefault="00B82AC2">
            <w:pPr>
              <w:pStyle w:val="P68B1DB1-TableParagraph13"/>
              <w:spacing w:before="108"/>
              <w:ind w:left="85"/>
              <w:jc w:val="both"/>
              <w:rPr>
                <w:b/>
              </w:rPr>
            </w:pPr>
            <w:r>
              <w:t>Yhteisöt on yksilöitävä johdonmukaisesti kaikissa lomakkeissa.</w:t>
            </w:r>
          </w:p>
        </w:tc>
      </w:tr>
      <w:tr w:rsidR="00B81226" w14:paraId="7FE1B372" w14:textId="77777777">
        <w:tc>
          <w:tcPr>
            <w:tcW w:w="0" w:type="auto"/>
            <w:tcBorders>
              <w:top w:val="single" w:sz="4" w:space="0" w:color="1A171C"/>
              <w:left w:val="nil"/>
              <w:bottom w:val="single" w:sz="4" w:space="0" w:color="1A171C"/>
              <w:right w:val="single" w:sz="4" w:space="0" w:color="1A171C"/>
            </w:tcBorders>
          </w:tcPr>
          <w:p w14:paraId="7FE1B359" w14:textId="77777777" w:rsidR="00B81226" w:rsidRDefault="00B82AC2">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tcPr>
          <w:p w14:paraId="7FE1B35A" w14:textId="77777777" w:rsidR="00B81226" w:rsidRDefault="00B82AC2">
            <w:pPr>
              <w:pStyle w:val="P68B1DB1-TableParagraph14"/>
              <w:spacing w:before="108"/>
              <w:ind w:left="85"/>
            </w:pPr>
            <w:r>
              <w:t>Yhteisön tyyppi</w:t>
            </w:r>
          </w:p>
          <w:p w14:paraId="7FE1B35B" w14:textId="77777777" w:rsidR="00B81226" w:rsidRDefault="00B82AC2">
            <w:pPr>
              <w:pStyle w:val="P68B1DB1-TableParagraph13"/>
              <w:spacing w:before="108"/>
              <w:ind w:left="85"/>
            </w:pPr>
            <w:r>
              <w:t>Yhteisön tyypin (etuoikeusjärjestyksessä) on oltava jokin seuraavista:</w:t>
            </w:r>
          </w:p>
          <w:p w14:paraId="7FE1B35C" w14:textId="77777777" w:rsidR="00B81226" w:rsidRDefault="00B82AC2">
            <w:pPr>
              <w:pStyle w:val="P68B1DB1-TableParagraph13"/>
              <w:numPr>
                <w:ilvl w:val="0"/>
                <w:numId w:val="67"/>
              </w:numPr>
              <w:spacing w:before="108"/>
            </w:pPr>
            <w:r>
              <w:t>”Luottolaitos”</w:t>
            </w:r>
          </w:p>
          <w:p w14:paraId="7FE1B35D" w14:textId="653C7762" w:rsidR="00B81226" w:rsidRDefault="00B82AC2">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Tähän luokkaan kuuluvat asetuksen (EU) N:o 575/2013 4 artiklan 1 kohdan 1 alakohdassa määritellyt luottolaitokset direktiivin (EU) 2013/36/EU 2 artiklan 5 kohdassa tarkoitettuja yhteisöjä lukuun ottamatta</w:t>
            </w:r>
            <w:r>
              <w:rPr>
                <w:rStyle w:val="FootnoteReference"/>
                <w:rFonts w:ascii="Times New Roman" w:hAnsi="Times New Roman" w:cs="Times New Roman"/>
                <w:color w:val="000000" w:themeColor="text1"/>
              </w:rPr>
              <w:footnoteReference w:id="7"/>
            </w:r>
            <w:r>
              <w:rPr>
                <w:rFonts w:ascii="Times New Roman" w:hAnsi="Times New Roman" w:cs="Times New Roman"/>
                <w:color w:val="000000" w:themeColor="text1"/>
                <w:sz w:val="20"/>
                <w:szCs w:val="20"/>
              </w:rPr>
              <w:t xml:space="preserve">. </w:t>
            </w:r>
          </w:p>
          <w:p w14:paraId="7FE1B35E" w14:textId="74CE88F3" w:rsidR="00B81226" w:rsidRDefault="00B82AC2">
            <w:pPr>
              <w:pStyle w:val="P68B1DB1-TableParagraph13"/>
              <w:numPr>
                <w:ilvl w:val="0"/>
                <w:numId w:val="67"/>
              </w:numPr>
              <w:spacing w:before="108"/>
            </w:pPr>
            <w:r>
              <w:t>”Sijoituspalveluyritykset, joihin sovelletaan direktiivin (EU) 2019/2034 9 artiklan 1 kohdassa säädettyä perustamispääomavaatimusta”.</w:t>
            </w:r>
          </w:p>
          <w:p w14:paraId="7FE1B35F" w14:textId="3246B488" w:rsidR="00B81226" w:rsidRDefault="00B82AC2">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Tähän luokkaan kuuluvat asetuksen (EU) 2019/2033 4 artiklan 1 kohdan 22 alakohdassa määritellyt sijoituspalveluyritykset</w:t>
            </w:r>
            <w:r>
              <w:rPr>
                <w:rStyle w:val="FootnoteReference"/>
                <w:rFonts w:ascii="Times New Roman" w:hAnsi="Times New Roman" w:cs="Times New Roman"/>
                <w:color w:val="000000" w:themeColor="text1"/>
              </w:rPr>
              <w:footnoteReference w:id="8"/>
            </w:r>
            <w:r>
              <w:rPr>
                <w:rFonts w:ascii="Times New Roman" w:hAnsi="Times New Roman" w:cs="Times New Roman"/>
                <w:color w:val="000000" w:themeColor="text1"/>
                <w:sz w:val="20"/>
                <w:szCs w:val="20"/>
              </w:rPr>
              <w:t>, joihin sovelletaan direktiivin (EU) 2019/2034 9 artiklan 1 kohdassa vahvistettua perustamispääomavaatimusta</w:t>
            </w:r>
            <w:r>
              <w:rPr>
                <w:rStyle w:val="FootnoteReference"/>
                <w:rFonts w:ascii="Times New Roman" w:hAnsi="Times New Roman" w:cs="Times New Roman"/>
                <w:color w:val="000000" w:themeColor="text1"/>
              </w:rPr>
              <w:footnoteReference w:id="9"/>
            </w:r>
            <w:r>
              <w:rPr>
                <w:rFonts w:ascii="Times New Roman" w:hAnsi="Times New Roman" w:cs="Times New Roman"/>
                <w:color w:val="000000" w:themeColor="text1"/>
                <w:sz w:val="20"/>
                <w:szCs w:val="20"/>
              </w:rPr>
              <w:t>.</w:t>
            </w:r>
          </w:p>
          <w:p w14:paraId="7FE1B360" w14:textId="7DAA7575" w:rsidR="00B81226" w:rsidRDefault="00B82AC2">
            <w:pPr>
              <w:pStyle w:val="P68B1DB1-TableParagraph13"/>
              <w:numPr>
                <w:ilvl w:val="0"/>
                <w:numId w:val="67"/>
              </w:numPr>
              <w:spacing w:before="108"/>
            </w:pPr>
            <w:r>
              <w:t>”Sijoituspalveluyritykset, joihin ei sovelleta direktiivin (EU) 2019/2034 9 artiklan 1 kohdassa säädettyä perustamispääomavaatimusta”.</w:t>
            </w:r>
          </w:p>
          <w:p w14:paraId="7FE1B361" w14:textId="77777777" w:rsidR="00B81226" w:rsidRDefault="00B82AC2">
            <w:pPr>
              <w:pStyle w:val="P68B1DB1-TableParagraph13"/>
              <w:numPr>
                <w:ilvl w:val="0"/>
                <w:numId w:val="67"/>
              </w:numPr>
              <w:spacing w:before="108"/>
            </w:pPr>
            <w:r>
              <w:t>”Rahoituslaitos”.</w:t>
            </w:r>
          </w:p>
          <w:p w14:paraId="7FE1B362" w14:textId="77777777" w:rsidR="00B81226" w:rsidRDefault="00B82AC2">
            <w:pPr>
              <w:pStyle w:val="P68B1DB1-TableParagraph13"/>
              <w:spacing w:before="108"/>
              <w:ind w:left="445"/>
            </w:pPr>
            <w:r>
              <w:t>Tähän luokkaan kuuluvat asetuksen (EU) N:o 575/2013 4 artiklan 1 kohdan 26 alakohdassa määritellyt rahoituslaitokset, lukuun ottamatta jäljempänä e kohdassa lueteltuja holdingyhtiöitä.</w:t>
            </w:r>
          </w:p>
          <w:p w14:paraId="7FE1B363" w14:textId="77777777" w:rsidR="00B81226" w:rsidRDefault="00B82AC2">
            <w:pPr>
              <w:pStyle w:val="P68B1DB1-TableParagraph13"/>
              <w:numPr>
                <w:ilvl w:val="0"/>
                <w:numId w:val="67"/>
              </w:numPr>
              <w:spacing w:before="108"/>
            </w:pPr>
            <w:r>
              <w:t>”Holdingyhtiö”</w:t>
            </w:r>
          </w:p>
          <w:p w14:paraId="7FE1B364" w14:textId="77777777" w:rsidR="00B81226" w:rsidRDefault="00B82AC2">
            <w:pPr>
              <w:pStyle w:val="P68B1DB1-TableParagraph13"/>
              <w:spacing w:before="108"/>
              <w:ind w:left="445"/>
            </w:pPr>
            <w:r>
              <w:t>Tähän luokkaan kuuluvat seuraavat:</w:t>
            </w:r>
          </w:p>
          <w:p w14:paraId="7FE1B365" w14:textId="77777777" w:rsidR="00B81226" w:rsidRDefault="00B82AC2">
            <w:pPr>
              <w:pStyle w:val="P68B1DB1-TableParagraph13"/>
              <w:numPr>
                <w:ilvl w:val="0"/>
                <w:numId w:val="68"/>
              </w:numPr>
              <w:spacing w:before="108"/>
            </w:pPr>
            <w:r>
              <w:t>Asetuksen (EU) N:o 575/2013 4 artiklan 1 kohdan 20 alakohdassa määritellyt rahoitusalan holdingyhtiöt.</w:t>
            </w:r>
          </w:p>
          <w:p w14:paraId="7FE1B366" w14:textId="77777777" w:rsidR="00B81226" w:rsidRDefault="00B82AC2">
            <w:pPr>
              <w:pStyle w:val="P68B1DB1-TableParagraph13"/>
              <w:numPr>
                <w:ilvl w:val="0"/>
                <w:numId w:val="68"/>
              </w:numPr>
              <w:spacing w:before="108"/>
            </w:pPr>
            <w:r>
              <w:t>Asetuksen (EU) N:o 575/2013 4 artiklan 1 kohdan 21 alakohdassa määritellyt rahoitusalan sekaholdingyhtiöt.</w:t>
            </w:r>
          </w:p>
          <w:p w14:paraId="7FE1B367" w14:textId="77777777" w:rsidR="00B81226" w:rsidRDefault="00B82AC2">
            <w:pPr>
              <w:pStyle w:val="P68B1DB1-TableParagraph13"/>
              <w:numPr>
                <w:ilvl w:val="0"/>
                <w:numId w:val="68"/>
              </w:numPr>
              <w:spacing w:before="108"/>
            </w:pPr>
            <w:r>
              <w:t>Asetuksen (EU) N:o 575/2013 4 artiklan 1 kohdan 22 alakohdassa määritellyt monialan holdingyhtiöt.</w:t>
            </w:r>
          </w:p>
          <w:p w14:paraId="7FE1B368" w14:textId="77777777" w:rsidR="00B81226" w:rsidRDefault="00B82AC2">
            <w:pPr>
              <w:pStyle w:val="P68B1DB1-TableParagraph13"/>
              <w:numPr>
                <w:ilvl w:val="0"/>
                <w:numId w:val="68"/>
              </w:numPr>
              <w:spacing w:before="108"/>
            </w:pPr>
            <w:r>
              <w:t>Asetuksen (EU) N:o 575/2013 4 artiklan 1 kohdan 30 alakohdassa määritellyt emoyrityksenä toimivat rahoitusalan holdingyhtiöt.</w:t>
            </w:r>
          </w:p>
          <w:p w14:paraId="7FE1B369" w14:textId="77777777" w:rsidR="00B81226" w:rsidRDefault="00B82AC2">
            <w:pPr>
              <w:pStyle w:val="P68B1DB1-TableParagraph13"/>
              <w:numPr>
                <w:ilvl w:val="0"/>
                <w:numId w:val="68"/>
              </w:numPr>
              <w:spacing w:before="108"/>
            </w:pPr>
            <w:r>
              <w:t>Asetuksen (EU) N:o 575/2013 4 artiklan 1 kohdan 31 alakohdassa määritellyt unionissa emoyrityksenä toimivat rahoitusalan holdingyhtiöt.</w:t>
            </w:r>
          </w:p>
          <w:p w14:paraId="7FE1B36A" w14:textId="77777777" w:rsidR="00B81226" w:rsidRDefault="00B82AC2">
            <w:pPr>
              <w:pStyle w:val="P68B1DB1-TableParagraph13"/>
              <w:numPr>
                <w:ilvl w:val="0"/>
                <w:numId w:val="68"/>
              </w:numPr>
              <w:spacing w:before="108"/>
            </w:pPr>
            <w:r>
              <w:t>Asetuksen (EU) N:o 575/2013 4 artiklan 1 kohdan 32 alakohdassa määritellyt jäsenvaltiossa emoyrityksenä toimivat rahoitusalan sekaholdingyhtiöt.</w:t>
            </w:r>
          </w:p>
          <w:p w14:paraId="7FE1B36B" w14:textId="77777777" w:rsidR="00B81226" w:rsidRDefault="00B82AC2">
            <w:pPr>
              <w:pStyle w:val="P68B1DB1-TableParagraph13"/>
              <w:numPr>
                <w:ilvl w:val="0"/>
                <w:numId w:val="68"/>
              </w:numPr>
              <w:spacing w:before="108"/>
            </w:pPr>
            <w:r>
              <w:t>Asetuksen (EU) N:o 575/2013 4 artiklan 1 kohdan 33 alakohdassa määritellyt unionissa emoyrityksenä toimivat rahoitusalan sekaholdingyhtiöt.</w:t>
            </w:r>
          </w:p>
          <w:p w14:paraId="7FE1B36C" w14:textId="0F68F780" w:rsidR="00B81226" w:rsidRDefault="00B82AC2">
            <w:pPr>
              <w:pStyle w:val="P68B1DB1-TableParagraph13"/>
              <w:numPr>
                <w:ilvl w:val="0"/>
                <w:numId w:val="67"/>
              </w:numPr>
              <w:spacing w:before="108"/>
            </w:pPr>
            <w:r>
              <w:t>”Vakuutusyritys”.</w:t>
            </w:r>
          </w:p>
          <w:p w14:paraId="7FE1B36D" w14:textId="77777777" w:rsidR="00B81226" w:rsidRDefault="00B82AC2">
            <w:pPr>
              <w:pStyle w:val="P68B1DB1-TableParagraph16"/>
              <w:numPr>
                <w:ilvl w:val="0"/>
                <w:numId w:val="68"/>
              </w:numPr>
              <w:spacing w:before="108"/>
              <w:rPr>
                <w:color w:val="000000" w:themeColor="text1"/>
                <w:sz w:val="20"/>
                <w:szCs w:val="20"/>
              </w:rPr>
            </w:pPr>
            <w:r>
              <w:rPr>
                <w:color w:val="000000" w:themeColor="text1"/>
                <w:sz w:val="20"/>
                <w:szCs w:val="20"/>
              </w:rPr>
              <w:t>Tähän luokkaan kuuluvat Euroopan parlamentin ja neuvoston direktiivin 2009/138/EY 13 artiklassa määritellyt vakuutusyritykset</w:t>
            </w:r>
            <w:r>
              <w:footnoteReference w:id="10"/>
            </w:r>
            <w:r>
              <w:rPr>
                <w:color w:val="000000" w:themeColor="text1"/>
                <w:sz w:val="20"/>
                <w:szCs w:val="20"/>
              </w:rPr>
              <w:t>.</w:t>
            </w:r>
          </w:p>
          <w:p w14:paraId="7FE1B36E" w14:textId="15AC498F" w:rsidR="00B81226" w:rsidRDefault="00B82AC2">
            <w:pPr>
              <w:pStyle w:val="P68B1DB1-TableParagraph13"/>
              <w:numPr>
                <w:ilvl w:val="0"/>
                <w:numId w:val="67"/>
              </w:numPr>
              <w:spacing w:before="108"/>
            </w:pPr>
            <w:r>
              <w:t>Konsernin ’asiaankuuluva palveluntarjoaja’, joka liittyy kriittisiin toimintoihin ja/tai merkittäviin taloudellisiin toimintoihin.</w:t>
            </w:r>
          </w:p>
          <w:p w14:paraId="7FE1B370" w14:textId="77777777" w:rsidR="00B81226" w:rsidRDefault="00B81226">
            <w:pPr>
              <w:pStyle w:val="TableParagraph"/>
              <w:spacing w:before="108"/>
              <w:rPr>
                <w:rFonts w:ascii="Times New Roman" w:hAnsi="Times New Roman" w:cs="Times New Roman"/>
                <w:color w:val="000000" w:themeColor="text1"/>
                <w:sz w:val="20"/>
                <w:szCs w:val="20"/>
              </w:rPr>
            </w:pPr>
          </w:p>
          <w:p w14:paraId="7FE1B371" w14:textId="77777777" w:rsidR="00B81226" w:rsidRDefault="00B82AC2">
            <w:pPr>
              <w:pStyle w:val="P68B1DB1-TableParagraph16"/>
              <w:numPr>
                <w:ilvl w:val="0"/>
                <w:numId w:val="67"/>
              </w:numPr>
              <w:spacing w:before="108"/>
              <w:rPr>
                <w:color w:val="000000" w:themeColor="text1"/>
                <w:sz w:val="20"/>
                <w:szCs w:val="20"/>
              </w:rPr>
            </w:pPr>
            <w:r>
              <w:rPr>
                <w:color w:val="000000" w:themeColor="text1"/>
                <w:sz w:val="20"/>
                <w:szCs w:val="20"/>
              </w:rPr>
              <w:t>”Muuntyyppinen yhteisö”, jos yhteisö ei kuulu mihinkään edellä mainituista luokista.</w:t>
            </w:r>
            <w:r>
              <w:br/>
            </w:r>
            <w:r>
              <w:rPr>
                <w:color w:val="000000" w:themeColor="text1"/>
                <w:sz w:val="20"/>
                <w:szCs w:val="20"/>
              </w:rPr>
              <w:t>(eli tärkeä rahoittaja)</w:t>
            </w:r>
          </w:p>
        </w:tc>
      </w:tr>
      <w:tr w:rsidR="00B81226" w14:paraId="7FE1B376" w14:textId="77777777">
        <w:tc>
          <w:tcPr>
            <w:tcW w:w="0" w:type="auto"/>
            <w:tcBorders>
              <w:top w:val="single" w:sz="4" w:space="0" w:color="1A171C"/>
              <w:left w:val="nil"/>
              <w:bottom w:val="single" w:sz="4" w:space="0" w:color="1A171C"/>
              <w:right w:val="single" w:sz="4" w:space="0" w:color="1A171C"/>
            </w:tcBorders>
          </w:tcPr>
          <w:p w14:paraId="7FE1B373" w14:textId="77777777" w:rsidR="00B81226" w:rsidRDefault="00B82AC2">
            <w:pPr>
              <w:pStyle w:val="P68B1DB1-TableParagraph13"/>
              <w:spacing w:before="106"/>
              <w:ind w:left="-1"/>
            </w:pPr>
            <w:r>
              <w:lastRenderedPageBreak/>
              <w:t>0050</w:t>
            </w:r>
          </w:p>
        </w:tc>
        <w:tc>
          <w:tcPr>
            <w:tcW w:w="0" w:type="auto"/>
            <w:tcBorders>
              <w:top w:val="single" w:sz="4" w:space="0" w:color="1A171C"/>
              <w:left w:val="single" w:sz="4" w:space="0" w:color="1A171C"/>
              <w:bottom w:val="single" w:sz="4" w:space="0" w:color="1A171C"/>
              <w:right w:val="nil"/>
            </w:tcBorders>
          </w:tcPr>
          <w:p w14:paraId="7FE1B374" w14:textId="77777777" w:rsidR="00B81226" w:rsidRDefault="00B82AC2">
            <w:pPr>
              <w:pStyle w:val="P68B1DB1-TableParagraph14"/>
              <w:spacing w:before="108"/>
              <w:ind w:left="85"/>
            </w:pPr>
            <w:r>
              <w:t>Maa</w:t>
            </w:r>
          </w:p>
          <w:p w14:paraId="7FE1B375" w14:textId="77777777" w:rsidR="00B81226" w:rsidRDefault="00B82AC2">
            <w:pPr>
              <w:pStyle w:val="P68B1DB1-TableParagraph13"/>
              <w:spacing w:before="108"/>
              <w:ind w:left="85"/>
              <w:jc w:val="both"/>
            </w:pPr>
            <w:r>
              <w:t>Yhteisön kotipaikkana olevan maan (jäsenvaltio tai kolmas maa) ISO 3166–1-alpha-2-koodi.</w:t>
            </w:r>
          </w:p>
        </w:tc>
      </w:tr>
      <w:tr w:rsidR="00B81226" w14:paraId="7FE1B37A" w14:textId="77777777">
        <w:tc>
          <w:tcPr>
            <w:tcW w:w="0" w:type="auto"/>
            <w:tcBorders>
              <w:top w:val="single" w:sz="4" w:space="0" w:color="1A171C"/>
              <w:left w:val="nil"/>
              <w:bottom w:val="single" w:sz="4" w:space="0" w:color="1A171C"/>
              <w:right w:val="single" w:sz="4" w:space="0" w:color="1A171C"/>
            </w:tcBorders>
          </w:tcPr>
          <w:p w14:paraId="7FE1B377" w14:textId="77777777" w:rsidR="00B81226" w:rsidRDefault="00B82AC2">
            <w:pPr>
              <w:pStyle w:val="P68B1DB1-TableParagraph13"/>
              <w:spacing w:before="106"/>
              <w:ind w:left="-1"/>
            </w:pPr>
            <w:r>
              <w:lastRenderedPageBreak/>
              <w:t>0055</w:t>
            </w:r>
          </w:p>
        </w:tc>
        <w:tc>
          <w:tcPr>
            <w:tcW w:w="0" w:type="auto"/>
            <w:tcBorders>
              <w:top w:val="single" w:sz="4" w:space="0" w:color="1A171C"/>
              <w:left w:val="single" w:sz="4" w:space="0" w:color="1A171C"/>
              <w:bottom w:val="single" w:sz="4" w:space="0" w:color="1A171C"/>
              <w:right w:val="nil"/>
            </w:tcBorders>
          </w:tcPr>
          <w:p w14:paraId="7FE1B378" w14:textId="77777777" w:rsidR="00B81226" w:rsidRDefault="00B82AC2">
            <w:pPr>
              <w:pStyle w:val="P68B1DB1-TableParagraph14"/>
              <w:spacing w:before="108"/>
              <w:ind w:left="85"/>
            </w:pPr>
            <w:r>
              <w:t>Kriisinratkaisun kohteena olevan konsernin POE:n oikeushenkilötunnus</w:t>
            </w:r>
          </w:p>
          <w:p w14:paraId="7FE1B379" w14:textId="77777777" w:rsidR="00B81226" w:rsidRDefault="00B82AC2">
            <w:pPr>
              <w:pStyle w:val="P68B1DB1-TableParagraph13"/>
              <w:spacing w:before="108"/>
              <w:ind w:left="85"/>
              <w:rPr>
                <w:bCs/>
              </w:rPr>
            </w:pPr>
            <w:r>
              <w:t>LEI-koodi, jolla yksilöidään sen kriisinratkaisun kohteena olevan konsernin saapumispaikka, johon kohdassa 0010 yksilöity yhteisö kuuluu.</w:t>
            </w:r>
          </w:p>
        </w:tc>
      </w:tr>
      <w:tr w:rsidR="00B81226" w14:paraId="7FE1B386" w14:textId="77777777">
        <w:tc>
          <w:tcPr>
            <w:tcW w:w="0" w:type="auto"/>
            <w:tcBorders>
              <w:top w:val="single" w:sz="4" w:space="0" w:color="1A171C"/>
              <w:left w:val="nil"/>
              <w:bottom w:val="single" w:sz="4" w:space="0" w:color="1A171C"/>
              <w:right w:val="single" w:sz="4" w:space="0" w:color="1A171C"/>
            </w:tcBorders>
          </w:tcPr>
          <w:p w14:paraId="7FE1B381" w14:textId="77777777" w:rsidR="00B81226" w:rsidRDefault="00B82AC2">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tcPr>
          <w:p w14:paraId="7FE1B382" w14:textId="77777777" w:rsidR="00B81226" w:rsidRDefault="00B82AC2">
            <w:pPr>
              <w:pStyle w:val="P68B1DB1-TableParagraph14"/>
              <w:spacing w:before="108"/>
              <w:ind w:left="85"/>
              <w:jc w:val="both"/>
              <w:rPr>
                <w:bCs/>
              </w:rPr>
            </w:pPr>
            <w:r>
              <w:t>Vakavaraisuusasetuksen 7 artiklan mukainen poikkeus</w:t>
            </w:r>
          </w:p>
          <w:p w14:paraId="7FE1B383" w14:textId="77777777" w:rsidR="00B81226" w:rsidRDefault="00B82AC2">
            <w:pPr>
              <w:pStyle w:val="P68B1DB1-TableParagraph13"/>
              <w:spacing w:before="108"/>
              <w:ind w:left="85"/>
              <w:jc w:val="both"/>
            </w:pPr>
            <w:r>
              <w:t>Ilmoittamisessa käytetään seuraavia lyhenteitä:</w:t>
            </w:r>
          </w:p>
          <w:p w14:paraId="7FE1B384" w14:textId="6DF8D995" w:rsidR="00B81226" w:rsidRDefault="00B82AC2">
            <w:pPr>
              <w:pStyle w:val="P68B1DB1-TableParagraph13"/>
              <w:spacing w:before="108"/>
              <w:ind w:left="85"/>
              <w:jc w:val="both"/>
            </w:pPr>
            <w:r>
              <w:t>Kyllä – jos toimivaltainen viranomainen on luopunut asetuksen (EU) N:o 575/2013 6 artiklan 1 kohdan soveltamisesta asetuksen (EU) N:o 575/2013 7 artiklan mukaisesti;</w:t>
            </w:r>
          </w:p>
          <w:p w14:paraId="7FE1B385" w14:textId="7EC01EC3" w:rsidR="00B81226" w:rsidRDefault="00B82AC2">
            <w:pPr>
              <w:pStyle w:val="P68B1DB1-TableParagraph13"/>
              <w:spacing w:before="108"/>
              <w:ind w:left="85"/>
              <w:jc w:val="both"/>
              <w:rPr>
                <w:b/>
              </w:rPr>
            </w:pPr>
            <w:r>
              <w:t>Ei – muutoin.</w:t>
            </w:r>
          </w:p>
        </w:tc>
      </w:tr>
      <w:tr w:rsidR="00B81226" w14:paraId="7FE1B38D" w14:textId="77777777">
        <w:tc>
          <w:tcPr>
            <w:tcW w:w="1064" w:type="dxa"/>
            <w:tcBorders>
              <w:top w:val="single" w:sz="4" w:space="0" w:color="1A171C"/>
              <w:left w:val="nil"/>
              <w:bottom w:val="single" w:sz="4" w:space="0" w:color="1A171C"/>
              <w:right w:val="single" w:sz="4" w:space="0" w:color="1A171C"/>
            </w:tcBorders>
          </w:tcPr>
          <w:p w14:paraId="7FE1B387" w14:textId="77777777" w:rsidR="00B81226" w:rsidRDefault="00B82AC2">
            <w:pPr>
              <w:pStyle w:val="P68B1DB1-TableParagraph13"/>
            </w:pPr>
            <w:r>
              <w:t>0080</w:t>
            </w:r>
          </w:p>
        </w:tc>
        <w:tc>
          <w:tcPr>
            <w:tcW w:w="7962" w:type="dxa"/>
            <w:tcBorders>
              <w:top w:val="single" w:sz="4" w:space="0" w:color="1A171C"/>
              <w:left w:val="single" w:sz="4" w:space="0" w:color="1A171C"/>
              <w:bottom w:val="single" w:sz="4" w:space="0" w:color="1A171C"/>
              <w:right w:val="nil"/>
            </w:tcBorders>
          </w:tcPr>
          <w:p w14:paraId="7FE1B388" w14:textId="77777777" w:rsidR="00B81226" w:rsidRDefault="00B82AC2">
            <w:pPr>
              <w:pStyle w:val="P68B1DB1-TableParagraph14"/>
              <w:jc w:val="both"/>
              <w:rPr>
                <w:bCs/>
              </w:rPr>
            </w:pPr>
            <w:r>
              <w:t>Vakavaraisuusasetuksen 8 artiklan mukainen poikkeus</w:t>
            </w:r>
          </w:p>
          <w:p w14:paraId="7FE1B389" w14:textId="77777777" w:rsidR="00B81226" w:rsidRDefault="00B81226">
            <w:pPr>
              <w:pStyle w:val="TableParagraph"/>
              <w:jc w:val="both"/>
              <w:rPr>
                <w:rFonts w:ascii="Times New Roman" w:hAnsi="Times New Roman" w:cs="Times New Roman"/>
                <w:b/>
                <w:bCs/>
                <w:color w:val="000000" w:themeColor="text1"/>
                <w:sz w:val="20"/>
                <w:szCs w:val="20"/>
              </w:rPr>
            </w:pPr>
          </w:p>
          <w:p w14:paraId="7FE1B38A" w14:textId="77777777" w:rsidR="00B81226" w:rsidRDefault="00B82AC2">
            <w:pPr>
              <w:pStyle w:val="P68B1DB1-TableParagraph13"/>
              <w:spacing w:before="108"/>
              <w:ind w:left="85"/>
              <w:jc w:val="both"/>
            </w:pPr>
            <w:r>
              <w:t>Ilmoittamisessa käytetään seuraavia lyhenteitä:</w:t>
            </w:r>
          </w:p>
          <w:p w14:paraId="7FE1B38B" w14:textId="7BE12ED7" w:rsidR="00B81226" w:rsidRDefault="00B82AC2">
            <w:pPr>
              <w:pStyle w:val="P68B1DB1-TableParagraph13"/>
              <w:spacing w:before="108"/>
              <w:ind w:left="85"/>
              <w:jc w:val="both"/>
            </w:pPr>
            <w:r>
              <w:t>Kyllä – jos toimivaltainen viranomainen on luopunut asetuksen (EU) N:o 575/2013 osan 6 soveltamisesta asetuksen (EU) N:o 575/2013 8 artiklan mukaisesti;</w:t>
            </w:r>
          </w:p>
          <w:p w14:paraId="7FE1B38C" w14:textId="08CEF953" w:rsidR="00B81226" w:rsidRDefault="00B82AC2">
            <w:pPr>
              <w:pStyle w:val="P68B1DB1-TableParagraph13"/>
              <w:jc w:val="both"/>
              <w:rPr>
                <w:b/>
                <w:bCs/>
              </w:rPr>
            </w:pPr>
            <w:r>
              <w:t>Ei – muutoin.</w:t>
            </w:r>
          </w:p>
        </w:tc>
      </w:tr>
      <w:tr w:rsidR="00B81226" w14:paraId="7FE1B395" w14:textId="77777777">
        <w:tc>
          <w:tcPr>
            <w:tcW w:w="1064" w:type="dxa"/>
            <w:tcBorders>
              <w:top w:val="single" w:sz="4" w:space="0" w:color="1A171C"/>
              <w:left w:val="nil"/>
              <w:bottom w:val="single" w:sz="4" w:space="0" w:color="1A171C"/>
              <w:right w:val="single" w:sz="4" w:space="0" w:color="1A171C"/>
            </w:tcBorders>
          </w:tcPr>
          <w:p w14:paraId="7FE1B38E" w14:textId="77777777" w:rsidR="00B81226" w:rsidRDefault="00B82AC2">
            <w:pPr>
              <w:pStyle w:val="P68B1DB1-TableParagraph13"/>
            </w:pPr>
            <w:r>
              <w:t>0090</w:t>
            </w:r>
          </w:p>
        </w:tc>
        <w:tc>
          <w:tcPr>
            <w:tcW w:w="7962" w:type="dxa"/>
            <w:tcBorders>
              <w:top w:val="single" w:sz="4" w:space="0" w:color="1A171C"/>
              <w:left w:val="single" w:sz="4" w:space="0" w:color="1A171C"/>
              <w:bottom w:val="single" w:sz="4" w:space="0" w:color="1A171C"/>
              <w:right w:val="nil"/>
            </w:tcBorders>
          </w:tcPr>
          <w:p w14:paraId="7FE1B38F" w14:textId="77777777" w:rsidR="00B81226" w:rsidRDefault="00B82AC2">
            <w:pPr>
              <w:pStyle w:val="P68B1DB1-TableParagraph14"/>
              <w:jc w:val="both"/>
              <w:rPr>
                <w:bCs/>
              </w:rPr>
            </w:pPr>
            <w:r>
              <w:t>Jollei 9 artiklasta muuta johdu,</w:t>
            </w:r>
          </w:p>
          <w:p w14:paraId="7FE1B390" w14:textId="77777777" w:rsidR="00B81226" w:rsidRDefault="00B81226">
            <w:pPr>
              <w:pStyle w:val="TableParagraph"/>
              <w:jc w:val="both"/>
              <w:rPr>
                <w:rFonts w:ascii="Times New Roman" w:hAnsi="Times New Roman" w:cs="Times New Roman"/>
                <w:b/>
                <w:bCs/>
                <w:color w:val="000000" w:themeColor="text1"/>
                <w:sz w:val="20"/>
                <w:szCs w:val="20"/>
              </w:rPr>
            </w:pPr>
          </w:p>
          <w:p w14:paraId="7FE1B391" w14:textId="77777777" w:rsidR="00B81226" w:rsidRDefault="00B82AC2">
            <w:pPr>
              <w:pStyle w:val="P68B1DB1-TableParagraph13"/>
              <w:spacing w:before="108"/>
              <w:ind w:left="85"/>
              <w:jc w:val="both"/>
            </w:pPr>
            <w:r>
              <w:t>Ilmoittamisessa käytetään seuraavia lyhenteitä:</w:t>
            </w:r>
          </w:p>
          <w:p w14:paraId="7FE1B392" w14:textId="30A38992" w:rsidR="00B81226" w:rsidRDefault="00B82AC2">
            <w:pPr>
              <w:pStyle w:val="P68B1DB1-TableParagraph13"/>
              <w:spacing w:before="108"/>
              <w:ind w:left="85"/>
              <w:jc w:val="both"/>
            </w:pPr>
            <w:r>
              <w:t>Kyllä – jos yhteisö täyttää 7 artiklan 1 kohdan c ja d alakohdassa säädetyt edellytykset ja sen olennaiset vastuut tai olennaiset velat ovat asetuksen (EU) N:o 575/2013 8 artiklan mukaisesti emoyrityksenä toimivalle laitokselle annetun asetuksen (EU) N:o 575/2013 mukaisia, minkä vuoksi ne otetaan huomioon laskettaessa emoyrityksenä toimivan laitoksen 6 artiklan 1 kohdan mukaista vaatimusta.</w:t>
            </w:r>
          </w:p>
          <w:p w14:paraId="7FE1B393" w14:textId="0CE17CBC" w:rsidR="00B81226" w:rsidRDefault="00B82AC2">
            <w:pPr>
              <w:pStyle w:val="P68B1DB1-TableParagraph13"/>
              <w:jc w:val="both"/>
              <w:rPr>
                <w:b/>
                <w:bCs/>
              </w:rPr>
            </w:pPr>
            <w:r>
              <w:t>Ei – muutoin.</w:t>
            </w:r>
          </w:p>
          <w:p w14:paraId="7FE1B394" w14:textId="77777777" w:rsidR="00B81226" w:rsidRDefault="00B81226">
            <w:pPr>
              <w:pStyle w:val="TableParagraph"/>
              <w:jc w:val="both"/>
              <w:rPr>
                <w:rFonts w:ascii="Times New Roman" w:hAnsi="Times New Roman" w:cs="Times New Roman"/>
                <w:b/>
                <w:bCs/>
                <w:color w:val="000000" w:themeColor="text1"/>
                <w:sz w:val="20"/>
                <w:szCs w:val="20"/>
              </w:rPr>
            </w:pPr>
          </w:p>
        </w:tc>
      </w:tr>
      <w:tr w:rsidR="00B81226" w14:paraId="7FE1B39B" w14:textId="77777777">
        <w:tc>
          <w:tcPr>
            <w:tcW w:w="0" w:type="auto"/>
            <w:tcBorders>
              <w:top w:val="single" w:sz="4" w:space="0" w:color="1A171C"/>
              <w:left w:val="nil"/>
              <w:bottom w:val="single" w:sz="4" w:space="0" w:color="1A171C"/>
              <w:right w:val="single" w:sz="4" w:space="0" w:color="1A171C"/>
            </w:tcBorders>
          </w:tcPr>
          <w:p w14:paraId="7FE1B396" w14:textId="5DE190C9" w:rsidR="00B81226" w:rsidRDefault="00B82AC2">
            <w:pPr>
              <w:pStyle w:val="P68B1DB1-TableParagraph13"/>
              <w:spacing w:before="106"/>
              <w:ind w:left="-1"/>
            </w:pPr>
            <w:r>
              <w:t>0100</w:t>
            </w:r>
          </w:p>
        </w:tc>
        <w:tc>
          <w:tcPr>
            <w:tcW w:w="0" w:type="auto"/>
            <w:tcBorders>
              <w:top w:val="single" w:sz="4" w:space="0" w:color="1A171C"/>
              <w:left w:val="single" w:sz="4" w:space="0" w:color="1A171C"/>
              <w:bottom w:val="single" w:sz="4" w:space="0" w:color="1A171C"/>
              <w:right w:val="nil"/>
            </w:tcBorders>
          </w:tcPr>
          <w:p w14:paraId="7FE1B397" w14:textId="77777777" w:rsidR="00B81226" w:rsidRDefault="00B82AC2">
            <w:pPr>
              <w:pStyle w:val="P68B1DB1-TableParagraph14"/>
              <w:spacing w:before="108"/>
              <w:ind w:left="85"/>
              <w:jc w:val="both"/>
            </w:pPr>
            <w:r>
              <w:t>Vakavaraisuusasetuksen 10 artiklan mukainen vapautus</w:t>
            </w:r>
          </w:p>
          <w:p w14:paraId="7FE1B398" w14:textId="77777777" w:rsidR="00B81226" w:rsidRDefault="00B82AC2">
            <w:pPr>
              <w:pStyle w:val="P68B1DB1-TableParagraph13"/>
              <w:spacing w:before="108"/>
              <w:ind w:left="85"/>
              <w:jc w:val="both"/>
            </w:pPr>
            <w:r>
              <w:t>Ilmoittamisessa käytetään seuraavia lyhenteitä:</w:t>
            </w:r>
          </w:p>
          <w:p w14:paraId="7FE1B399" w14:textId="249CB221" w:rsidR="00B81226" w:rsidRDefault="00B82AC2">
            <w:pPr>
              <w:pStyle w:val="P68B1DB1-TableParagraph13"/>
              <w:spacing w:before="108"/>
              <w:ind w:left="85"/>
              <w:jc w:val="both"/>
            </w:pPr>
            <w:r>
              <w:t>Kyllä – jos toimivaltainen viranomainen on soveltanut vapautusta asetuksen (EU) N:o 575/2013 10 artiklan nojalla.</w:t>
            </w:r>
          </w:p>
          <w:p w14:paraId="7FE1B39A" w14:textId="2A6A5A7B" w:rsidR="00B81226" w:rsidRDefault="00B82AC2">
            <w:pPr>
              <w:pStyle w:val="P68B1DB1-TableParagraph13"/>
              <w:spacing w:before="108"/>
              <w:ind w:left="85"/>
              <w:jc w:val="both"/>
              <w:rPr>
                <w:b/>
              </w:rPr>
            </w:pPr>
            <w:r>
              <w:t>Ei – muutoin.</w:t>
            </w:r>
          </w:p>
        </w:tc>
      </w:tr>
      <w:tr w:rsidR="00B81226" w14:paraId="7FE1B39F" w14:textId="77777777">
        <w:tc>
          <w:tcPr>
            <w:tcW w:w="0" w:type="auto"/>
            <w:tcBorders>
              <w:top w:val="single" w:sz="4" w:space="0" w:color="1A171C"/>
              <w:left w:val="nil"/>
              <w:bottom w:val="single" w:sz="4" w:space="0" w:color="1A171C"/>
              <w:right w:val="single" w:sz="4" w:space="0" w:color="1A171C"/>
            </w:tcBorders>
          </w:tcPr>
          <w:p w14:paraId="7FE1B39C" w14:textId="317C5200" w:rsidR="00B81226" w:rsidRDefault="00B82AC2">
            <w:pPr>
              <w:pStyle w:val="P68B1DB1-TableParagraph13"/>
              <w:spacing w:before="106"/>
              <w:ind w:left="-1"/>
            </w:pPr>
            <w:r>
              <w:t>0110</w:t>
            </w:r>
          </w:p>
        </w:tc>
        <w:tc>
          <w:tcPr>
            <w:tcW w:w="0" w:type="auto"/>
            <w:tcBorders>
              <w:top w:val="single" w:sz="4" w:space="0" w:color="1A171C"/>
              <w:left w:val="single" w:sz="4" w:space="0" w:color="1A171C"/>
              <w:bottom w:val="single" w:sz="4" w:space="0" w:color="1A171C"/>
              <w:right w:val="nil"/>
            </w:tcBorders>
          </w:tcPr>
          <w:p w14:paraId="7FE1B39D" w14:textId="77777777" w:rsidR="00B81226" w:rsidRDefault="00B82AC2">
            <w:pPr>
              <w:pStyle w:val="P68B1DB1-TableParagraph14"/>
              <w:spacing w:before="108"/>
              <w:jc w:val="both"/>
            </w:pPr>
            <w:r>
              <w:t>Vastaavaa yhteensä</w:t>
            </w:r>
          </w:p>
          <w:p w14:paraId="7FE1B39E" w14:textId="77777777" w:rsidR="00B81226" w:rsidRDefault="00B82AC2">
            <w:pPr>
              <w:pStyle w:val="P68B1DB1-TableParagraph13"/>
              <w:spacing w:before="108"/>
              <w:jc w:val="both"/>
              <w:rPr>
                <w:b/>
              </w:rPr>
            </w:pPr>
            <w:r>
              <w:t>Varat yhteensä FINREP-raportoinnin mukaisesti {F 01.01;380,010}.</w:t>
            </w:r>
          </w:p>
        </w:tc>
      </w:tr>
      <w:tr w:rsidR="00B81226" w14:paraId="7FE1B3AC" w14:textId="77777777">
        <w:tc>
          <w:tcPr>
            <w:tcW w:w="0" w:type="auto"/>
            <w:tcBorders>
              <w:top w:val="single" w:sz="4" w:space="0" w:color="1A171C"/>
              <w:left w:val="nil"/>
              <w:bottom w:val="single" w:sz="4" w:space="0" w:color="1A171C"/>
              <w:right w:val="single" w:sz="4" w:space="0" w:color="1A171C"/>
            </w:tcBorders>
          </w:tcPr>
          <w:p w14:paraId="7FE1B3A8" w14:textId="69999557" w:rsidR="00B81226" w:rsidRDefault="00B82AC2">
            <w:pPr>
              <w:pStyle w:val="P68B1DB1-TableParagraph13"/>
              <w:spacing w:before="106"/>
              <w:ind w:left="-1"/>
            </w:pPr>
            <w:r>
              <w:t>0150</w:t>
            </w:r>
          </w:p>
        </w:tc>
        <w:tc>
          <w:tcPr>
            <w:tcW w:w="0" w:type="auto"/>
            <w:tcBorders>
              <w:top w:val="single" w:sz="4" w:space="0" w:color="1A171C"/>
              <w:left w:val="single" w:sz="4" w:space="0" w:color="1A171C"/>
              <w:bottom w:val="single" w:sz="4" w:space="0" w:color="1A171C"/>
              <w:right w:val="nil"/>
            </w:tcBorders>
          </w:tcPr>
          <w:p w14:paraId="7FE1B3A9" w14:textId="77777777" w:rsidR="00B81226" w:rsidRDefault="00B82AC2">
            <w:pPr>
              <w:pStyle w:val="P68B1DB1-TableParagraph14"/>
              <w:spacing w:before="108"/>
              <w:jc w:val="both"/>
            </w:pPr>
            <w:r>
              <w:t>Kokonaisriskin määrä</w:t>
            </w:r>
          </w:p>
          <w:p w14:paraId="7FE1B3AA" w14:textId="77777777" w:rsidR="00B81226" w:rsidRDefault="00B82AC2">
            <w:pPr>
              <w:pStyle w:val="P68B1DB1-TableParagraph13"/>
              <w:spacing w:before="108"/>
              <w:jc w:val="both"/>
            </w:pPr>
            <w:r>
              <w:t>Kokonaisriskin määrä, siten kuin se on määritelty COREP (OF):ssa: МC 02.00;010;010 010 010 •</w:t>
            </w:r>
          </w:p>
          <w:p w14:paraId="7FE1B3AB" w14:textId="77777777" w:rsidR="00B81226" w:rsidRDefault="00B82AC2">
            <w:pPr>
              <w:pStyle w:val="P68B1DB1-TableParagraph13"/>
              <w:spacing w:before="108"/>
              <w:jc w:val="both"/>
              <w:rPr>
                <w:b/>
              </w:rPr>
            </w:pPr>
            <w:r>
              <w:t>Tätä erää ei raportoida yhteisöistä, jotka eivät ole laitoksia, eikä yhteisöistä, joihin sovelletaan poikkeusta tai vapautusta asetuksen (EU) N:o 575/2013 7 artiklan tai 10 artiklan mukaisesti.</w:t>
            </w:r>
          </w:p>
        </w:tc>
      </w:tr>
      <w:tr w:rsidR="00B81226" w14:paraId="7FE1B3B1" w14:textId="77777777">
        <w:tc>
          <w:tcPr>
            <w:tcW w:w="0" w:type="auto"/>
            <w:tcBorders>
              <w:top w:val="single" w:sz="4" w:space="0" w:color="1A171C"/>
              <w:left w:val="nil"/>
              <w:bottom w:val="single" w:sz="4" w:space="0" w:color="1A171C"/>
              <w:right w:val="single" w:sz="4" w:space="0" w:color="1A171C"/>
            </w:tcBorders>
          </w:tcPr>
          <w:p w14:paraId="7FE1B3AD" w14:textId="47BF222F" w:rsidR="00B81226" w:rsidRDefault="00B82AC2">
            <w:pPr>
              <w:pStyle w:val="P68B1DB1-TableParagraph13"/>
              <w:spacing w:before="106"/>
              <w:ind w:left="-1"/>
            </w:pPr>
            <w:r>
              <w:t>0160</w:t>
            </w:r>
          </w:p>
        </w:tc>
        <w:tc>
          <w:tcPr>
            <w:tcW w:w="0" w:type="auto"/>
            <w:tcBorders>
              <w:top w:val="single" w:sz="4" w:space="0" w:color="1A171C"/>
              <w:left w:val="single" w:sz="4" w:space="0" w:color="1A171C"/>
              <w:bottom w:val="single" w:sz="4" w:space="0" w:color="1A171C"/>
              <w:right w:val="nil"/>
            </w:tcBorders>
          </w:tcPr>
          <w:p w14:paraId="7FE1B3AE" w14:textId="0A8F3447" w:rsidR="00B81226" w:rsidRDefault="00B82AC2">
            <w:pPr>
              <w:pStyle w:val="P68B1DB1-TableParagraph14"/>
              <w:spacing w:before="108"/>
              <w:ind w:left="85"/>
              <w:jc w:val="both"/>
            </w:pPr>
            <w:r>
              <w:t>Vastuiden kokonaismäärä</w:t>
            </w:r>
          </w:p>
          <w:p w14:paraId="7FE1B3AF" w14:textId="32D53B0C" w:rsidR="00B81226" w:rsidRDefault="00B82AC2">
            <w:pPr>
              <w:pStyle w:val="P68B1DB1-TableParagraph13"/>
              <w:spacing w:before="108"/>
              <w:ind w:left="85"/>
              <w:jc w:val="both"/>
            </w:pPr>
            <w:r>
              <w:t>COREP (LR):n mukainen omavaraisuusasteen vastu: ЯC 47.00;0290;0010Я</w:t>
            </w:r>
          </w:p>
          <w:p w14:paraId="7FE1B3B0" w14:textId="77777777" w:rsidR="00B81226" w:rsidRDefault="00B82AC2">
            <w:pPr>
              <w:pStyle w:val="P68B1DB1-TableParagraph13"/>
              <w:spacing w:before="108"/>
              <w:ind w:left="85"/>
              <w:jc w:val="both"/>
            </w:pPr>
            <w:r>
              <w:t>Tätä erää ei raportoida yhteisöistä, jotka eivät ole laitoksia, eikä yhteisöistä, joihin sovelletaan poikkeusta tai vapautusta asetuksen (EU) N:o 575/2013 7 artiklan tai 10 artiklan mukaisesti.</w:t>
            </w:r>
          </w:p>
        </w:tc>
      </w:tr>
      <w:tr w:rsidR="00B81226" w14:paraId="7FE1B3B7" w14:textId="77777777">
        <w:tc>
          <w:tcPr>
            <w:tcW w:w="1064" w:type="dxa"/>
            <w:tcBorders>
              <w:top w:val="single" w:sz="4" w:space="0" w:color="1A171C"/>
              <w:left w:val="nil"/>
              <w:bottom w:val="single" w:sz="4" w:space="0" w:color="1A171C"/>
              <w:right w:val="single" w:sz="4" w:space="0" w:color="1A171C"/>
            </w:tcBorders>
          </w:tcPr>
          <w:p w14:paraId="7FE1B3B2" w14:textId="3946F821" w:rsidR="00B81226" w:rsidRDefault="00B82AC2">
            <w:pPr>
              <w:pStyle w:val="P68B1DB1-TableParagraph13"/>
            </w:pPr>
            <w:r>
              <w:t>0170</w:t>
            </w:r>
          </w:p>
        </w:tc>
        <w:tc>
          <w:tcPr>
            <w:tcW w:w="7962" w:type="dxa"/>
            <w:tcBorders>
              <w:top w:val="single" w:sz="4" w:space="0" w:color="1A171C"/>
              <w:left w:val="single" w:sz="4" w:space="0" w:color="1A171C"/>
              <w:bottom w:val="single" w:sz="4" w:space="0" w:color="1A171C"/>
              <w:right w:val="nil"/>
            </w:tcBorders>
          </w:tcPr>
          <w:p w14:paraId="7FE1B3B3" w14:textId="77777777" w:rsidR="00B81226" w:rsidRDefault="00B82AC2">
            <w:pPr>
              <w:pStyle w:val="P68B1DB1-TableParagraph14"/>
              <w:jc w:val="both"/>
              <w:rPr>
                <w:bCs/>
              </w:rPr>
            </w:pPr>
            <w:r>
              <w:t>Liiketoiminnan tuotot yhteensä</w:t>
            </w:r>
          </w:p>
          <w:p w14:paraId="7FE1B3B4" w14:textId="77777777" w:rsidR="00B81226" w:rsidRDefault="00B81226">
            <w:pPr>
              <w:pStyle w:val="TableParagraph"/>
              <w:jc w:val="both"/>
              <w:rPr>
                <w:rFonts w:ascii="Times New Roman" w:hAnsi="Times New Roman" w:cs="Times New Roman"/>
                <w:b/>
                <w:bCs/>
                <w:color w:val="000000" w:themeColor="text1"/>
                <w:sz w:val="20"/>
                <w:szCs w:val="20"/>
              </w:rPr>
            </w:pPr>
          </w:p>
          <w:p w14:paraId="7FE1B3B5" w14:textId="77777777" w:rsidR="00B81226" w:rsidRDefault="00B82AC2">
            <w:pPr>
              <w:pStyle w:val="P68B1DB1-TableParagraph13"/>
              <w:jc w:val="both"/>
            </w:pPr>
            <w:r>
              <w:t xml:space="preserve">Liiketoiminnan tuotot yhteensä, sellaisena kuin se on määriteltynä FINREP-raportoinnissa (F </w:t>
            </w:r>
            <w:r>
              <w:lastRenderedPageBreak/>
              <w:t>02.00;355;010я)</w:t>
            </w:r>
          </w:p>
          <w:p w14:paraId="7FE1B3B6" w14:textId="77777777" w:rsidR="00B81226" w:rsidRDefault="00B81226">
            <w:pPr>
              <w:pStyle w:val="TableParagraph"/>
              <w:jc w:val="both"/>
              <w:rPr>
                <w:rFonts w:ascii="Times New Roman" w:hAnsi="Times New Roman" w:cs="Times New Roman"/>
                <w:b/>
                <w:bCs/>
                <w:color w:val="000000" w:themeColor="text1"/>
                <w:sz w:val="20"/>
                <w:szCs w:val="20"/>
              </w:rPr>
            </w:pPr>
          </w:p>
        </w:tc>
      </w:tr>
      <w:tr w:rsidR="00B81226" w14:paraId="7FE1B3C2" w14:textId="77777777">
        <w:tc>
          <w:tcPr>
            <w:tcW w:w="0" w:type="auto"/>
            <w:tcBorders>
              <w:top w:val="single" w:sz="4" w:space="0" w:color="1A171C"/>
              <w:left w:val="nil"/>
              <w:bottom w:val="single" w:sz="4" w:space="0" w:color="1A171C"/>
              <w:right w:val="single" w:sz="4" w:space="0" w:color="1A171C"/>
            </w:tcBorders>
          </w:tcPr>
          <w:p w14:paraId="7FE1B3BD" w14:textId="66D829AD" w:rsidR="00B81226" w:rsidRDefault="00B82AC2">
            <w:pPr>
              <w:pStyle w:val="P68B1DB1-TableParagraph13"/>
              <w:spacing w:before="106"/>
              <w:ind w:left="-1"/>
            </w:pPr>
            <w:r>
              <w:lastRenderedPageBreak/>
              <w:t>0210</w:t>
            </w:r>
          </w:p>
        </w:tc>
        <w:tc>
          <w:tcPr>
            <w:tcW w:w="0" w:type="auto"/>
            <w:tcBorders>
              <w:top w:val="single" w:sz="4" w:space="0" w:color="1A171C"/>
              <w:left w:val="single" w:sz="4" w:space="0" w:color="1A171C"/>
              <w:bottom w:val="single" w:sz="4" w:space="0" w:color="1A171C"/>
              <w:right w:val="nil"/>
            </w:tcBorders>
          </w:tcPr>
          <w:p w14:paraId="7FE1B3BE" w14:textId="77777777" w:rsidR="00B81226" w:rsidRDefault="00B82AC2">
            <w:pPr>
              <w:pStyle w:val="P68B1DB1-TableParagraph14"/>
              <w:spacing w:before="108"/>
              <w:jc w:val="both"/>
            </w:pPr>
            <w:r>
              <w:t>Tilinpäätösstandardi</w:t>
            </w:r>
          </w:p>
          <w:p w14:paraId="7FE1B3BF" w14:textId="77777777" w:rsidR="00B81226" w:rsidRDefault="00B82AC2">
            <w:pPr>
              <w:pStyle w:val="P68B1DB1-TableParagraph13"/>
              <w:spacing w:before="108"/>
              <w:jc w:val="both"/>
            </w:pPr>
            <w:r>
              <w:t>Yhteisön soveltamat tilinpäätösstandardit. Ilmoittamisessa käytetään seuraavia lyhenteitä:</w:t>
            </w:r>
          </w:p>
          <w:p w14:paraId="7FE1B3C0" w14:textId="77777777" w:rsidR="00B81226" w:rsidRDefault="00B82AC2">
            <w:pPr>
              <w:pStyle w:val="P68B1DB1-TableParagraph13"/>
              <w:numPr>
                <w:ilvl w:val="0"/>
                <w:numId w:val="68"/>
              </w:numPr>
              <w:spacing w:before="108"/>
              <w:jc w:val="both"/>
            </w:pPr>
            <w:r>
              <w:t>IFRS-STANDARDIT</w:t>
            </w:r>
          </w:p>
          <w:p w14:paraId="7FE1B3C1" w14:textId="77777777" w:rsidR="00B81226" w:rsidRDefault="00B82AC2">
            <w:pPr>
              <w:pStyle w:val="P68B1DB1-TableParagraph13"/>
              <w:numPr>
                <w:ilvl w:val="0"/>
                <w:numId w:val="68"/>
              </w:numPr>
              <w:spacing w:before="108"/>
              <w:jc w:val="both"/>
            </w:pPr>
            <w:r>
              <w:t>nGAAP</w:t>
            </w:r>
          </w:p>
        </w:tc>
      </w:tr>
      <w:tr w:rsidR="00B81226" w14:paraId="7FE1B3D6" w14:textId="77777777">
        <w:tc>
          <w:tcPr>
            <w:tcW w:w="0" w:type="auto"/>
            <w:tcBorders>
              <w:top w:val="single" w:sz="4" w:space="0" w:color="1A171C"/>
              <w:left w:val="nil"/>
              <w:bottom w:val="single" w:sz="4" w:space="0" w:color="1A171C"/>
              <w:right w:val="single" w:sz="4" w:space="0" w:color="1A171C"/>
            </w:tcBorders>
          </w:tcPr>
          <w:p w14:paraId="7FE1B3D3" w14:textId="4630F860" w:rsidR="00B81226" w:rsidRDefault="00B82AC2">
            <w:pPr>
              <w:pStyle w:val="P68B1DB1-TableParagraph13"/>
              <w:spacing w:before="106"/>
              <w:ind w:left="-1"/>
            </w:pPr>
            <w:r>
              <w:t>0260</w:t>
            </w:r>
          </w:p>
        </w:tc>
        <w:tc>
          <w:tcPr>
            <w:tcW w:w="0" w:type="auto"/>
            <w:tcBorders>
              <w:top w:val="single" w:sz="4" w:space="0" w:color="1A171C"/>
              <w:left w:val="single" w:sz="4" w:space="0" w:color="1A171C"/>
              <w:bottom w:val="single" w:sz="4" w:space="0" w:color="1A171C"/>
              <w:right w:val="nil"/>
            </w:tcBorders>
          </w:tcPr>
          <w:p w14:paraId="7FE1B3D4" w14:textId="5FB54654" w:rsidR="00B81226" w:rsidRDefault="00B82AC2">
            <w:pPr>
              <w:pStyle w:val="P68B1DB1-TableParagraph14"/>
              <w:spacing w:before="108"/>
              <w:jc w:val="both"/>
            </w:pPr>
            <w:r>
              <w:t xml:space="preserve">Osuus konsolidoidusta kokonaisriskin määrästä </w:t>
            </w:r>
          </w:p>
          <w:p w14:paraId="7FE1B3D5" w14:textId="77777777" w:rsidR="00B81226" w:rsidRDefault="00B82AC2">
            <w:pPr>
              <w:pStyle w:val="P68B1DB1-TableParagraph13"/>
              <w:spacing w:before="108"/>
              <w:jc w:val="both"/>
              <w:rPr>
                <w:b/>
              </w:rPr>
            </w:pPr>
            <w:r>
              <w:t xml:space="preserve">Määrä, joka on yhteisön osuus ilmoitetusta konsernin konsolidoidusta kokonaisriskin määrästä. </w:t>
            </w:r>
          </w:p>
        </w:tc>
      </w:tr>
      <w:tr w:rsidR="00B81226" w14:paraId="7FE1B3DA" w14:textId="77777777">
        <w:trPr>
          <w:trHeight w:val="749"/>
        </w:trPr>
        <w:tc>
          <w:tcPr>
            <w:tcW w:w="0" w:type="auto"/>
            <w:tcBorders>
              <w:top w:val="single" w:sz="4" w:space="0" w:color="1A171C"/>
              <w:left w:val="nil"/>
              <w:bottom w:val="single" w:sz="4" w:space="0" w:color="1A171C"/>
              <w:right w:val="single" w:sz="4" w:space="0" w:color="1A171C"/>
            </w:tcBorders>
          </w:tcPr>
          <w:p w14:paraId="7FE1B3D7" w14:textId="6D78C08C" w:rsidR="00B81226" w:rsidRDefault="00B82AC2">
            <w:pPr>
              <w:pStyle w:val="P68B1DB1-TableParagraph13"/>
              <w:spacing w:before="106"/>
              <w:ind w:left="-1"/>
            </w:pPr>
            <w:r>
              <w:t>0270</w:t>
            </w:r>
          </w:p>
        </w:tc>
        <w:tc>
          <w:tcPr>
            <w:tcW w:w="0" w:type="auto"/>
            <w:tcBorders>
              <w:top w:val="single" w:sz="4" w:space="0" w:color="1A171C"/>
              <w:left w:val="single" w:sz="4" w:space="0" w:color="1A171C"/>
              <w:bottom w:val="single" w:sz="4" w:space="0" w:color="1A171C"/>
              <w:right w:val="nil"/>
            </w:tcBorders>
          </w:tcPr>
          <w:p w14:paraId="7FE1B3D8" w14:textId="5A329240" w:rsidR="00B81226" w:rsidRDefault="00B82AC2">
            <w:pPr>
              <w:pStyle w:val="P68B1DB1-TableParagraph14"/>
              <w:spacing w:before="108"/>
              <w:ind w:left="85"/>
              <w:jc w:val="both"/>
            </w:pPr>
            <w:r>
              <w:t>Osuus vastuiden konsolidoidusta kokonaismäärästä</w:t>
            </w:r>
          </w:p>
          <w:p w14:paraId="7FE1B3D9" w14:textId="61219862" w:rsidR="00B81226" w:rsidRDefault="00B82AC2">
            <w:pPr>
              <w:pStyle w:val="P68B1DB1-TableParagraph13"/>
              <w:spacing w:before="108"/>
              <w:ind w:left="85"/>
              <w:jc w:val="both"/>
              <w:rPr>
                <w:b/>
              </w:rPr>
            </w:pPr>
            <w:r>
              <w:t>Määrä, joka on yhteisön osuus ilmoitetusta konsernin kokonaisriskeistä.</w:t>
            </w:r>
          </w:p>
        </w:tc>
      </w:tr>
      <w:tr w:rsidR="00B81226" w14:paraId="7FE1B3DF" w14:textId="77777777">
        <w:trPr>
          <w:trHeight w:val="749"/>
        </w:trPr>
        <w:tc>
          <w:tcPr>
            <w:tcW w:w="1064" w:type="dxa"/>
            <w:tcBorders>
              <w:top w:val="single" w:sz="4" w:space="0" w:color="1A171C"/>
              <w:left w:val="nil"/>
              <w:bottom w:val="single" w:sz="4" w:space="0" w:color="1A171C"/>
              <w:right w:val="single" w:sz="4" w:space="0" w:color="1A171C"/>
            </w:tcBorders>
          </w:tcPr>
          <w:p w14:paraId="7FE1B3DB" w14:textId="60DFE076" w:rsidR="00B81226" w:rsidRDefault="00B82AC2">
            <w:pPr>
              <w:pStyle w:val="P68B1DB1-TableParagraph13"/>
            </w:pPr>
            <w:r>
              <w:t>0280</w:t>
            </w:r>
          </w:p>
        </w:tc>
        <w:tc>
          <w:tcPr>
            <w:tcW w:w="7962" w:type="dxa"/>
            <w:tcBorders>
              <w:top w:val="single" w:sz="4" w:space="0" w:color="1A171C"/>
              <w:left w:val="single" w:sz="4" w:space="0" w:color="1A171C"/>
              <w:bottom w:val="single" w:sz="4" w:space="0" w:color="1A171C"/>
              <w:right w:val="nil"/>
            </w:tcBorders>
          </w:tcPr>
          <w:p w14:paraId="7FE1B3DC" w14:textId="75821A54" w:rsidR="00B81226" w:rsidRDefault="00B82AC2">
            <w:pPr>
              <w:pStyle w:val="P68B1DB1-TableParagraph14"/>
              <w:jc w:val="both"/>
              <w:rPr>
                <w:bCs/>
              </w:rPr>
            </w:pPr>
            <w:r>
              <w:t>Osuus konsernin liiketoiminnan tuotosta</w:t>
            </w:r>
          </w:p>
          <w:p w14:paraId="7FE1B3DD" w14:textId="77777777" w:rsidR="00B81226" w:rsidRDefault="00B81226">
            <w:pPr>
              <w:pStyle w:val="TableParagraph"/>
              <w:jc w:val="both"/>
              <w:rPr>
                <w:rFonts w:ascii="Times New Roman" w:hAnsi="Times New Roman" w:cs="Times New Roman"/>
                <w:color w:val="000000" w:themeColor="text1"/>
                <w:sz w:val="20"/>
                <w:szCs w:val="20"/>
              </w:rPr>
            </w:pPr>
          </w:p>
          <w:p w14:paraId="7FE1B3DE" w14:textId="1B38FEC1" w:rsidR="00B81226" w:rsidRDefault="00B82AC2">
            <w:pPr>
              <w:pStyle w:val="P68B1DB1-TableParagraph13"/>
              <w:jc w:val="both"/>
            </w:pPr>
            <w:r>
              <w:t>Määrä, joka on yhteisön osuus ilmoitetusta konsernin konsolidoidusta liikevoittoa koskevasta kokonaismäärästä.</w:t>
            </w:r>
          </w:p>
        </w:tc>
      </w:tr>
      <w:tr w:rsidR="00B81226" w14:paraId="7FE1B3F3" w14:textId="77777777">
        <w:tc>
          <w:tcPr>
            <w:tcW w:w="0" w:type="auto"/>
            <w:tcBorders>
              <w:top w:val="single" w:sz="4" w:space="0" w:color="1A171C"/>
              <w:left w:val="nil"/>
              <w:bottom w:val="single" w:sz="4" w:space="0" w:color="1A171C"/>
              <w:right w:val="single" w:sz="4" w:space="0" w:color="1A171C"/>
            </w:tcBorders>
          </w:tcPr>
          <w:p w14:paraId="7FE1B3EF" w14:textId="434D8A04" w:rsidR="00B81226" w:rsidRDefault="00B82AC2">
            <w:pPr>
              <w:pStyle w:val="P68B1DB1-TableParagraph13"/>
              <w:spacing w:before="106"/>
              <w:ind w:left="-1"/>
            </w:pPr>
            <w:r>
              <w:t>0320</w:t>
            </w:r>
          </w:p>
        </w:tc>
        <w:tc>
          <w:tcPr>
            <w:tcW w:w="0" w:type="auto"/>
            <w:tcBorders>
              <w:top w:val="single" w:sz="4" w:space="0" w:color="1A171C"/>
              <w:left w:val="single" w:sz="4" w:space="0" w:color="1A171C"/>
              <w:bottom w:val="single" w:sz="4" w:space="0" w:color="1A171C"/>
              <w:right w:val="nil"/>
            </w:tcBorders>
          </w:tcPr>
          <w:p w14:paraId="7FE1B3F0" w14:textId="3CC98567" w:rsidR="00B81226" w:rsidRDefault="00B82AC2">
            <w:pPr>
              <w:pStyle w:val="P68B1DB1-TableParagraph14"/>
              <w:spacing w:before="108"/>
              <w:ind w:left="85"/>
              <w:jc w:val="both"/>
              <w:rPr>
                <w:bCs/>
              </w:rPr>
            </w:pPr>
            <w:r>
              <w:t>Merkityksellinen oikeushenkilö</w:t>
            </w:r>
          </w:p>
          <w:p w14:paraId="7FE1B3F1" w14:textId="75C7B029" w:rsidR="00B81226" w:rsidRDefault="00B82AC2">
            <w:pPr>
              <w:pStyle w:val="P68B1DB1-TableParagraph13"/>
              <w:spacing w:before="108"/>
              <w:jc w:val="both"/>
            </w:pPr>
            <w:r>
              <w:t>Se, onko yhteisö tämän asetuksen 1 artiklassa esitetyn määritelmän mukainen merkityksellinen oikeushenkilö.</w:t>
            </w:r>
          </w:p>
          <w:p w14:paraId="7FE1B3F2" w14:textId="0E42CD28" w:rsidR="00B81226" w:rsidRDefault="00B81226">
            <w:pPr>
              <w:pStyle w:val="TableParagraph"/>
              <w:spacing w:before="108"/>
              <w:jc w:val="both"/>
              <w:rPr>
                <w:rFonts w:ascii="Times New Roman" w:hAnsi="Times New Roman" w:cs="Times New Roman"/>
                <w:color w:val="000000" w:themeColor="text1"/>
                <w:sz w:val="20"/>
                <w:szCs w:val="20"/>
              </w:rPr>
            </w:pPr>
          </w:p>
        </w:tc>
      </w:tr>
    </w:tbl>
    <w:p w14:paraId="7FE1B491" w14:textId="77777777" w:rsidR="00B81226" w:rsidRDefault="00B81226">
      <w:pPr>
        <w:rPr>
          <w:rFonts w:ascii="Times New Roman" w:hAnsi="Times New Roman" w:cs="Times New Roman"/>
        </w:rPr>
      </w:pPr>
    </w:p>
    <w:p w14:paraId="7FE1B492" w14:textId="77777777" w:rsidR="00B81226" w:rsidRDefault="00B82AC2">
      <w:pPr>
        <w:pStyle w:val="P68B1DB1-Instructionsberschrift25"/>
        <w:numPr>
          <w:ilvl w:val="1"/>
          <w:numId w:val="49"/>
        </w:numPr>
        <w:ind w:left="357" w:hanging="357"/>
      </w:pPr>
      <w:bookmarkStart w:id="22" w:name="_Toc81454178"/>
      <w:bookmarkStart w:id="23" w:name="_Toc208245434"/>
      <w:r>
        <w:t>Z 01.02 – Omistusrakenne (ORG 2)</w:t>
      </w:r>
      <w:bookmarkEnd w:id="22"/>
      <w:bookmarkEnd w:id="23"/>
    </w:p>
    <w:p w14:paraId="7FE1B493" w14:textId="77777777" w:rsidR="00B81226" w:rsidRDefault="00B82AC2">
      <w:pPr>
        <w:pStyle w:val="Instructionsberschrift3"/>
      </w:pPr>
      <w:r>
        <w:t>Yleiset huomautukset</w:t>
      </w:r>
    </w:p>
    <w:p w14:paraId="50A00AA9" w14:textId="77777777" w:rsidR="00B81226" w:rsidRDefault="00B82AC2">
      <w:pPr>
        <w:pStyle w:val="P68B1DB1-InstructionsText26"/>
        <w:numPr>
          <w:ilvl w:val="0"/>
          <w:numId w:val="234"/>
        </w:numPr>
        <w:spacing w:before="0"/>
      </w:pPr>
      <w:r>
        <w:t xml:space="preserve">Tässä lomakkeessa esitetään yhteenveto konsernin oikeudellisesta muodosta ja omistusrakenteesta. Kaikista kirjanpidollisen konsolidoinnin piiriin kuuluvista konserniyhteisöistä on toimitettava yksi lomake. </w:t>
      </w:r>
    </w:p>
    <w:p w14:paraId="7FE1B494" w14:textId="57A6BCE4" w:rsidR="00B81226" w:rsidRDefault="00B82AC2">
      <w:pPr>
        <w:pStyle w:val="P68B1DB1-InstructionsText26"/>
        <w:numPr>
          <w:ilvl w:val="0"/>
          <w:numId w:val="234"/>
        </w:numPr>
        <w:spacing w:before="0"/>
      </w:pPr>
      <w:r>
        <w:t xml:space="preserve">Myös kriisinratkaisun kohteena olevien yhteisöjen, jotka eivät kuulu konsolidoidun valvonnan piiriin kuuluvaan konserniin, odotetaan toimittavan tämän kertomuksen. </w:t>
      </w:r>
    </w:p>
    <w:p w14:paraId="7FE1B496" w14:textId="77777777" w:rsidR="00B81226" w:rsidRDefault="00B82AC2">
      <w:pPr>
        <w:pStyle w:val="P68B1DB1-InstructionsText26"/>
        <w:numPr>
          <w:ilvl w:val="0"/>
          <w:numId w:val="234"/>
        </w:numPr>
        <w:spacing w:before="0"/>
      </w:pPr>
      <w:r>
        <w:t>Tässä lomakkeessa luetellaan kaikki konsernin yhteisöjen osakkeenomistajat (tai vastaavat), joilla on yli 2 prosenttia osakepääomasta (tai vastaava osuus) tai äänioikeuksista, sekä kaikki ryhmän yhteisöjen hallussa olevat omistusosuudet (tai vastaavat).</w:t>
      </w:r>
    </w:p>
    <w:p w14:paraId="7FE1B497" w14:textId="77777777" w:rsidR="00B81226" w:rsidRDefault="00B82AC2">
      <w:pPr>
        <w:pStyle w:val="P68B1DB1-Instructionsberschrift312"/>
      </w:pPr>
      <w:r>
        <w:t>Tiettyjä kohtia koskevat ohjeet</w:t>
      </w:r>
    </w:p>
    <w:tbl>
      <w:tblPr>
        <w:tblW w:w="0" w:type="auto"/>
        <w:tblCellMar>
          <w:top w:w="57" w:type="dxa"/>
          <w:left w:w="57" w:type="dxa"/>
          <w:bottom w:w="57" w:type="dxa"/>
          <w:right w:w="0" w:type="dxa"/>
        </w:tblCellMar>
        <w:tblLook w:val="01E0" w:firstRow="1" w:lastRow="1" w:firstColumn="1" w:lastColumn="1" w:noHBand="0" w:noVBand="0"/>
      </w:tblPr>
      <w:tblGrid>
        <w:gridCol w:w="889"/>
        <w:gridCol w:w="8137"/>
      </w:tblGrid>
      <w:tr w:rsidR="00B81226" w14:paraId="7FE1B49B"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499" w14:textId="77777777" w:rsidR="00B81226" w:rsidRDefault="00B82AC2">
            <w:pPr>
              <w:pStyle w:val="P68B1DB1-TableParagraph13"/>
              <w:spacing w:before="66"/>
              <w:rPr>
                <w:rFonts w:eastAsia="Cambria"/>
              </w:rPr>
            </w:pPr>
            <w:r>
              <w:t>Sarakkeet</w:t>
            </w:r>
          </w:p>
        </w:tc>
        <w:tc>
          <w:tcPr>
            <w:tcW w:w="0" w:type="auto"/>
            <w:tcBorders>
              <w:top w:val="single" w:sz="4" w:space="0" w:color="1A171C"/>
              <w:left w:val="single" w:sz="4" w:space="0" w:color="1A171C"/>
              <w:bottom w:val="single" w:sz="4" w:space="0" w:color="1A171C"/>
              <w:right w:val="nil"/>
            </w:tcBorders>
            <w:shd w:val="clear" w:color="auto" w:fill="E4E5E5"/>
          </w:tcPr>
          <w:p w14:paraId="7FE1B49A" w14:textId="77777777" w:rsidR="00B81226" w:rsidRDefault="00B82AC2">
            <w:pPr>
              <w:pStyle w:val="P68B1DB1-TableParagraph13"/>
              <w:spacing w:before="66"/>
              <w:ind w:right="1"/>
              <w:jc w:val="center"/>
              <w:rPr>
                <w:rFonts w:eastAsia="Cambria"/>
              </w:rPr>
            </w:pPr>
            <w:r>
              <w:t>Ohjeet</w:t>
            </w:r>
          </w:p>
        </w:tc>
      </w:tr>
      <w:tr w:rsidR="00B81226" w14:paraId="7FE1B49E" w14:textId="77777777">
        <w:tc>
          <w:tcPr>
            <w:tcW w:w="0" w:type="auto"/>
            <w:tcBorders>
              <w:top w:val="single" w:sz="4" w:space="0" w:color="1A171C"/>
              <w:left w:val="nil"/>
              <w:bottom w:val="single" w:sz="4" w:space="0" w:color="1A171C"/>
              <w:right w:val="single" w:sz="4" w:space="0" w:color="1A171C"/>
            </w:tcBorders>
          </w:tcPr>
          <w:p w14:paraId="7FE1B49C" w14:textId="77777777" w:rsidR="00B81226" w:rsidRDefault="00B82AC2">
            <w:pPr>
              <w:pStyle w:val="P68B1DB1-TableParagraph14"/>
              <w:spacing w:before="106"/>
              <w:ind w:left="-1"/>
              <w:rPr>
                <w:rFonts w:eastAsia="Cambria"/>
              </w:rPr>
            </w:pPr>
            <w:r>
              <w:t>0010–030</w:t>
            </w:r>
          </w:p>
        </w:tc>
        <w:tc>
          <w:tcPr>
            <w:tcW w:w="0" w:type="auto"/>
            <w:tcBorders>
              <w:top w:val="single" w:sz="4" w:space="0" w:color="1A171C"/>
              <w:left w:val="single" w:sz="4" w:space="0" w:color="1A171C"/>
              <w:bottom w:val="single" w:sz="4" w:space="0" w:color="1A171C"/>
              <w:right w:val="nil"/>
            </w:tcBorders>
          </w:tcPr>
          <w:p w14:paraId="7FE1B49D" w14:textId="77777777" w:rsidR="00B81226" w:rsidRDefault="00B82AC2">
            <w:pPr>
              <w:pStyle w:val="P68B1DB1-TableParagraph14"/>
              <w:spacing w:before="108"/>
              <w:ind w:left="85"/>
            </w:pPr>
            <w:r>
              <w:t>Investoija</w:t>
            </w:r>
          </w:p>
        </w:tc>
      </w:tr>
      <w:tr w:rsidR="00B81226" w14:paraId="7FE1B4A2" w14:textId="77777777">
        <w:tc>
          <w:tcPr>
            <w:tcW w:w="0" w:type="auto"/>
            <w:tcBorders>
              <w:top w:val="single" w:sz="4" w:space="0" w:color="1A171C"/>
              <w:left w:val="nil"/>
              <w:bottom w:val="single" w:sz="4" w:space="0" w:color="1A171C"/>
              <w:right w:val="single" w:sz="4" w:space="0" w:color="1A171C"/>
            </w:tcBorders>
          </w:tcPr>
          <w:p w14:paraId="7FE1B49F" w14:textId="77777777" w:rsidR="00B81226" w:rsidRDefault="00B82AC2">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vAlign w:val="center"/>
          </w:tcPr>
          <w:p w14:paraId="7FE1B4A0" w14:textId="77777777" w:rsidR="00B81226" w:rsidRDefault="00B82AC2">
            <w:pPr>
              <w:pStyle w:val="P68B1DB1-TableParagraph14"/>
              <w:spacing w:before="108"/>
              <w:ind w:left="85"/>
              <w:jc w:val="both"/>
              <w:rPr>
                <w:bCs/>
              </w:rPr>
            </w:pPr>
            <w:r>
              <w:t xml:space="preserve">Nimi </w:t>
            </w:r>
          </w:p>
          <w:p w14:paraId="7FE1B4A1" w14:textId="77777777" w:rsidR="00B81226" w:rsidRDefault="00B82AC2">
            <w:pPr>
              <w:pStyle w:val="P68B1DB1-TableParagraph17"/>
              <w:spacing w:before="108"/>
              <w:ind w:left="85"/>
              <w:rPr>
                <w:rFonts w:eastAsia="Book Antiqua"/>
              </w:rPr>
            </w:pPr>
            <w:r>
              <w:t>Sijoittajan koko nimi.</w:t>
            </w:r>
          </w:p>
        </w:tc>
      </w:tr>
      <w:tr w:rsidR="00B81226" w14:paraId="7FE1B4AA" w14:textId="77777777">
        <w:tc>
          <w:tcPr>
            <w:tcW w:w="0" w:type="auto"/>
            <w:tcBorders>
              <w:top w:val="single" w:sz="4" w:space="0" w:color="1A171C"/>
              <w:left w:val="nil"/>
              <w:bottom w:val="single" w:sz="4" w:space="0" w:color="1A171C"/>
              <w:right w:val="single" w:sz="4" w:space="0" w:color="1A171C"/>
            </w:tcBorders>
          </w:tcPr>
          <w:p w14:paraId="7FE1B4A3" w14:textId="77777777" w:rsidR="00B81226" w:rsidRDefault="00B82AC2">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vAlign w:val="center"/>
          </w:tcPr>
          <w:p w14:paraId="7FE1B4A4" w14:textId="77777777" w:rsidR="00B81226" w:rsidRDefault="00B82AC2">
            <w:pPr>
              <w:pStyle w:val="P68B1DB1-TableParagraph14"/>
              <w:spacing w:before="108"/>
              <w:ind w:left="85"/>
              <w:jc w:val="both"/>
              <w:rPr>
                <w:bCs/>
              </w:rPr>
            </w:pPr>
            <w:r>
              <w:t xml:space="preserve">Koodi </w:t>
            </w:r>
          </w:p>
          <w:p w14:paraId="7FE1B4A5" w14:textId="77777777" w:rsidR="00B81226" w:rsidRDefault="00B82AC2">
            <w:pPr>
              <w:pStyle w:val="P68B1DB1-TableParagraph17"/>
              <w:spacing w:before="108"/>
              <w:ind w:left="85"/>
            </w:pPr>
            <w:r>
              <w:lastRenderedPageBreak/>
              <w:t>Sarakkeessa 0010 tarkoitetun oikeushenkilön tai sijoittajan yksilöllinen tunniste.</w:t>
            </w:r>
          </w:p>
          <w:p w14:paraId="7FE1B4A6" w14:textId="77777777" w:rsidR="00B81226" w:rsidRDefault="00B82AC2">
            <w:pPr>
              <w:pStyle w:val="P68B1DB1-TableParagraph17"/>
              <w:spacing w:before="108"/>
              <w:ind w:left="85"/>
            </w:pPr>
            <w:r>
              <w:t>Jos sijoittaja on konserniyhteisö, koodin on oltava sama kuin se, joka on ilmoitettu lomakkeessa Z 01.01 (ORG 1). Jos sijoittaja ei ole konserniyhteisö, kyseisen yhteisön koodin on oltava</w:t>
            </w:r>
          </w:p>
          <w:p w14:paraId="7FE1B4A7" w14:textId="77777777" w:rsidR="00B81226" w:rsidRDefault="00B82AC2">
            <w:pPr>
              <w:pStyle w:val="P68B1DB1-TableParagraph17"/>
              <w:numPr>
                <w:ilvl w:val="0"/>
                <w:numId w:val="64"/>
              </w:numPr>
              <w:spacing w:before="108"/>
            </w:pPr>
            <w:r>
              <w:t>laitoksista, joilla on oikeushenkilötunnus (LEI), 20-merkkinen aakkosnumeerinen LEI-tunnus;</w:t>
            </w:r>
          </w:p>
          <w:p w14:paraId="7FE1B4A8" w14:textId="7457E21A" w:rsidR="00B81226" w:rsidRDefault="00B82AC2">
            <w:pPr>
              <w:pStyle w:val="P68B1DB1-TableParagraph17"/>
              <w:numPr>
                <w:ilvl w:val="0"/>
                <w:numId w:val="64"/>
              </w:numPr>
              <w:spacing w:before="108"/>
            </w:pPr>
            <w:r>
              <w:t>jos sellaista ei ole, käytetään rahalaitoskoodia tai unionissa sovellettavan yhtenäisen koodin mukaista koodia.</w:t>
            </w:r>
          </w:p>
          <w:p w14:paraId="7FE1B4A9" w14:textId="77777777" w:rsidR="00B81226" w:rsidRDefault="00B82AC2">
            <w:pPr>
              <w:pStyle w:val="P68B1DB1-TableParagraph17"/>
              <w:spacing w:before="108"/>
              <w:ind w:left="85"/>
            </w:pPr>
            <w:r>
              <w:t>Molemmissa tapauksissa koodi on oltava yksilöllinen, ja sitä on käytettävä johdonmukaisesti lomakkeissa.</w:t>
            </w:r>
          </w:p>
        </w:tc>
      </w:tr>
      <w:tr w:rsidR="00B81226" w14:paraId="7FE1B4B3" w14:textId="77777777">
        <w:tc>
          <w:tcPr>
            <w:tcW w:w="0" w:type="auto"/>
            <w:tcBorders>
              <w:top w:val="single" w:sz="4" w:space="0" w:color="1A171C"/>
              <w:left w:val="nil"/>
              <w:bottom w:val="single" w:sz="4" w:space="0" w:color="1A171C"/>
              <w:right w:val="single" w:sz="4" w:space="0" w:color="1A171C"/>
            </w:tcBorders>
          </w:tcPr>
          <w:p w14:paraId="7FE1B4AB" w14:textId="77777777" w:rsidR="00B81226" w:rsidRDefault="00B82AC2">
            <w:pPr>
              <w:pStyle w:val="P68B1DB1-TableParagraph13"/>
              <w:spacing w:before="106"/>
              <w:ind w:left="-1"/>
            </w:pPr>
            <w:r>
              <w:lastRenderedPageBreak/>
              <w:t>0030</w:t>
            </w:r>
          </w:p>
        </w:tc>
        <w:tc>
          <w:tcPr>
            <w:tcW w:w="0" w:type="auto"/>
            <w:tcBorders>
              <w:top w:val="single" w:sz="4" w:space="0" w:color="1A171C"/>
              <w:left w:val="single" w:sz="4" w:space="0" w:color="1A171C"/>
              <w:bottom w:val="single" w:sz="4" w:space="0" w:color="1A171C"/>
              <w:right w:val="nil"/>
            </w:tcBorders>
            <w:vAlign w:val="center"/>
          </w:tcPr>
          <w:p w14:paraId="7FE1B4AC" w14:textId="77777777" w:rsidR="00B81226" w:rsidRDefault="00B82AC2">
            <w:pPr>
              <w:pStyle w:val="P68B1DB1-TableParagraph14"/>
              <w:spacing w:before="108"/>
              <w:ind w:left="85"/>
              <w:jc w:val="both"/>
              <w:rPr>
                <w:bCs/>
              </w:rPr>
            </w:pPr>
            <w:r>
              <w:t>Koodin tyyppi</w:t>
            </w:r>
          </w:p>
          <w:p w14:paraId="560AED27" w14:textId="77777777" w:rsidR="00B81226" w:rsidRDefault="00B82AC2">
            <w:pPr>
              <w:pStyle w:val="P68B1DB1-Normal18"/>
            </w:pPr>
            <w:r>
              <w:t xml:space="preserve">Jos sijoittaja on konserniyhteisö, koodin on oltava sama kuin se, joka on ilmoitettu lomakkeessa Z 01.01 (ORG 1). </w:t>
            </w:r>
          </w:p>
          <w:p w14:paraId="2DC78FBF" w14:textId="77777777" w:rsidR="00B81226" w:rsidRDefault="00B81226">
            <w:pPr>
              <w:rPr>
                <w:rFonts w:ascii="Times New Roman" w:hAnsi="Times New Roman" w:cs="Times New Roman"/>
                <w:sz w:val="20"/>
                <w:szCs w:val="20"/>
              </w:rPr>
            </w:pPr>
          </w:p>
          <w:p w14:paraId="3C91DA4D" w14:textId="535D128A" w:rsidR="00B81226" w:rsidRDefault="00B82AC2">
            <w:pPr>
              <w:pStyle w:val="P68B1DB1-Normal19"/>
              <w:rPr>
                <w:rFonts w:eastAsiaTheme="minorHAnsi"/>
              </w:rPr>
            </w:pPr>
            <w:r>
              <w:t>Tässä on valittava seuraavista vaihtoehdoista: LEI-tunnus, MFI-tunnus tai muu tunnisteen tyyppi kuin LEI- tai MFI-tunnus</w:t>
            </w:r>
          </w:p>
          <w:p w14:paraId="7FE1B4B2" w14:textId="77777777" w:rsidR="00B81226" w:rsidRDefault="00B82AC2">
            <w:pPr>
              <w:pStyle w:val="P68B1DB1-TableParagraph17"/>
              <w:spacing w:before="108"/>
            </w:pPr>
            <w:r>
              <w:t>Yhteisöjen tai sijoittajien tunnistamiseksi on käytettävä koodi- ja tyyppiparia johdonmukaisesti kaikissa lomakkeissa.</w:t>
            </w:r>
          </w:p>
        </w:tc>
      </w:tr>
      <w:tr w:rsidR="00B81226" w14:paraId="7FE1B4B6" w14:textId="77777777">
        <w:tc>
          <w:tcPr>
            <w:tcW w:w="0" w:type="auto"/>
            <w:tcBorders>
              <w:top w:val="single" w:sz="4" w:space="0" w:color="1A171C"/>
              <w:left w:val="nil"/>
              <w:bottom w:val="single" w:sz="4" w:space="0" w:color="1A171C"/>
              <w:right w:val="single" w:sz="4" w:space="0" w:color="1A171C"/>
            </w:tcBorders>
          </w:tcPr>
          <w:p w14:paraId="7FE1B4B4" w14:textId="106DD83A" w:rsidR="00B81226" w:rsidRDefault="00B82AC2">
            <w:pPr>
              <w:pStyle w:val="P68B1DB1-TableParagraph13"/>
              <w:spacing w:before="106"/>
              <w:ind w:left="-1"/>
            </w:pPr>
            <w:r>
              <w:t>0040–070</w:t>
            </w:r>
          </w:p>
        </w:tc>
        <w:tc>
          <w:tcPr>
            <w:tcW w:w="0" w:type="auto"/>
            <w:tcBorders>
              <w:top w:val="single" w:sz="4" w:space="0" w:color="1A171C"/>
              <w:left w:val="single" w:sz="4" w:space="0" w:color="1A171C"/>
              <w:bottom w:val="single" w:sz="4" w:space="0" w:color="1A171C"/>
              <w:right w:val="nil"/>
            </w:tcBorders>
            <w:vAlign w:val="center"/>
          </w:tcPr>
          <w:p w14:paraId="7FE1B4B5" w14:textId="77777777" w:rsidR="00B81226" w:rsidRDefault="00B82AC2">
            <w:pPr>
              <w:pStyle w:val="P68B1DB1-TableParagraph14"/>
              <w:spacing w:before="108"/>
              <w:ind w:left="85"/>
              <w:jc w:val="both"/>
              <w:rPr>
                <w:bCs/>
              </w:rPr>
            </w:pPr>
            <w:r>
              <w:t>Sijoituskohde</w:t>
            </w:r>
          </w:p>
        </w:tc>
      </w:tr>
      <w:tr w:rsidR="00B81226" w14:paraId="7FE1B4BA" w14:textId="77777777">
        <w:tc>
          <w:tcPr>
            <w:tcW w:w="0" w:type="auto"/>
            <w:tcBorders>
              <w:top w:val="single" w:sz="4" w:space="0" w:color="1A171C"/>
              <w:left w:val="nil"/>
              <w:bottom w:val="single" w:sz="4" w:space="0" w:color="1A171C"/>
              <w:right w:val="single" w:sz="4" w:space="0" w:color="1A171C"/>
            </w:tcBorders>
          </w:tcPr>
          <w:p w14:paraId="7FE1B4B7" w14:textId="610CD32E" w:rsidR="00B81226" w:rsidRDefault="00B82AC2">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vAlign w:val="center"/>
          </w:tcPr>
          <w:p w14:paraId="7FE1B4B8" w14:textId="77777777" w:rsidR="00B81226" w:rsidRDefault="00B82AC2">
            <w:pPr>
              <w:pStyle w:val="P68B1DB1-TableParagraph14"/>
              <w:spacing w:before="108"/>
              <w:ind w:left="85"/>
              <w:jc w:val="both"/>
              <w:rPr>
                <w:bCs/>
              </w:rPr>
            </w:pPr>
            <w:r>
              <w:t xml:space="preserve">Nimi </w:t>
            </w:r>
          </w:p>
          <w:p w14:paraId="7FE1B4B9" w14:textId="77777777" w:rsidR="00B81226" w:rsidRDefault="00B82AC2">
            <w:pPr>
              <w:pStyle w:val="P68B1DB1-TableParagraph13"/>
              <w:spacing w:before="108"/>
              <w:ind w:left="85"/>
              <w:jc w:val="both"/>
              <w:rPr>
                <w:bCs/>
              </w:rPr>
            </w:pPr>
            <w:r>
              <w:t>Sijoittajan koko nimi tai nimi.</w:t>
            </w:r>
          </w:p>
        </w:tc>
      </w:tr>
      <w:tr w:rsidR="00B81226" w14:paraId="7FE1B4C2" w14:textId="77777777">
        <w:tc>
          <w:tcPr>
            <w:tcW w:w="0" w:type="auto"/>
            <w:tcBorders>
              <w:top w:val="single" w:sz="4" w:space="0" w:color="1A171C"/>
              <w:left w:val="nil"/>
              <w:bottom w:val="single" w:sz="4" w:space="0" w:color="1A171C"/>
              <w:right w:val="single" w:sz="4" w:space="0" w:color="1A171C"/>
            </w:tcBorders>
          </w:tcPr>
          <w:p w14:paraId="7FE1B4BB" w14:textId="440E68B2" w:rsidR="00B81226" w:rsidRDefault="00B82AC2">
            <w:pPr>
              <w:pStyle w:val="P68B1DB1-TableParagraph13"/>
              <w:spacing w:before="106"/>
              <w:ind w:left="-1"/>
            </w:pPr>
            <w:r>
              <w:t>0050</w:t>
            </w:r>
          </w:p>
        </w:tc>
        <w:tc>
          <w:tcPr>
            <w:tcW w:w="0" w:type="auto"/>
            <w:tcBorders>
              <w:top w:val="single" w:sz="4" w:space="0" w:color="1A171C"/>
              <w:left w:val="single" w:sz="4" w:space="0" w:color="1A171C"/>
              <w:bottom w:val="single" w:sz="4" w:space="0" w:color="1A171C"/>
              <w:right w:val="nil"/>
            </w:tcBorders>
            <w:vAlign w:val="center"/>
          </w:tcPr>
          <w:p w14:paraId="7FE1B4BC" w14:textId="77777777" w:rsidR="00B81226" w:rsidRDefault="00B82AC2">
            <w:pPr>
              <w:pStyle w:val="P68B1DB1-TableParagraph14"/>
              <w:spacing w:before="108"/>
              <w:ind w:left="85"/>
              <w:jc w:val="both"/>
              <w:rPr>
                <w:bCs/>
              </w:rPr>
            </w:pPr>
            <w:r>
              <w:t xml:space="preserve">Koodi </w:t>
            </w:r>
          </w:p>
          <w:p w14:paraId="7FE1B4BD" w14:textId="77777777" w:rsidR="00B81226" w:rsidRDefault="00B82AC2">
            <w:pPr>
              <w:pStyle w:val="P68B1DB1-TableParagraph13"/>
              <w:spacing w:before="108"/>
              <w:ind w:left="85"/>
              <w:jc w:val="both"/>
              <w:rPr>
                <w:bCs/>
              </w:rPr>
            </w:pPr>
            <w:r>
              <w:t>Sarakkeessa 0010 tarkoitetun oikeushenkilön tai sijoittajan yksilöllinen tunniste.</w:t>
            </w:r>
          </w:p>
          <w:p w14:paraId="7FE1B4BE" w14:textId="77777777" w:rsidR="00B81226" w:rsidRDefault="00B82AC2">
            <w:pPr>
              <w:pStyle w:val="P68B1DB1-TableParagraph13"/>
              <w:spacing w:before="108"/>
              <w:ind w:left="85"/>
              <w:jc w:val="both"/>
              <w:rPr>
                <w:bCs/>
              </w:rPr>
            </w:pPr>
            <w:r>
              <w:t>Jos investointi kohdistuu konserniyhteisöön, koodin on oltava sama kuin se, joka on ilmoitettu lomakkeessa Z 01.01 (ORG 1). Jos investointi ei ole konserniyhteisö, kyseisen yhteisön koodin on oltava</w:t>
            </w:r>
          </w:p>
          <w:p w14:paraId="4B3351AF" w14:textId="77777777" w:rsidR="00B81226" w:rsidRDefault="00B82AC2">
            <w:pPr>
              <w:pStyle w:val="P68B1DB1-TableParagraph13"/>
              <w:numPr>
                <w:ilvl w:val="0"/>
                <w:numId w:val="64"/>
              </w:numPr>
              <w:spacing w:before="108"/>
              <w:rPr>
                <w:bCs/>
              </w:rPr>
            </w:pPr>
            <w:r>
              <w:t>laitoksista, joilla on oikeushenkilötunnus (LEI), 20-merkkinen aakkosnumeerinen LEI-tunnus;</w:t>
            </w:r>
          </w:p>
          <w:p w14:paraId="7FE1B4C0" w14:textId="1326FF82" w:rsidR="00B81226" w:rsidRDefault="00B82AC2">
            <w:pPr>
              <w:pStyle w:val="P68B1DB1-TableParagraph13"/>
              <w:numPr>
                <w:ilvl w:val="0"/>
                <w:numId w:val="64"/>
              </w:numPr>
              <w:spacing w:before="108"/>
              <w:rPr>
                <w:bCs/>
              </w:rPr>
            </w:pPr>
            <w:r>
              <w:t>—</w:t>
            </w:r>
            <w:r>
              <w:tab/>
              <w:t>jos sellaista ei ole, käytetään rahalaitoskoodia tai unionissa sovellettavan yhtenäisen koodin mukaista koodia.</w:t>
            </w:r>
          </w:p>
          <w:p w14:paraId="7FE1B4C1" w14:textId="77777777" w:rsidR="00B81226" w:rsidRDefault="00B82AC2">
            <w:pPr>
              <w:pStyle w:val="P68B1DB1-TableParagraph13"/>
              <w:spacing w:before="108"/>
              <w:ind w:left="85"/>
              <w:jc w:val="both"/>
              <w:rPr>
                <w:b/>
                <w:bCs/>
              </w:rPr>
            </w:pPr>
            <w:r>
              <w:t>Molemmissa tapauksissa koodi on oltava yksilöllinen, ja sitä on käytettävä johdonmukaisesti lomakkeissa.</w:t>
            </w:r>
          </w:p>
        </w:tc>
      </w:tr>
      <w:tr w:rsidR="00B81226" w14:paraId="7FE1B4CC" w14:textId="77777777">
        <w:tc>
          <w:tcPr>
            <w:tcW w:w="0" w:type="auto"/>
            <w:tcBorders>
              <w:top w:val="single" w:sz="4" w:space="0" w:color="1A171C"/>
              <w:left w:val="nil"/>
              <w:bottom w:val="single" w:sz="4" w:space="0" w:color="1A171C"/>
              <w:right w:val="single" w:sz="4" w:space="0" w:color="1A171C"/>
            </w:tcBorders>
          </w:tcPr>
          <w:p w14:paraId="7FE1B4C3" w14:textId="5A24D200" w:rsidR="00B81226" w:rsidRDefault="00B82AC2">
            <w:pPr>
              <w:pStyle w:val="P68B1DB1-TableParagraph13"/>
              <w:spacing w:before="106"/>
              <w:ind w:left="-1"/>
            </w:pPr>
            <w:r>
              <w:t>0060</w:t>
            </w:r>
          </w:p>
        </w:tc>
        <w:tc>
          <w:tcPr>
            <w:tcW w:w="0" w:type="auto"/>
            <w:tcBorders>
              <w:top w:val="single" w:sz="4" w:space="0" w:color="1A171C"/>
              <w:left w:val="single" w:sz="4" w:space="0" w:color="1A171C"/>
              <w:bottom w:val="single" w:sz="4" w:space="0" w:color="1A171C"/>
              <w:right w:val="nil"/>
            </w:tcBorders>
            <w:vAlign w:val="center"/>
          </w:tcPr>
          <w:p w14:paraId="7FE1B4C4" w14:textId="77777777" w:rsidR="00B81226" w:rsidRDefault="00B82AC2">
            <w:pPr>
              <w:pStyle w:val="P68B1DB1-TableParagraph14"/>
              <w:spacing w:before="108"/>
              <w:ind w:left="85"/>
              <w:jc w:val="both"/>
              <w:rPr>
                <w:bCs/>
              </w:rPr>
            </w:pPr>
            <w:r>
              <w:t>Koodin tyyppi</w:t>
            </w:r>
          </w:p>
          <w:p w14:paraId="7FE1B4C5" w14:textId="77777777" w:rsidR="00B81226" w:rsidRDefault="00B82AC2">
            <w:pPr>
              <w:pStyle w:val="P68B1DB1-TableParagraph13"/>
              <w:spacing w:before="108"/>
              <w:ind w:left="85"/>
              <w:jc w:val="both"/>
              <w:rPr>
                <w:bCs/>
              </w:rPr>
            </w:pPr>
            <w:r>
              <w:t xml:space="preserve">Jos investointi kohdistuu konserniyhteisöön, koodin on oltava sama kuin se, joka on ilmoitettu lomakkeessa Z 01.01 (ORG 1). </w:t>
            </w:r>
          </w:p>
          <w:p w14:paraId="783CEC76" w14:textId="13C64C21" w:rsidR="00B81226" w:rsidRDefault="00B82AC2">
            <w:pPr>
              <w:pStyle w:val="P68B1DB1-TableParagraph13"/>
              <w:spacing w:before="108"/>
              <w:ind w:left="85"/>
              <w:jc w:val="both"/>
              <w:rPr>
                <w:bCs/>
              </w:rPr>
            </w:pPr>
            <w:r>
              <w:t>Tässä on valittava seuraavista vaihtoehdoista: LEI-tunnus, MFI-tunnus tai muu tunnisteen tyyppi kuin LEI- tai MFI-tunnus</w:t>
            </w:r>
          </w:p>
          <w:p w14:paraId="7FE1B4CA" w14:textId="092DA599" w:rsidR="00B81226" w:rsidRDefault="00B82AC2">
            <w:pPr>
              <w:pStyle w:val="P68B1DB1-TableParagraph17"/>
              <w:spacing w:before="108"/>
            </w:pPr>
            <w:r>
              <w:t>Koodin tyyppi on aina ilmoitettava.</w:t>
            </w:r>
          </w:p>
          <w:p w14:paraId="7FE1B4CB" w14:textId="77777777" w:rsidR="00B81226" w:rsidRDefault="00B82AC2">
            <w:pPr>
              <w:pStyle w:val="P68B1DB1-TableParagraph13"/>
              <w:spacing w:before="108"/>
              <w:ind w:left="85"/>
              <w:rPr>
                <w:b/>
                <w:bCs/>
              </w:rPr>
            </w:pPr>
            <w:r>
              <w:t>Yhteisöjen tai sijoituskohteiden tunnistamiseksi on käytettävä koodi- ja tyyppiparia johdonmukaisesti kaikissa lomakkeissa.</w:t>
            </w:r>
          </w:p>
        </w:tc>
      </w:tr>
      <w:tr w:rsidR="00B81226" w14:paraId="7FE1B4D2" w14:textId="77777777">
        <w:tc>
          <w:tcPr>
            <w:tcW w:w="0" w:type="auto"/>
            <w:tcBorders>
              <w:top w:val="single" w:sz="4" w:space="0" w:color="1A171C"/>
              <w:left w:val="nil"/>
              <w:bottom w:val="single" w:sz="4" w:space="0" w:color="1A171C"/>
              <w:right w:val="single" w:sz="4" w:space="0" w:color="1A171C"/>
            </w:tcBorders>
          </w:tcPr>
          <w:p w14:paraId="7FE1B4CD" w14:textId="77777777" w:rsidR="00B81226" w:rsidRDefault="00B82AC2">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vAlign w:val="center"/>
          </w:tcPr>
          <w:p w14:paraId="7FE1B4CE" w14:textId="77777777" w:rsidR="00B81226" w:rsidRDefault="00B82AC2">
            <w:pPr>
              <w:pStyle w:val="P68B1DB1-TableParagraph14"/>
              <w:spacing w:before="108"/>
              <w:ind w:left="85"/>
            </w:pPr>
            <w:r>
              <w:t>Kansainvälinen sivuliike</w:t>
            </w:r>
          </w:p>
          <w:p w14:paraId="7FE1B4CF" w14:textId="77777777" w:rsidR="00B81226" w:rsidRDefault="00B82AC2">
            <w:pPr>
              <w:pStyle w:val="P68B1DB1-TableParagraph13"/>
              <w:spacing w:before="108"/>
              <w:ind w:left="85"/>
              <w:jc w:val="both"/>
            </w:pPr>
            <w:r>
              <w:t>Ilmoittamisessa käytetään seuraavia lyhenteitä:</w:t>
            </w:r>
          </w:p>
          <w:p w14:paraId="7FE1B4D0" w14:textId="0F2F9A3D" w:rsidR="00B81226" w:rsidRDefault="00B82AC2">
            <w:pPr>
              <w:pStyle w:val="P68B1DB1-TableParagraph13"/>
              <w:spacing w:before="108"/>
              <w:ind w:left="85"/>
              <w:jc w:val="both"/>
            </w:pPr>
            <w:r>
              <w:t>Kyllä – jos sijoittaja on sijoittajan kansainvälinen sivuliike.</w:t>
            </w:r>
          </w:p>
          <w:p w14:paraId="7FE1B4D1" w14:textId="303CCEBB" w:rsidR="00B81226" w:rsidRDefault="00B82AC2">
            <w:pPr>
              <w:pStyle w:val="P68B1DB1-TableParagraph13"/>
              <w:spacing w:before="108"/>
              <w:ind w:left="85"/>
              <w:jc w:val="both"/>
              <w:rPr>
                <w:b/>
                <w:bCs/>
              </w:rPr>
            </w:pPr>
            <w:r>
              <w:t>Ei – jos kyseessä on oikeushenkilö.</w:t>
            </w:r>
          </w:p>
        </w:tc>
      </w:tr>
      <w:tr w:rsidR="00B81226" w14:paraId="7FE1B4D5" w14:textId="77777777">
        <w:tc>
          <w:tcPr>
            <w:tcW w:w="0" w:type="auto"/>
            <w:tcBorders>
              <w:top w:val="single" w:sz="4" w:space="0" w:color="1A171C"/>
              <w:left w:val="nil"/>
              <w:bottom w:val="single" w:sz="4" w:space="0" w:color="1A171C"/>
              <w:right w:val="single" w:sz="4" w:space="0" w:color="1A171C"/>
            </w:tcBorders>
          </w:tcPr>
          <w:p w14:paraId="7FE1B4D3" w14:textId="44267444" w:rsidR="00B81226" w:rsidRDefault="00B82AC2">
            <w:pPr>
              <w:pStyle w:val="P68B1DB1-TableParagraph13"/>
              <w:spacing w:before="106"/>
              <w:ind w:left="-1"/>
            </w:pPr>
            <w:r>
              <w:lastRenderedPageBreak/>
              <w:t>0080–090</w:t>
            </w:r>
          </w:p>
        </w:tc>
        <w:tc>
          <w:tcPr>
            <w:tcW w:w="0" w:type="auto"/>
            <w:tcBorders>
              <w:top w:val="single" w:sz="4" w:space="0" w:color="1A171C"/>
              <w:left w:val="single" w:sz="4" w:space="0" w:color="1A171C"/>
              <w:bottom w:val="single" w:sz="4" w:space="0" w:color="1A171C"/>
              <w:right w:val="nil"/>
            </w:tcBorders>
            <w:vAlign w:val="center"/>
          </w:tcPr>
          <w:p w14:paraId="7FE1B4D4" w14:textId="77777777" w:rsidR="00B81226" w:rsidRDefault="00B82AC2">
            <w:pPr>
              <w:pStyle w:val="P68B1DB1-TableParagraph14"/>
              <w:spacing w:before="108"/>
              <w:ind w:left="85"/>
              <w:jc w:val="both"/>
              <w:rPr>
                <w:bCs/>
              </w:rPr>
            </w:pPr>
            <w:r>
              <w:t>Omistajuus</w:t>
            </w:r>
          </w:p>
        </w:tc>
      </w:tr>
      <w:tr w:rsidR="00B81226" w14:paraId="7FE1B4D9" w14:textId="77777777">
        <w:tc>
          <w:tcPr>
            <w:tcW w:w="0" w:type="auto"/>
            <w:tcBorders>
              <w:top w:val="single" w:sz="4" w:space="0" w:color="1A171C"/>
              <w:left w:val="nil"/>
              <w:bottom w:val="single" w:sz="4" w:space="0" w:color="1A171C"/>
              <w:right w:val="single" w:sz="4" w:space="0" w:color="1A171C"/>
            </w:tcBorders>
          </w:tcPr>
          <w:p w14:paraId="7FE1B4D6" w14:textId="124739DC" w:rsidR="00B81226" w:rsidRDefault="00B82AC2">
            <w:pPr>
              <w:pStyle w:val="P68B1DB1-TableParagraph13"/>
              <w:spacing w:before="106"/>
              <w:ind w:left="-1"/>
            </w:pPr>
            <w:r>
              <w:t>0080</w:t>
            </w:r>
          </w:p>
        </w:tc>
        <w:tc>
          <w:tcPr>
            <w:tcW w:w="0" w:type="auto"/>
            <w:tcBorders>
              <w:top w:val="single" w:sz="4" w:space="0" w:color="1A171C"/>
              <w:left w:val="single" w:sz="4" w:space="0" w:color="1A171C"/>
              <w:bottom w:val="single" w:sz="4" w:space="0" w:color="1A171C"/>
              <w:right w:val="nil"/>
            </w:tcBorders>
          </w:tcPr>
          <w:p w14:paraId="7FE1B4D7" w14:textId="77777777" w:rsidR="00B81226" w:rsidRDefault="00B82AC2">
            <w:pPr>
              <w:pStyle w:val="P68B1DB1-TableParagraph14"/>
              <w:spacing w:before="108"/>
              <w:ind w:left="85"/>
              <w:jc w:val="both"/>
            </w:pPr>
            <w:r>
              <w:t>Osakepääoma</w:t>
            </w:r>
          </w:p>
          <w:p w14:paraId="7FE1B4D8" w14:textId="77777777" w:rsidR="00B81226" w:rsidRDefault="00B82AC2">
            <w:pPr>
              <w:pStyle w:val="P68B1DB1-TableParagraph17"/>
              <w:spacing w:before="108"/>
              <w:ind w:left="85"/>
              <w:jc w:val="both"/>
            </w:pPr>
            <w:r>
              <w:t>Sijoittajan hallussa olevan osakepääoman määrä ilman rahastoja. Jos kyseessä on kansainvälinen sivuliike, kenttä on tyhjä.</w:t>
            </w:r>
          </w:p>
        </w:tc>
      </w:tr>
      <w:tr w:rsidR="00B81226" w14:paraId="7FE1B4DD" w14:textId="77777777">
        <w:tc>
          <w:tcPr>
            <w:tcW w:w="0" w:type="auto"/>
            <w:tcBorders>
              <w:top w:val="single" w:sz="4" w:space="0" w:color="1A171C"/>
              <w:left w:val="nil"/>
              <w:bottom w:val="single" w:sz="4" w:space="0" w:color="1A171C"/>
              <w:right w:val="single" w:sz="4" w:space="0" w:color="1A171C"/>
            </w:tcBorders>
          </w:tcPr>
          <w:p w14:paraId="7FE1B4DA" w14:textId="518368A4" w:rsidR="00B81226" w:rsidRDefault="00B82AC2">
            <w:pPr>
              <w:pStyle w:val="P68B1DB1-TableParagraph13"/>
              <w:spacing w:before="106"/>
              <w:ind w:left="-1"/>
            </w:pPr>
            <w:r>
              <w:t>0090</w:t>
            </w:r>
          </w:p>
        </w:tc>
        <w:tc>
          <w:tcPr>
            <w:tcW w:w="0" w:type="auto"/>
            <w:tcBorders>
              <w:top w:val="single" w:sz="4" w:space="0" w:color="1A171C"/>
              <w:left w:val="single" w:sz="4" w:space="0" w:color="1A171C"/>
              <w:bottom w:val="single" w:sz="4" w:space="0" w:color="1A171C"/>
              <w:right w:val="nil"/>
            </w:tcBorders>
          </w:tcPr>
          <w:p w14:paraId="7FE1B4DB" w14:textId="77777777" w:rsidR="00B81226" w:rsidRDefault="00B82AC2">
            <w:pPr>
              <w:pStyle w:val="P68B1DB1-TableParagraph14"/>
              <w:spacing w:before="108"/>
              <w:ind w:left="85"/>
              <w:rPr>
                <w:rFonts w:eastAsia="Book Antiqua"/>
              </w:rPr>
            </w:pPr>
            <w:r>
              <w:t>Äänioikeudet yhteisössä</w:t>
            </w:r>
          </w:p>
          <w:p w14:paraId="7FE1B4DC" w14:textId="77777777" w:rsidR="00B81226" w:rsidRDefault="00B82AC2">
            <w:pPr>
              <w:pStyle w:val="P68B1DB1-TableParagraph17"/>
              <w:spacing w:before="108"/>
              <w:ind w:left="85"/>
              <w:jc w:val="both"/>
              <w:rPr>
                <w:b/>
              </w:rPr>
            </w:pPr>
            <w:r>
              <w:t>Sijoittajalla olevien äänioikeuksien prosenttiosuus. Tämä tieto vaaditaan vain, jos yksi osake ei vastaa yhtä ääntä (eli äänioikeudet eivät vastaa osakepääomaa). Jos kyseessä on kansainvälinen sivuliike, kenttä on tyhjä.</w:t>
            </w:r>
          </w:p>
        </w:tc>
      </w:tr>
    </w:tbl>
    <w:p w14:paraId="7FE1B4DE" w14:textId="77777777" w:rsidR="00B81226" w:rsidRDefault="00B81226">
      <w:pPr>
        <w:rPr>
          <w:rFonts w:ascii="Times New Roman" w:hAnsi="Times New Roman" w:cs="Times New Roman"/>
        </w:rPr>
      </w:pPr>
    </w:p>
    <w:p w14:paraId="7FE1B4DF" w14:textId="77777777" w:rsidR="00B81226" w:rsidRDefault="00B81226">
      <w:pPr>
        <w:rPr>
          <w:rFonts w:ascii="Times New Roman" w:hAnsi="Times New Roman" w:cs="Times New Roman"/>
        </w:rPr>
      </w:pPr>
    </w:p>
    <w:p w14:paraId="7FE1B4E1" w14:textId="77777777" w:rsidR="00B81226" w:rsidRDefault="00B82AC2">
      <w:pPr>
        <w:pStyle w:val="P68B1DB1-Instructionsberschrift25"/>
        <w:numPr>
          <w:ilvl w:val="1"/>
          <w:numId w:val="49"/>
        </w:numPr>
        <w:ind w:left="357" w:hanging="357"/>
      </w:pPr>
      <w:bookmarkStart w:id="24" w:name="_Toc80891720"/>
      <w:bookmarkStart w:id="25" w:name="_Toc81454179"/>
      <w:bookmarkStart w:id="26" w:name="_Toc81485494"/>
      <w:bookmarkStart w:id="27" w:name="_Toc81485571"/>
      <w:bookmarkStart w:id="28" w:name="_Toc81485692"/>
      <w:bookmarkStart w:id="29" w:name="_Toc81485976"/>
      <w:bookmarkStart w:id="30" w:name="_Toc160027976"/>
      <w:bookmarkStart w:id="31" w:name="_Toc160028048"/>
      <w:bookmarkStart w:id="32" w:name="_Toc160028120"/>
      <w:bookmarkStart w:id="33" w:name="_Toc161034536"/>
      <w:bookmarkStart w:id="34" w:name="_Toc162265133"/>
      <w:bookmarkStart w:id="35" w:name="_Toc162265658"/>
      <w:bookmarkStart w:id="36" w:name="_Toc162265727"/>
      <w:bookmarkStart w:id="37" w:name="_Toc162266072"/>
      <w:bookmarkStart w:id="38" w:name="_Toc163639533"/>
      <w:bookmarkStart w:id="39" w:name="_Toc164263618"/>
      <w:bookmarkStart w:id="40" w:name="_Toc164263705"/>
      <w:bookmarkStart w:id="41" w:name="_Toc164263779"/>
      <w:bookmarkStart w:id="42" w:name="_Toc164263833"/>
      <w:bookmarkStart w:id="43" w:name="_Toc164271331"/>
      <w:bookmarkStart w:id="44" w:name="_Toc164271383"/>
      <w:bookmarkStart w:id="45" w:name="_Toc167799447"/>
      <w:bookmarkStart w:id="46" w:name="_Toc172723003"/>
      <w:bookmarkStart w:id="47" w:name="_Toc172723101"/>
      <w:bookmarkStart w:id="48" w:name="_Toc172723197"/>
      <w:bookmarkStart w:id="49" w:name="_Toc172723341"/>
      <w:bookmarkStart w:id="50" w:name="_Toc172723393"/>
      <w:bookmarkStart w:id="51" w:name="_Toc172723451"/>
      <w:bookmarkStart w:id="52" w:name="_Toc172723518"/>
      <w:bookmarkStart w:id="53" w:name="_Toc184218411"/>
      <w:bookmarkStart w:id="54" w:name="_Toc492542322"/>
      <w:bookmarkStart w:id="55" w:name="_Toc81454180"/>
      <w:bookmarkStart w:id="56" w:name="_Toc208245435"/>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Z 02.00 – Vastuiden rakenne (LIAB 1)</w:t>
      </w:r>
      <w:bookmarkEnd w:id="54"/>
      <w:bookmarkEnd w:id="55"/>
      <w:bookmarkEnd w:id="56"/>
    </w:p>
    <w:p w14:paraId="7FE1B4E2" w14:textId="77777777" w:rsidR="00B81226" w:rsidRDefault="00B82AC2">
      <w:pPr>
        <w:pStyle w:val="Instructionsberschrift3"/>
      </w:pPr>
      <w:r>
        <w:t>Yleiset huomautukset</w:t>
      </w:r>
    </w:p>
    <w:p w14:paraId="7FE1B4E3" w14:textId="190D578F" w:rsidR="00B81226" w:rsidRDefault="00B82AC2">
      <w:pPr>
        <w:pStyle w:val="P68B1DB1-InstructionsText26"/>
        <w:numPr>
          <w:ilvl w:val="0"/>
          <w:numId w:val="233"/>
        </w:numPr>
        <w:spacing w:before="0"/>
      </w:pPr>
      <w:r>
        <w:t>Tässä lomakkeessa on tarkoitus antaa yksityiskohtaiset tiedot yhteisön tai konsernin vastuiden rakenteesta. Vastuut jaetaan velkoihin, jotka jätetään velkakirjojen arvon alaskirjauksen tai omaksi pääomaksi muuntamisen ulkopuolelle, ja velkoihin, joita ei jätetä velkakirjojen arvon alaskirjauksen tai omaksi pääomaksi muuttamisen ulkopuolelle. Muut jaottelut esitetään vastuuryhmittäin sekä vastapuoliluokkien ja -maturiteetin mukaan.</w:t>
      </w:r>
    </w:p>
    <w:p w14:paraId="7FE1B4E4" w14:textId="77777777" w:rsidR="00B81226" w:rsidRDefault="00B82AC2">
      <w:pPr>
        <w:pStyle w:val="P68B1DB1-InstructionsText26"/>
        <w:numPr>
          <w:ilvl w:val="0"/>
          <w:numId w:val="233"/>
        </w:numPr>
        <w:spacing w:before="0"/>
      </w:pPr>
      <w:r>
        <w:t>Jos lomake sisältää maturiteettikohtaisen erittelyn, jäljellä oleva maturiteetti on aika sopimuksenmukaiseen maturiteettiin saakka. Edellisestä kohdasta poiketen sovelletaan seuraavaa:</w:t>
      </w:r>
    </w:p>
    <w:p w14:paraId="7FE1B4E5" w14:textId="77777777" w:rsidR="00B81226" w:rsidRDefault="00B82AC2">
      <w:pPr>
        <w:pStyle w:val="P68B1DB1-InstructionsText26"/>
        <w:numPr>
          <w:ilvl w:val="1"/>
          <w:numId w:val="233"/>
        </w:numPr>
        <w:spacing w:before="0"/>
      </w:pPr>
      <w:r>
        <w:t>jos velkainstrumentti sisältää haltijalle kuuluvan lunastusoption, joka voidaan käyttää ennen kuin instrumentin alkuperäinen ilmoitettu maturiteetti päättyy, instrumentin maturiteetti määritellään ensimmäisenä mahdollisena ajankohdana, jona haltija voi käyttää lunastusoptiota ja pyytää instrumentin lunastusta tai takaisinmaksua;</w:t>
      </w:r>
    </w:p>
    <w:p w14:paraId="7FE1B4E6" w14:textId="77777777" w:rsidR="00B81226" w:rsidRDefault="00B82AC2">
      <w:pPr>
        <w:pStyle w:val="P68B1DB1-InstructionsText26"/>
        <w:numPr>
          <w:ilvl w:val="1"/>
          <w:numId w:val="233"/>
        </w:numPr>
        <w:spacing w:before="0"/>
      </w:pPr>
      <w:r>
        <w:t>jos velkainstrumentti sisältää kannustimen siihen, että liikkeeseenlaskija toteuttaa osto-option, lunastuksen, takaisinmaksun tai takaisinoston ennen kuin instrumentin alkuperäinen ilmoitettu maturiteetti päättyy, instrumentin maturiteetti määritellään ensimmäisenä mahdollisena ajankohdana, jona liikkeeseenlaskija voi käyttää kyseistä optiota ja pyytää instrumentin lunastusta tai takaisinmaksua;</w:t>
      </w:r>
    </w:p>
    <w:p w14:paraId="7FE1B4E8" w14:textId="77777777" w:rsidR="00B81226" w:rsidRDefault="00B82AC2">
      <w:pPr>
        <w:pStyle w:val="P68B1DB1-InstructionsText26"/>
        <w:numPr>
          <w:ilvl w:val="0"/>
          <w:numId w:val="233"/>
        </w:numPr>
        <w:spacing w:before="0"/>
      </w:pPr>
      <w:r>
        <w:t>Jos kyseessä ovat pääoman välimaksut, pääoma jaetaan ja kohdennetaan vastaaviin maturiteettiluokkiin. Tarvittaessa maturiteettia on tarkasteltava erikseen sekä pääoman että kertyneiden korkojen osalta.</w:t>
      </w:r>
    </w:p>
    <w:p w14:paraId="7FE1B4E9" w14:textId="7225004D" w:rsidR="00B81226" w:rsidRDefault="00B82AC2">
      <w:pPr>
        <w:pStyle w:val="P68B1DB1-InstructionsText26"/>
        <w:numPr>
          <w:ilvl w:val="0"/>
          <w:numId w:val="233"/>
        </w:numPr>
        <w:spacing w:before="0"/>
      </w:pPr>
      <w:r>
        <w:t>Muutamissa erityistapauksissa tietyn instrumentin maturiteetti riippuu ulkoisten tekijöiden mukaan, joihin laitoksella on vain vähän tai ei lainkaan vaikutusmahdollisuuksia. Tällaisissa tapauksissa ensimmäinen päivä, jona tällaiset tapahtumat voivat johtaa takaisinmaksuun, katsotaan aikaisimmaksi lunastuspäiväksi.</w:t>
      </w:r>
    </w:p>
    <w:p w14:paraId="7FE1B4EA" w14:textId="77777777" w:rsidR="00B81226" w:rsidRDefault="00B82AC2">
      <w:pPr>
        <w:pStyle w:val="P68B1DB1-InstructionsText26"/>
        <w:numPr>
          <w:ilvl w:val="0"/>
          <w:numId w:val="233"/>
        </w:numPr>
        <w:spacing w:before="0"/>
      </w:pPr>
      <w:r>
        <w:t>Muissa tapauksissa sopimuksissa ei määrätä tiettyä erääntymispäivää, kuten yön yli -talletuksia tai yön yli -talletuksia. Näissä tapauksissa on katsottava, että velkojen mahdollinen maturiteetti on ensimmäisenä mahdollisena päivänä eli seuraavana päivänä tai yhden päivän kuluttua raportointipäivästä.</w:t>
      </w:r>
    </w:p>
    <w:p w14:paraId="7FE1B4EB" w14:textId="7998FDEF" w:rsidR="00B81226" w:rsidRDefault="00B82AC2">
      <w:pPr>
        <w:pStyle w:val="P68B1DB1-InstructionsText26"/>
        <w:numPr>
          <w:ilvl w:val="0"/>
          <w:numId w:val="233"/>
        </w:numPr>
        <w:spacing w:before="0"/>
      </w:pPr>
      <w:r>
        <w:t xml:space="preserve">Talletusten osalta talletussuojadirektiiviin perustuvassa suojassa ei välttämättä erotella maturiteetteja, joita pidetään suojatuina, jos maturiteetteja on erilaisia. Jotta kattamaton osa voidaan jakaa maturiteettiluokkiin, laitoksia pyydetään soveltamaan kokonaiskatteeseen </w:t>
      </w:r>
      <w:r>
        <w:lastRenderedPageBreak/>
        <w:t>pro rata -menetelmää ja jakamaan kattamaton osa vastaavasti kohde-etuutena olevien talletusten maturiteetin aikana, paitsi jos sovelletaan erityisiä säännöksiä, jotka johtuvat direktiivin 2014/49/EU saattamisesta osaksi kansallista lainsäädäntöä.</w:t>
      </w:r>
    </w:p>
    <w:p w14:paraId="7FE1B4EC" w14:textId="333CC915" w:rsidR="00B81226" w:rsidRDefault="00B82AC2">
      <w:pPr>
        <w:pStyle w:val="P68B1DB1-InstructionsText26"/>
        <w:numPr>
          <w:ilvl w:val="0"/>
          <w:numId w:val="233"/>
        </w:numPr>
        <w:spacing w:before="0"/>
      </w:pPr>
      <w:r>
        <w:t>Jos velka täyttää useita kriteerejä ja se voidaan ilmoittaa useilla riveillä rivien 0110–0210 välillä, se ilmoitetaan vain yhdellä rivillä, joka on tässä lomakkeessa alhaisin rivinumero.</w:t>
      </w:r>
    </w:p>
    <w:p w14:paraId="7FE1B4ED" w14:textId="0B0F63BC" w:rsidR="00B81226" w:rsidRDefault="00B82AC2">
      <w:pPr>
        <w:pStyle w:val="P68B1DB1-InstructionsText26"/>
        <w:numPr>
          <w:ilvl w:val="0"/>
          <w:numId w:val="233"/>
        </w:numPr>
      </w:pPr>
      <w:r>
        <w:t>Tässä lomakkeessa ilmoitetut määrät ilmoitetaan sekä jäljellä olevina että kirjanpitoarvoina:</w:t>
      </w:r>
    </w:p>
    <w:p w14:paraId="7FE1B4EE" w14:textId="77777777" w:rsidR="00B81226" w:rsidRDefault="00B82AC2">
      <w:pPr>
        <w:pStyle w:val="P68B1DB1-InstructionsText26"/>
        <w:numPr>
          <w:ilvl w:val="1"/>
          <w:numId w:val="233"/>
        </w:numPr>
      </w:pPr>
      <w:r>
        <w:t xml:space="preserve">Saatavan tai instrumentin jäljellä oleva määrä on saatavan tai instrumentin pääoman ja kertyneiden korkojen summa. Maksamatta oleva määrä on yhtä suuri kuin velkojan maksukyvyttömyysmenettelyssä nostaman saatavan arvo, ottamatta huomioon maksukyvyttömyyden kuittausvarauksia, eikä siihen sisälly velkainstrumenteista maksettavia preemioita tai alennuksia. Tapauksissa, joissa saatavia ei ole esitetty maksukyvyttömyysmenettelyssä, maksamatta olevan määrän odotetaan olevan nolla. </w:t>
      </w:r>
    </w:p>
    <w:p w14:paraId="7FE1B4EF" w14:textId="77777777" w:rsidR="00B81226" w:rsidRDefault="00B82AC2">
      <w:pPr>
        <w:pStyle w:val="P68B1DB1-InstructionsText26"/>
        <w:numPr>
          <w:ilvl w:val="1"/>
          <w:numId w:val="233"/>
        </w:numPr>
      </w:pPr>
      <w:r>
        <w:t xml:space="preserve">Kirjanpitoarvo on FINREP-tarkoituksia varten määritelty joko IFRS-standardien tai nGAAP:n mukainen kirjanpitoarvo. Muussa tapauksessa käytetään nGAAP-raportointijärjestelmien mukaisia lukuja. </w:t>
      </w:r>
    </w:p>
    <w:p w14:paraId="7FE1B4F1" w14:textId="1849D60B" w:rsidR="00B81226" w:rsidRDefault="00B82AC2">
      <w:pPr>
        <w:pStyle w:val="P68B1DB1-InstructionsText26"/>
        <w:numPr>
          <w:ilvl w:val="0"/>
          <w:numId w:val="233"/>
        </w:numPr>
        <w:spacing w:before="0"/>
      </w:pPr>
      <w:r>
        <w:t>Tässä raportissa viitataan tietokohtiin, jotka yhteisö on jo ilmoittanut FINREP- ja COREP-tietokannassa samalta viitepäivämäärältä ja raportoinnin alalta (ks. COREP/FINREP-viitteet ohjeissa). Jos näin on, raportoivan yhteisön ei tarvitse ilmoittaa näitä tietopisteitä toista kertaa. Esimerkiksi COREP/FINREP-tietopisteet on ilmoitettava tässä, jos raportoiva yhteisö on vapautettu taloudellisista tai vakavaraisuutta koskevista raportointivelvoitteista, jolloin ainoa tietolähde kriisinratkaisuviranomaisille näi</w:t>
      </w:r>
      <w:r>
        <w:t>den tietopisteiden osalta on tämä raportti.</w:t>
      </w:r>
    </w:p>
    <w:p w14:paraId="7FE1B4F2" w14:textId="77777777" w:rsidR="00B81226" w:rsidRDefault="00B82AC2">
      <w:pPr>
        <w:pStyle w:val="P68B1DB1-Instructionsberschrift312"/>
      </w:pPr>
      <w:r>
        <w:t>Tiettyjä kohtia koskevat ohjeet</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B81226" w14:paraId="7FE1B4F5" w14:textId="77777777">
        <w:tc>
          <w:tcPr>
            <w:tcW w:w="908" w:type="dxa"/>
            <w:tcBorders>
              <w:top w:val="single" w:sz="4" w:space="0" w:color="1A171C"/>
              <w:left w:val="nil"/>
              <w:bottom w:val="single" w:sz="4" w:space="0" w:color="1A171C"/>
              <w:right w:val="single" w:sz="4" w:space="0" w:color="1A171C"/>
            </w:tcBorders>
            <w:shd w:val="clear" w:color="auto" w:fill="E4E5E5"/>
          </w:tcPr>
          <w:p w14:paraId="7FE1B4F3" w14:textId="77777777" w:rsidR="00B81226" w:rsidRDefault="00B82AC2">
            <w:pPr>
              <w:pStyle w:val="P68B1DB1-TableParagraph13"/>
              <w:spacing w:before="66"/>
              <w:rPr>
                <w:rFonts w:eastAsia="Cambria"/>
              </w:rPr>
            </w:pPr>
            <w:r>
              <w:t>Sarakkeet</w:t>
            </w:r>
          </w:p>
        </w:tc>
        <w:tc>
          <w:tcPr>
            <w:tcW w:w="8118" w:type="dxa"/>
            <w:tcBorders>
              <w:top w:val="single" w:sz="4" w:space="0" w:color="1A171C"/>
              <w:left w:val="single" w:sz="4" w:space="0" w:color="1A171C"/>
              <w:bottom w:val="single" w:sz="4" w:space="0" w:color="1A171C"/>
              <w:right w:val="nil"/>
            </w:tcBorders>
            <w:shd w:val="clear" w:color="auto" w:fill="E4E5E5"/>
          </w:tcPr>
          <w:p w14:paraId="7FE1B4F4" w14:textId="77777777" w:rsidR="00B81226" w:rsidRDefault="00B82AC2">
            <w:pPr>
              <w:pStyle w:val="P68B1DB1-TableParagraph13"/>
              <w:spacing w:before="66"/>
              <w:ind w:right="1"/>
              <w:jc w:val="center"/>
              <w:rPr>
                <w:rFonts w:eastAsia="Cambria"/>
              </w:rPr>
            </w:pPr>
            <w:r>
              <w:t>Ohjeet</w:t>
            </w:r>
          </w:p>
        </w:tc>
      </w:tr>
      <w:tr w:rsidR="00B81226" w14:paraId="7FE1B4FA" w14:textId="77777777">
        <w:tc>
          <w:tcPr>
            <w:tcW w:w="908" w:type="dxa"/>
            <w:tcBorders>
              <w:top w:val="single" w:sz="4" w:space="0" w:color="1A171C"/>
              <w:left w:val="nil"/>
              <w:bottom w:val="single" w:sz="4" w:space="0" w:color="1A171C"/>
              <w:right w:val="single" w:sz="4" w:space="0" w:color="1A171C"/>
            </w:tcBorders>
            <w:vAlign w:val="center"/>
          </w:tcPr>
          <w:p w14:paraId="7FE1B4F6" w14:textId="77777777" w:rsidR="00B81226" w:rsidRDefault="00B82AC2">
            <w:pPr>
              <w:pStyle w:val="P68B1DB1-TableParagraph13"/>
              <w:spacing w:before="106"/>
              <w:ind w:left="-1"/>
              <w:rPr>
                <w:rFonts w:eastAsia="Cambria"/>
                <w:b/>
              </w:rPr>
            </w:pPr>
            <w:r>
              <w:t xml:space="preserve">0010–0011 </w:t>
            </w:r>
          </w:p>
        </w:tc>
        <w:tc>
          <w:tcPr>
            <w:tcW w:w="8118" w:type="dxa"/>
            <w:tcBorders>
              <w:top w:val="single" w:sz="4" w:space="0" w:color="1A171C"/>
              <w:left w:val="single" w:sz="4" w:space="0" w:color="1A171C"/>
              <w:bottom w:val="single" w:sz="4" w:space="0" w:color="1A171C"/>
              <w:right w:val="nil"/>
            </w:tcBorders>
            <w:vAlign w:val="center"/>
          </w:tcPr>
          <w:p w14:paraId="7FE1B4F7" w14:textId="77777777" w:rsidR="00B81226" w:rsidRDefault="00B82AC2">
            <w:pPr>
              <w:pStyle w:val="P68B1DB1-TableParagraph14"/>
              <w:spacing w:before="108"/>
              <w:ind w:left="85"/>
              <w:jc w:val="both"/>
            </w:pPr>
            <w:r>
              <w:t>Kotitaloudet</w:t>
            </w:r>
          </w:p>
          <w:p w14:paraId="7FE1B4F8" w14:textId="77777777" w:rsidR="00B81226" w:rsidRDefault="00B82AC2">
            <w:pPr>
              <w:pStyle w:val="P68B1DB1-TableParagraph17"/>
              <w:spacing w:before="108"/>
              <w:ind w:left="85"/>
              <w:jc w:val="both"/>
            </w:pPr>
            <w:r>
              <w:t xml:space="preserve">FINREP-raportoinnin liitteessä V olevan 1 osan 42 kohdan f alakohta. </w:t>
            </w:r>
          </w:p>
          <w:p w14:paraId="7FE1B4F9" w14:textId="77777777" w:rsidR="00B81226" w:rsidRDefault="00B82AC2">
            <w:pPr>
              <w:pStyle w:val="P68B1DB1-TableParagraph17"/>
              <w:spacing w:before="108"/>
              <w:ind w:left="85"/>
              <w:jc w:val="both"/>
              <w:rPr>
                <w:b/>
              </w:rPr>
            </w:pPr>
            <w:r>
              <w:t>Henkilöt tai henkilöryhmät kuluttajina, yksinomaan omaa loppukäyttöä varten tarkoitettujen tavaroiden ja muiden kuin rahoituspalvelujen tuottajina sekä markkinatavaroiden ja rahoitus- ja muiden palvelujen tuottajina, jos nämä toiminnot eivät ole yritysmäisten yhteisöjen toimintaa. Tähän luetaan myös kotitalouksia palvelevat voittoa tavoittelemattomat yhteisöt, jotka pääasiallisesti tuottavat markkinattomia tavaroita ja palveluja tietyille kotitalousryhmille.</w:t>
            </w:r>
          </w:p>
        </w:tc>
      </w:tr>
      <w:tr w:rsidR="00B81226" w14:paraId="7FE1B501" w14:textId="77777777">
        <w:tc>
          <w:tcPr>
            <w:tcW w:w="908" w:type="dxa"/>
            <w:tcBorders>
              <w:top w:val="single" w:sz="4" w:space="0" w:color="1A171C"/>
              <w:left w:val="nil"/>
              <w:bottom w:val="single" w:sz="4" w:space="0" w:color="1A171C"/>
              <w:right w:val="single" w:sz="4" w:space="0" w:color="1A171C"/>
            </w:tcBorders>
            <w:vAlign w:val="center"/>
          </w:tcPr>
          <w:p w14:paraId="7FE1B4FB" w14:textId="77777777" w:rsidR="00B81226" w:rsidRDefault="00B82AC2">
            <w:pPr>
              <w:pStyle w:val="P68B1DB1-TableParagraph13"/>
              <w:spacing w:before="106"/>
              <w:ind w:left="-1"/>
              <w:rPr>
                <w:rFonts w:eastAsia="Cambria"/>
              </w:rPr>
            </w:pPr>
            <w:r>
              <w:t>0020–0021</w:t>
            </w:r>
          </w:p>
        </w:tc>
        <w:tc>
          <w:tcPr>
            <w:tcW w:w="8118" w:type="dxa"/>
            <w:tcBorders>
              <w:top w:val="single" w:sz="4" w:space="0" w:color="1A171C"/>
              <w:left w:val="single" w:sz="4" w:space="0" w:color="1A171C"/>
              <w:bottom w:val="single" w:sz="4" w:space="0" w:color="1A171C"/>
              <w:right w:val="nil"/>
            </w:tcBorders>
            <w:vAlign w:val="center"/>
          </w:tcPr>
          <w:p w14:paraId="7FE1B4FC" w14:textId="77777777" w:rsidR="00B81226" w:rsidRDefault="00B82AC2">
            <w:pPr>
              <w:pStyle w:val="P68B1DB1-TableParagraph14"/>
              <w:spacing w:before="108"/>
              <w:ind w:left="85"/>
              <w:jc w:val="both"/>
            </w:pPr>
            <w:r>
              <w:t>Rahoitusalan ulkopuoliset yritykset (pk-yritykset)</w:t>
            </w:r>
          </w:p>
          <w:p w14:paraId="7FE1B4FD" w14:textId="77777777" w:rsidR="00B81226" w:rsidRDefault="00B82AC2">
            <w:pPr>
              <w:pStyle w:val="P68B1DB1-TableParagraph17"/>
              <w:spacing w:before="108"/>
              <w:ind w:left="85"/>
              <w:jc w:val="both"/>
            </w:pPr>
            <w:r>
              <w:t>FINREP-raportoinnin liitteessä V olevan 1 osan 42 kohdan e alakohta.</w:t>
            </w:r>
          </w:p>
          <w:p w14:paraId="7FE1B4FE" w14:textId="63A52B7A" w:rsidR="00B81226" w:rsidRDefault="00B82AC2">
            <w:pPr>
              <w:pStyle w:val="P68B1DB1-TableParagraph13"/>
              <w:spacing w:before="108"/>
              <w:ind w:left="85"/>
              <w:jc w:val="both"/>
              <w:rPr>
                <w:rFonts w:eastAsia="Cambria"/>
              </w:rPr>
            </w:pPr>
            <w:r>
              <w:t>Yritykset ja yritysmäiset yhteisöt, jotka eivät välitä rahoitusta vaan ovat pääasiallisesti markkinatavaroiden ja muiden kuin rahoituspalvelujen tuottajia Euroopan keskuspankin asetuksen (EU) 2021/379 mukaisesti</w:t>
            </w:r>
            <w:r>
              <w:footnoteReference w:id="11"/>
            </w:r>
            <w:r>
              <w:t>, jotka vastaavat myös seuraavaa pienyrityksen määritelmää:</w:t>
            </w:r>
          </w:p>
          <w:p w14:paraId="7FE1B4FF" w14:textId="77777777" w:rsidR="00B81226" w:rsidRDefault="00B82AC2">
            <w:pPr>
              <w:pStyle w:val="TableParagraph"/>
              <w:spacing w:before="108"/>
              <w:ind w:left="85"/>
              <w:jc w:val="both"/>
              <w:rPr>
                <w:rFonts w:ascii="Times New Roman" w:eastAsia="Cambria" w:hAnsi="Times New Roman" w:cs="Times New Roman"/>
                <w:color w:val="000000" w:themeColor="text1"/>
                <w:sz w:val="20"/>
                <w:szCs w:val="20"/>
              </w:rPr>
            </w:pPr>
            <w:r>
              <w:rPr>
                <w:rStyle w:val="FootnoteReference"/>
                <w:rFonts w:ascii="Times New Roman" w:eastAsia="Cambria" w:hAnsi="Times New Roman" w:cs="Times New Roman"/>
                <w:color w:val="1A171C"/>
              </w:rPr>
              <w:t xml:space="preserve">Toukokuun 6. päivänä 2003 annetun komission suosituksen </w:t>
            </w:r>
            <w:r>
              <w:rPr>
                <w:rFonts w:ascii="Times New Roman" w:eastAsia="Cambria" w:hAnsi="Times New Roman" w:cs="Times New Roman"/>
                <w:color w:val="000000" w:themeColor="text1"/>
                <w:sz w:val="20"/>
                <w:szCs w:val="20"/>
              </w:rPr>
              <w:t>liitteessä olevan I osaston 2 artiklan 1 kohta</w:t>
            </w:r>
            <w:r>
              <w:rPr>
                <w:rStyle w:val="FootnoteReference"/>
                <w:rFonts w:ascii="Times New Roman" w:eastAsia="Cambria" w:hAnsi="Times New Roman" w:cs="Times New Roman"/>
                <w:color w:val="1A171C"/>
              </w:rPr>
              <w:footnoteReference w:id="12"/>
            </w:r>
            <w:r>
              <w:rPr>
                <w:rFonts w:ascii="Times New Roman" w:eastAsia="Cambria" w:hAnsi="Times New Roman" w:cs="Times New Roman"/>
                <w:color w:val="000000" w:themeColor="text1"/>
                <w:sz w:val="20"/>
                <w:szCs w:val="20"/>
              </w:rPr>
              <w:t>; FINREP-raportoinnin liitteessä V olevan 1 osan 5 kohdan i alakohta.</w:t>
            </w:r>
          </w:p>
          <w:p w14:paraId="7FE1B500" w14:textId="77777777" w:rsidR="00B81226" w:rsidRDefault="00B82AC2">
            <w:pPr>
              <w:pStyle w:val="P68B1DB1-TableParagraph17"/>
              <w:spacing w:before="108"/>
              <w:ind w:left="85"/>
              <w:jc w:val="both"/>
              <w:rPr>
                <w:rFonts w:eastAsia="Book Antiqua"/>
              </w:rPr>
            </w:pPr>
            <w:r>
              <w:t>Yritykset, joiden palveluksessa on vähemmän kuin 250 työntekijää ja joiden vuotuinen liikevaihto on enintään 50 miljoonaa euroa ja/tai taseen loppusumma enintään 43 miljoonaa euroa.</w:t>
            </w:r>
          </w:p>
        </w:tc>
      </w:tr>
      <w:tr w:rsidR="00B81226" w14:paraId="7FE1B507" w14:textId="77777777">
        <w:tc>
          <w:tcPr>
            <w:tcW w:w="908" w:type="dxa"/>
            <w:tcBorders>
              <w:top w:val="single" w:sz="4" w:space="0" w:color="1A171C"/>
              <w:left w:val="nil"/>
              <w:bottom w:val="single" w:sz="4" w:space="0" w:color="1A171C"/>
              <w:right w:val="single" w:sz="4" w:space="0" w:color="1A171C"/>
            </w:tcBorders>
            <w:vAlign w:val="center"/>
          </w:tcPr>
          <w:p w14:paraId="7FE1B502" w14:textId="77777777" w:rsidR="00B81226" w:rsidRDefault="00B82AC2">
            <w:pPr>
              <w:pStyle w:val="P68B1DB1-TableParagraph13"/>
              <w:spacing w:before="106"/>
              <w:ind w:left="-1"/>
            </w:pPr>
            <w:r>
              <w:lastRenderedPageBreak/>
              <w:t>0030–0031</w:t>
            </w:r>
          </w:p>
        </w:tc>
        <w:tc>
          <w:tcPr>
            <w:tcW w:w="8118" w:type="dxa"/>
            <w:tcBorders>
              <w:top w:val="single" w:sz="4" w:space="0" w:color="1A171C"/>
              <w:left w:val="single" w:sz="4" w:space="0" w:color="1A171C"/>
              <w:bottom w:val="single" w:sz="4" w:space="0" w:color="1A171C"/>
              <w:right w:val="nil"/>
            </w:tcBorders>
            <w:vAlign w:val="center"/>
          </w:tcPr>
          <w:p w14:paraId="7FE1B503" w14:textId="77777777" w:rsidR="00B81226" w:rsidRDefault="00B82AC2">
            <w:pPr>
              <w:pStyle w:val="P68B1DB1-TableParagraph14"/>
              <w:spacing w:before="108"/>
              <w:ind w:left="85"/>
              <w:jc w:val="both"/>
            </w:pPr>
            <w:r>
              <w:t>Rahoitusalan ulkopuoliset yritykset (muut kuin pk-yritykset)</w:t>
            </w:r>
          </w:p>
          <w:p w14:paraId="7FE1B504" w14:textId="77777777" w:rsidR="00B81226" w:rsidRDefault="00B82AC2">
            <w:pPr>
              <w:pStyle w:val="P68B1DB1-TableParagraph17"/>
              <w:spacing w:before="108"/>
              <w:ind w:left="85"/>
              <w:jc w:val="both"/>
            </w:pPr>
            <w:r>
              <w:t>FINREP-raportoinnin liitteessä V olevan 1 osan 42 kohdan e alakohta.</w:t>
            </w:r>
          </w:p>
          <w:p w14:paraId="7FE1B505" w14:textId="53EEC701" w:rsidR="00B81226" w:rsidRDefault="00B82AC2">
            <w:pPr>
              <w:pStyle w:val="P68B1DB1-TableParagraph13"/>
              <w:spacing w:before="108"/>
              <w:ind w:left="85"/>
              <w:jc w:val="both"/>
              <w:rPr>
                <w:rFonts w:eastAsia="Cambria"/>
              </w:rPr>
            </w:pPr>
            <w:r>
              <w:t>Yritykset ja yritysmäiset yhteisöt, jotka eivät välitä rahoitusta vaan ovat pääasiallisesti markkinatavaroiden ja muiden kuin rahoituspalvelujen tuottajia Euroopan keskuspankin asetuksen (EU) 2021/379 mukaisesti.</w:t>
            </w:r>
          </w:p>
          <w:p w14:paraId="7FE1B506" w14:textId="77777777" w:rsidR="00B81226" w:rsidRDefault="00B82AC2">
            <w:pPr>
              <w:pStyle w:val="P68B1DB1-TableParagraph17"/>
              <w:spacing w:before="108"/>
              <w:ind w:left="85"/>
              <w:jc w:val="both"/>
              <w:rPr>
                <w:b/>
                <w:bCs/>
              </w:rPr>
            </w:pPr>
            <w:r>
              <w:t xml:space="preserve">Lukuun ottamatta sarakkeessa 0020 ilmoitettuja pk-yrityksiä. </w:t>
            </w:r>
          </w:p>
        </w:tc>
      </w:tr>
      <w:tr w:rsidR="00B81226" w14:paraId="7FE1B50C" w14:textId="77777777">
        <w:tc>
          <w:tcPr>
            <w:tcW w:w="908" w:type="dxa"/>
            <w:tcBorders>
              <w:top w:val="single" w:sz="4" w:space="0" w:color="1A171C"/>
              <w:left w:val="nil"/>
              <w:bottom w:val="single" w:sz="4" w:space="0" w:color="1A171C"/>
              <w:right w:val="single" w:sz="4" w:space="0" w:color="1A171C"/>
            </w:tcBorders>
            <w:vAlign w:val="center"/>
          </w:tcPr>
          <w:p w14:paraId="7FE1B508" w14:textId="77777777" w:rsidR="00B81226" w:rsidRDefault="00B82AC2">
            <w:pPr>
              <w:pStyle w:val="P68B1DB1-TableParagraph13"/>
              <w:spacing w:before="106"/>
              <w:ind w:left="-1"/>
            </w:pPr>
            <w:r>
              <w:t>0040–0041</w:t>
            </w:r>
          </w:p>
        </w:tc>
        <w:tc>
          <w:tcPr>
            <w:tcW w:w="8118" w:type="dxa"/>
            <w:tcBorders>
              <w:top w:val="single" w:sz="4" w:space="0" w:color="1A171C"/>
              <w:left w:val="single" w:sz="4" w:space="0" w:color="1A171C"/>
              <w:bottom w:val="single" w:sz="4" w:space="0" w:color="1A171C"/>
              <w:right w:val="nil"/>
            </w:tcBorders>
            <w:vAlign w:val="center"/>
          </w:tcPr>
          <w:p w14:paraId="7FE1B509" w14:textId="77777777" w:rsidR="00B81226" w:rsidRDefault="00B82AC2">
            <w:pPr>
              <w:pStyle w:val="P68B1DB1-TableParagraph14"/>
              <w:spacing w:before="108"/>
              <w:ind w:left="85"/>
              <w:jc w:val="both"/>
            </w:pPr>
            <w:r>
              <w:t>Luottolaitokset</w:t>
            </w:r>
          </w:p>
          <w:p w14:paraId="7FE1B50A" w14:textId="77777777" w:rsidR="00B81226" w:rsidRDefault="00B82AC2">
            <w:pPr>
              <w:pStyle w:val="P68B1DB1-TableParagraph17"/>
              <w:spacing w:before="108"/>
              <w:ind w:left="85"/>
              <w:jc w:val="both"/>
            </w:pPr>
            <w:r>
              <w:t>FINREP-raportoinnin liitteessä V olevan 1 osan 42 kohdan c alakohta.</w:t>
            </w:r>
          </w:p>
          <w:p w14:paraId="7FE1B50B" w14:textId="77777777" w:rsidR="00B81226" w:rsidRDefault="00B82AC2">
            <w:pPr>
              <w:pStyle w:val="P68B1DB1-TableParagraph13"/>
              <w:spacing w:before="108"/>
              <w:ind w:left="85"/>
              <w:jc w:val="both"/>
              <w:rPr>
                <w:b/>
                <w:bCs/>
              </w:rPr>
            </w:pPr>
            <w:r>
              <w:t>Asetuksen (EU) N:o 575/2013 4 artiklan 1 kohdan 1 alakohdassa tarkoitetut luottolaitokset ja kansainväliset kehityspankit.</w:t>
            </w:r>
          </w:p>
        </w:tc>
      </w:tr>
      <w:tr w:rsidR="00B81226" w14:paraId="7FE1B511" w14:textId="77777777">
        <w:tc>
          <w:tcPr>
            <w:tcW w:w="908" w:type="dxa"/>
            <w:tcBorders>
              <w:top w:val="single" w:sz="4" w:space="0" w:color="1A171C"/>
              <w:left w:val="nil"/>
              <w:bottom w:val="single" w:sz="4" w:space="0" w:color="1A171C"/>
              <w:right w:val="single" w:sz="4" w:space="0" w:color="1A171C"/>
            </w:tcBorders>
            <w:vAlign w:val="center"/>
          </w:tcPr>
          <w:p w14:paraId="7FE1B50D" w14:textId="0A55540C" w:rsidR="00B81226" w:rsidRDefault="00B82AC2">
            <w:pPr>
              <w:pStyle w:val="P68B1DB1-TableParagraph13"/>
              <w:spacing w:before="106"/>
              <w:ind w:left="-1"/>
            </w:pPr>
            <w:r>
              <w:t>0050–0056</w:t>
            </w:r>
          </w:p>
        </w:tc>
        <w:tc>
          <w:tcPr>
            <w:tcW w:w="8118" w:type="dxa"/>
            <w:tcBorders>
              <w:top w:val="single" w:sz="4" w:space="0" w:color="1A171C"/>
              <w:left w:val="single" w:sz="4" w:space="0" w:color="1A171C"/>
              <w:bottom w:val="single" w:sz="4" w:space="0" w:color="1A171C"/>
              <w:right w:val="nil"/>
            </w:tcBorders>
            <w:vAlign w:val="center"/>
          </w:tcPr>
          <w:p w14:paraId="7FE1B50E" w14:textId="77777777" w:rsidR="00B81226" w:rsidRDefault="00B82AC2">
            <w:pPr>
              <w:pStyle w:val="P68B1DB1-TableParagraph14"/>
              <w:spacing w:before="108"/>
              <w:ind w:left="85"/>
              <w:jc w:val="both"/>
            </w:pPr>
            <w:r>
              <w:t>Muut rahoituslaitokset</w:t>
            </w:r>
          </w:p>
          <w:p w14:paraId="7FE1B50F" w14:textId="77777777" w:rsidR="00B81226" w:rsidRDefault="00B82AC2">
            <w:pPr>
              <w:pStyle w:val="P68B1DB1-TableParagraph17"/>
              <w:spacing w:before="108"/>
              <w:ind w:left="85"/>
              <w:jc w:val="both"/>
            </w:pPr>
            <w:r>
              <w:t>FINREP-raportoinnin liitteessä V olevan 1 osan 42 kohdan d alakohta.</w:t>
            </w:r>
          </w:p>
          <w:p w14:paraId="7FE1B510" w14:textId="06860C4E" w:rsidR="00B81226" w:rsidRDefault="00B82AC2">
            <w:pPr>
              <w:pStyle w:val="P68B1DB1-TableParagraph17"/>
              <w:spacing w:before="108"/>
              <w:ind w:left="85"/>
              <w:jc w:val="both"/>
              <w:rPr>
                <w:b/>
                <w:bCs/>
              </w:rPr>
            </w:pPr>
            <w:r>
              <w:t>Kaikki rahoitusalan yritykset ja yritysmäiset yhteisöt, jotka eivät ole luottolaitoksia, kuten sijoituspalveluyritykset, sijoitusrahastot, vakuutusyritykset, eläkerahastot, yhteistä sijoitustoimintaa harjoittavat yritykset ja määritysyhteisöt sekä muut rahoituksen välittäjät, rahoituksen ja vakuutuksen välitystä avustavat laitokset ja rahoituslaitoksiin kuuluvat kytkösyhtiöt ja rahanlainaajat.</w:t>
            </w:r>
          </w:p>
        </w:tc>
      </w:tr>
      <w:tr w:rsidR="00B81226" w14:paraId="7FE1B515" w14:textId="77777777">
        <w:tc>
          <w:tcPr>
            <w:tcW w:w="908" w:type="dxa"/>
            <w:tcBorders>
              <w:top w:val="single" w:sz="4" w:space="0" w:color="1A171C"/>
              <w:left w:val="nil"/>
              <w:bottom w:val="single" w:sz="4" w:space="0" w:color="1A171C"/>
              <w:right w:val="single" w:sz="4" w:space="0" w:color="1A171C"/>
            </w:tcBorders>
            <w:vAlign w:val="center"/>
          </w:tcPr>
          <w:p w14:paraId="7FE1B512" w14:textId="77777777" w:rsidR="00B81226" w:rsidRDefault="00B82AC2">
            <w:pPr>
              <w:pStyle w:val="P68B1DB1-TableParagraph13"/>
              <w:spacing w:before="106"/>
              <w:ind w:left="-1"/>
            </w:pPr>
            <w:r>
              <w:t>0055–0056</w:t>
            </w:r>
          </w:p>
        </w:tc>
        <w:tc>
          <w:tcPr>
            <w:tcW w:w="8118" w:type="dxa"/>
            <w:tcBorders>
              <w:top w:val="single" w:sz="4" w:space="0" w:color="1A171C"/>
              <w:left w:val="single" w:sz="4" w:space="0" w:color="1A171C"/>
              <w:bottom w:val="single" w:sz="4" w:space="0" w:color="1A171C"/>
              <w:right w:val="nil"/>
            </w:tcBorders>
            <w:vAlign w:val="center"/>
          </w:tcPr>
          <w:p w14:paraId="7FE1B513" w14:textId="77777777" w:rsidR="00B81226" w:rsidRDefault="00B82AC2">
            <w:pPr>
              <w:pStyle w:val="P68B1DB1-TableParagraph14"/>
              <w:spacing w:before="108"/>
              <w:ind w:left="85"/>
              <w:jc w:val="both"/>
            </w:pPr>
            <w:r>
              <w:t>Joista vakuutusyhtiöt ja eläkerahastot</w:t>
            </w:r>
          </w:p>
          <w:p w14:paraId="7FE1B514" w14:textId="77777777" w:rsidR="00B81226" w:rsidRDefault="00B82AC2">
            <w:pPr>
              <w:pStyle w:val="P68B1DB1-TableParagraph17"/>
              <w:spacing w:before="108"/>
              <w:ind w:left="85"/>
              <w:jc w:val="both"/>
              <w:rPr>
                <w:b/>
              </w:rPr>
            </w:pPr>
            <w:r>
              <w:t>Euroopan parlamentin ja neuvoston direktiivin 2009/138/EY 13 artiklan 1–6 kohdassa tarkoitetut vakuutusyritykset, jälleenvakuutusyritykset ja eläkerahastot.</w:t>
            </w:r>
          </w:p>
        </w:tc>
      </w:tr>
      <w:tr w:rsidR="00B81226" w14:paraId="7FE1B51A" w14:textId="77777777">
        <w:tc>
          <w:tcPr>
            <w:tcW w:w="908" w:type="dxa"/>
            <w:tcBorders>
              <w:top w:val="single" w:sz="4" w:space="0" w:color="1A171C"/>
              <w:left w:val="nil"/>
              <w:bottom w:val="single" w:sz="4" w:space="0" w:color="1A171C"/>
              <w:right w:val="single" w:sz="4" w:space="0" w:color="1A171C"/>
            </w:tcBorders>
            <w:vAlign w:val="center"/>
          </w:tcPr>
          <w:p w14:paraId="7FE1B516" w14:textId="77777777" w:rsidR="00B81226" w:rsidRDefault="00B82AC2">
            <w:pPr>
              <w:pStyle w:val="P68B1DB1-TableParagraph13"/>
              <w:spacing w:before="106"/>
              <w:ind w:left="-1"/>
            </w:pPr>
            <w:r>
              <w:t>0060–0061</w:t>
            </w:r>
          </w:p>
        </w:tc>
        <w:tc>
          <w:tcPr>
            <w:tcW w:w="8118" w:type="dxa"/>
            <w:tcBorders>
              <w:top w:val="single" w:sz="4" w:space="0" w:color="1A171C"/>
              <w:left w:val="single" w:sz="4" w:space="0" w:color="1A171C"/>
              <w:bottom w:val="single" w:sz="4" w:space="0" w:color="1A171C"/>
              <w:right w:val="nil"/>
            </w:tcBorders>
            <w:vAlign w:val="center"/>
          </w:tcPr>
          <w:p w14:paraId="7FE1B517" w14:textId="77777777" w:rsidR="00B81226" w:rsidRDefault="00B82AC2">
            <w:pPr>
              <w:pStyle w:val="P68B1DB1-TableParagraph14"/>
              <w:spacing w:before="108"/>
              <w:ind w:left="85"/>
              <w:jc w:val="both"/>
            </w:pPr>
            <w:r>
              <w:t>Julkisyhteisöt ja keskuspankit</w:t>
            </w:r>
          </w:p>
          <w:p w14:paraId="7FE1B518" w14:textId="77777777" w:rsidR="00B81226" w:rsidRDefault="00B82AC2">
            <w:pPr>
              <w:pStyle w:val="P68B1DB1-TableParagraph17"/>
              <w:spacing w:before="108"/>
              <w:ind w:left="85"/>
              <w:jc w:val="both"/>
            </w:pPr>
            <w:r>
              <w:t>FINREP-raportoinnin liitteessä V olevan 1 osan 42 kohdan a ja b alakohta.</w:t>
            </w:r>
          </w:p>
          <w:p w14:paraId="7FE1B519" w14:textId="77777777" w:rsidR="00B81226" w:rsidRDefault="00B82AC2">
            <w:pPr>
              <w:pStyle w:val="P68B1DB1-TableParagraph17"/>
              <w:spacing w:before="108"/>
              <w:ind w:left="85"/>
              <w:jc w:val="both"/>
              <w:rPr>
                <w:b/>
                <w:bCs/>
              </w:rPr>
            </w:pPr>
            <w:r>
              <w:t>Keskuspankit ja valtionhallinto, osavaltionhallinto tai aluehallinto ja paikallishallinto, mukaan luettuina hallintoelimet ja yleishyödylliset yritykset, paitsi sellaiset näiden hallintojen hallussa olevat osakeyhtiöt ja rajavastuuyhtiöt, jotka harjoittavat kaupallista toimintaa (nämä ilmoitetaan toiminnasta riippuen kohdassa ”luottolaitokset”, ”muut rahoitusalan yritykset” tai ”rahoitusalan ulkopuoliset yritykset”), sosiaaliturvarahastot ja kansainväliset järjestöt, kuten Euroopan unioni, Kansainvälinen va</w:t>
            </w:r>
            <w:r>
              <w:t>luuttarahasto ja Kansainvälinen järjestelypankki.</w:t>
            </w:r>
          </w:p>
        </w:tc>
      </w:tr>
      <w:tr w:rsidR="00B81226" w14:paraId="7FE1B51E" w14:textId="77777777">
        <w:tc>
          <w:tcPr>
            <w:tcW w:w="908" w:type="dxa"/>
            <w:tcBorders>
              <w:top w:val="single" w:sz="4" w:space="0" w:color="1A171C"/>
              <w:left w:val="nil"/>
              <w:bottom w:val="single" w:sz="4" w:space="0" w:color="1A171C"/>
              <w:right w:val="single" w:sz="4" w:space="0" w:color="1A171C"/>
            </w:tcBorders>
            <w:vAlign w:val="center"/>
          </w:tcPr>
          <w:p w14:paraId="7FE1B51B" w14:textId="77777777" w:rsidR="00B81226" w:rsidRDefault="00B82AC2">
            <w:pPr>
              <w:pStyle w:val="P68B1DB1-TableParagraph13"/>
              <w:spacing w:before="106"/>
              <w:ind w:left="-1"/>
            </w:pPr>
            <w:r>
              <w:t>0070–0071</w:t>
            </w:r>
          </w:p>
        </w:tc>
        <w:tc>
          <w:tcPr>
            <w:tcW w:w="8118" w:type="dxa"/>
            <w:tcBorders>
              <w:top w:val="single" w:sz="4" w:space="0" w:color="1A171C"/>
              <w:left w:val="single" w:sz="4" w:space="0" w:color="1A171C"/>
              <w:bottom w:val="single" w:sz="4" w:space="0" w:color="1A171C"/>
              <w:right w:val="nil"/>
            </w:tcBorders>
            <w:vAlign w:val="center"/>
          </w:tcPr>
          <w:p w14:paraId="7FE1B51C" w14:textId="77777777" w:rsidR="00B81226" w:rsidRDefault="00B82AC2">
            <w:pPr>
              <w:pStyle w:val="P68B1DB1-TableParagraph14"/>
              <w:spacing w:before="108"/>
              <w:ind w:left="85"/>
              <w:jc w:val="both"/>
            </w:pPr>
            <w:r>
              <w:t>Ei yksilöity, listattu kauppapaikassa</w:t>
            </w:r>
          </w:p>
          <w:p w14:paraId="7FE1B51D" w14:textId="5F92CBCC" w:rsidR="00B81226" w:rsidRDefault="00B82AC2">
            <w:pPr>
              <w:pStyle w:val="TableParagraph"/>
              <w:spacing w:before="108"/>
              <w:ind w:left="85"/>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Jos arvopaperin haltijan henkilöllisyys ei ole tiedossa, ja instrumentit on listattu kauppapaikassa, sellaisena kuin se on määritelty direktiivissä 2014/65/EU</w:t>
            </w:r>
            <w:r>
              <w:rPr>
                <w:rStyle w:val="FootnoteReference"/>
                <w:rFonts w:cs="Times New Roman"/>
                <w:color w:val="000000" w:themeColor="text1"/>
              </w:rPr>
              <w:footnoteReference w:id="13"/>
            </w:r>
            <w:r>
              <w:rPr>
                <w:rFonts w:ascii="Times New Roman" w:hAnsi="Times New Roman" w:cs="Times New Roman"/>
                <w:color w:val="000000" w:themeColor="text1"/>
                <w:sz w:val="20"/>
                <w:szCs w:val="20"/>
              </w:rPr>
              <w:t>, määrät kirjataan tähän sarakkeeseen.</w:t>
            </w:r>
          </w:p>
        </w:tc>
      </w:tr>
      <w:tr w:rsidR="00B81226" w14:paraId="7FE1B522" w14:textId="77777777">
        <w:tc>
          <w:tcPr>
            <w:tcW w:w="908" w:type="dxa"/>
            <w:tcBorders>
              <w:top w:val="single" w:sz="4" w:space="0" w:color="1A171C"/>
              <w:left w:val="nil"/>
              <w:bottom w:val="single" w:sz="4" w:space="0" w:color="1A171C"/>
              <w:right w:val="single" w:sz="4" w:space="0" w:color="1A171C"/>
            </w:tcBorders>
            <w:vAlign w:val="center"/>
          </w:tcPr>
          <w:p w14:paraId="7FE1B51F" w14:textId="77777777" w:rsidR="00B81226" w:rsidRDefault="00B82AC2">
            <w:pPr>
              <w:pStyle w:val="P68B1DB1-TableParagraph13"/>
              <w:spacing w:before="106"/>
              <w:ind w:left="-1"/>
            </w:pPr>
            <w:r>
              <w:t>0080–0081</w:t>
            </w:r>
          </w:p>
        </w:tc>
        <w:tc>
          <w:tcPr>
            <w:tcW w:w="8118" w:type="dxa"/>
            <w:tcBorders>
              <w:top w:val="single" w:sz="4" w:space="0" w:color="1A171C"/>
              <w:left w:val="single" w:sz="4" w:space="0" w:color="1A171C"/>
              <w:bottom w:val="single" w:sz="4" w:space="0" w:color="1A171C"/>
              <w:right w:val="nil"/>
            </w:tcBorders>
            <w:vAlign w:val="center"/>
          </w:tcPr>
          <w:p w14:paraId="7FE1B520" w14:textId="77777777" w:rsidR="00B81226" w:rsidRDefault="00B82AC2">
            <w:pPr>
              <w:pStyle w:val="P68B1DB1-TableParagraph14"/>
              <w:spacing w:before="108"/>
              <w:ind w:left="85"/>
              <w:jc w:val="both"/>
            </w:pPr>
            <w:r>
              <w:t>Ei yksilöity, ei listattu kauppapaikassa</w:t>
            </w:r>
          </w:p>
          <w:p w14:paraId="7FE1B521" w14:textId="4FDBE5B1" w:rsidR="00B81226" w:rsidRDefault="00B82AC2">
            <w:pPr>
              <w:pStyle w:val="P68B1DB1-TableParagraph17"/>
              <w:spacing w:before="108"/>
              <w:ind w:left="85"/>
              <w:jc w:val="both"/>
            </w:pPr>
            <w:r>
              <w:t>Jos arvopaperin haltijan henkilöllisyys ei ole tiedossa, eikä instrumentteja ole listattu kauppapaikassa, määrät kirjataan tähän sarakkeeseen, eikä muita vastapuolierittelyjä tarvita. Raportoivia yhteisöjä kannustetaan yksilöimään vastapuolet ja rajoittamaan tämän sarakkeen käyttö minimiin.</w:t>
            </w:r>
          </w:p>
        </w:tc>
      </w:tr>
      <w:tr w:rsidR="00B81226" w14:paraId="7FE1B525" w14:textId="77777777">
        <w:tc>
          <w:tcPr>
            <w:tcW w:w="908" w:type="dxa"/>
            <w:tcBorders>
              <w:top w:val="single" w:sz="4" w:space="0" w:color="1A171C"/>
              <w:left w:val="nil"/>
              <w:bottom w:val="single" w:sz="4" w:space="0" w:color="1A171C"/>
              <w:right w:val="single" w:sz="4" w:space="0" w:color="1A171C"/>
            </w:tcBorders>
            <w:vAlign w:val="center"/>
          </w:tcPr>
          <w:p w14:paraId="7FE1B523" w14:textId="42079B1B" w:rsidR="00B81226" w:rsidRDefault="00B82AC2">
            <w:pPr>
              <w:pStyle w:val="P68B1DB1-TableParagraph13"/>
              <w:spacing w:before="106"/>
              <w:ind w:left="-1"/>
            </w:pPr>
            <w:r>
              <w:t>0090–0111</w:t>
            </w:r>
          </w:p>
        </w:tc>
        <w:tc>
          <w:tcPr>
            <w:tcW w:w="8118" w:type="dxa"/>
            <w:tcBorders>
              <w:top w:val="single" w:sz="4" w:space="0" w:color="1A171C"/>
              <w:left w:val="single" w:sz="4" w:space="0" w:color="1A171C"/>
              <w:bottom w:val="single" w:sz="4" w:space="0" w:color="1A171C"/>
              <w:right w:val="nil"/>
            </w:tcBorders>
            <w:vAlign w:val="center"/>
          </w:tcPr>
          <w:p w14:paraId="7FE1B524" w14:textId="77777777" w:rsidR="00B81226" w:rsidRDefault="00B82AC2">
            <w:pPr>
              <w:pStyle w:val="P68B1DB1-TableParagraph14"/>
              <w:spacing w:before="108"/>
              <w:ind w:left="85"/>
              <w:jc w:val="both"/>
              <w:rPr>
                <w:bCs/>
              </w:rPr>
            </w:pPr>
            <w:r>
              <w:t>Yhteensä</w:t>
            </w:r>
          </w:p>
        </w:tc>
      </w:tr>
      <w:tr w:rsidR="00B81226" w14:paraId="7FE1B529" w14:textId="77777777">
        <w:tc>
          <w:tcPr>
            <w:tcW w:w="908" w:type="dxa"/>
            <w:tcBorders>
              <w:top w:val="single" w:sz="4" w:space="0" w:color="1A171C"/>
              <w:left w:val="nil"/>
              <w:bottom w:val="single" w:sz="4" w:space="0" w:color="1A171C"/>
              <w:right w:val="single" w:sz="4" w:space="0" w:color="1A171C"/>
            </w:tcBorders>
            <w:vAlign w:val="center"/>
          </w:tcPr>
          <w:p w14:paraId="7FE1B526" w14:textId="77777777" w:rsidR="00B81226" w:rsidRDefault="00B82AC2">
            <w:pPr>
              <w:pStyle w:val="P68B1DB1-TableParagraph13"/>
              <w:spacing w:before="106"/>
              <w:ind w:left="-1"/>
            </w:pPr>
            <w:r>
              <w:t>0100–0101</w:t>
            </w:r>
          </w:p>
        </w:tc>
        <w:tc>
          <w:tcPr>
            <w:tcW w:w="8118" w:type="dxa"/>
            <w:tcBorders>
              <w:top w:val="single" w:sz="4" w:space="0" w:color="1A171C"/>
              <w:left w:val="single" w:sz="4" w:space="0" w:color="1A171C"/>
              <w:bottom w:val="single" w:sz="4" w:space="0" w:color="1A171C"/>
              <w:right w:val="nil"/>
            </w:tcBorders>
            <w:vAlign w:val="center"/>
          </w:tcPr>
          <w:p w14:paraId="7FE1B527" w14:textId="77777777" w:rsidR="00B81226" w:rsidRDefault="00B82AC2">
            <w:pPr>
              <w:pStyle w:val="P68B1DB1-TableParagraph14"/>
              <w:spacing w:before="108"/>
              <w:ind w:left="85"/>
              <w:jc w:val="both"/>
            </w:pPr>
            <w:r>
              <w:t>Josta: konsernin sisäinen</w:t>
            </w:r>
          </w:p>
          <w:p w14:paraId="7FE1B528" w14:textId="1BF72D2B" w:rsidR="00B81226" w:rsidRDefault="00B82AC2">
            <w:pPr>
              <w:pStyle w:val="P68B1DB1-TableParagraph13"/>
              <w:spacing w:before="108"/>
              <w:ind w:left="85"/>
              <w:jc w:val="both"/>
              <w:rPr>
                <w:rFonts w:eastAsia="Times New Roman"/>
              </w:rPr>
            </w:pPr>
            <w:r>
              <w:t xml:space="preserve">Velat yhteisöille, jotka on sisällytetty perimmäisen emoyhteisön konsernitilinpäätökseen (vastakohtana vakavaraisuussääntelyn tarkoituksia varten tehdylle konsolidoinnille). </w:t>
            </w:r>
          </w:p>
        </w:tc>
      </w:tr>
      <w:tr w:rsidR="00B81226" w14:paraId="7FE1B52E" w14:textId="77777777">
        <w:tc>
          <w:tcPr>
            <w:tcW w:w="908" w:type="dxa"/>
            <w:tcBorders>
              <w:top w:val="single" w:sz="4" w:space="0" w:color="1A171C"/>
              <w:left w:val="nil"/>
              <w:bottom w:val="single" w:sz="4" w:space="0" w:color="1A171C"/>
              <w:right w:val="single" w:sz="4" w:space="0" w:color="1A171C"/>
            </w:tcBorders>
            <w:vAlign w:val="center"/>
          </w:tcPr>
          <w:p w14:paraId="7FE1B52A" w14:textId="77777777" w:rsidR="00B81226" w:rsidRDefault="00B82AC2">
            <w:pPr>
              <w:pStyle w:val="P68B1DB1-TableParagraph13"/>
              <w:spacing w:before="106"/>
              <w:ind w:left="-1"/>
            </w:pPr>
            <w:r>
              <w:lastRenderedPageBreak/>
              <w:t>0110–0111</w:t>
            </w:r>
          </w:p>
        </w:tc>
        <w:tc>
          <w:tcPr>
            <w:tcW w:w="8118" w:type="dxa"/>
            <w:tcBorders>
              <w:top w:val="single" w:sz="4" w:space="0" w:color="1A171C"/>
              <w:left w:val="single" w:sz="4" w:space="0" w:color="1A171C"/>
              <w:bottom w:val="single" w:sz="4" w:space="0" w:color="1A171C"/>
              <w:right w:val="nil"/>
            </w:tcBorders>
            <w:vAlign w:val="center"/>
          </w:tcPr>
          <w:p w14:paraId="7FE1B52B" w14:textId="748C85E3" w:rsidR="00B81226" w:rsidRDefault="00B82AC2">
            <w:pPr>
              <w:pStyle w:val="P68B1DB1-TableParagraph14"/>
              <w:spacing w:before="108"/>
              <w:ind w:left="85"/>
              <w:jc w:val="both"/>
            </w:pPr>
            <w:r>
              <w:t>Josta: velat, joihin sovelletaan kolmannen maan lainsäädäntöä, paitsi konsernin sisäiset velat</w:t>
            </w:r>
          </w:p>
          <w:p w14:paraId="7FE1B52C" w14:textId="77777777" w:rsidR="00B81226" w:rsidRDefault="00B82AC2">
            <w:pPr>
              <w:pStyle w:val="P68B1DB1-TableParagraph17"/>
              <w:spacing w:before="108"/>
              <w:ind w:left="85"/>
              <w:jc w:val="both"/>
            </w:pPr>
            <w:r>
              <w:t>Näihin sisältyvät kolmansien maiden lainsäädännön alaisten ja/tai kolmansiin maihin sijoittautuneiden konserniyhteisöjen liikkeeseen laskemien velkojen bruttomäärät. Konsernin sisäiset velat jätetään ulkopuolelle.</w:t>
            </w:r>
          </w:p>
          <w:p w14:paraId="7FE1B52D" w14:textId="77777777" w:rsidR="00B81226" w:rsidRDefault="00B82AC2">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Jos kriisinratkaisuviranomainen on todennut katsovansa Euroopan parlamentin ja neuvoston direktiivin 2014/59/EU 55 artiklan 3 kohdan mukaisesti,</w:t>
            </w:r>
            <w:r>
              <w:rPr>
                <w:rStyle w:val="FootnoteReference"/>
                <w:rFonts w:ascii="Times New Roman" w:eastAsia="Cambria" w:hAnsi="Times New Roman" w:cs="Times New Roman"/>
                <w:color w:val="000000" w:themeColor="text1"/>
              </w:rPr>
              <w:footnoteReference w:id="14"/>
            </w:r>
            <w:r>
              <w:rPr>
                <w:rFonts w:ascii="Times New Roman" w:eastAsia="Cambria" w:hAnsi="Times New Roman" w:cs="Times New Roman"/>
                <w:color w:val="000000" w:themeColor="text1"/>
                <w:sz w:val="20"/>
                <w:szCs w:val="20"/>
              </w:rPr>
              <w:t>että kaikki kriisinratkaisuviranomaisen päätökset velan alaskirjaamisesta tai muuntamisesta olisivat tehokkaita kyseisen kolmannen maan oikeuden nojalla, kyseistä velkaa ei ilmoiteta tässä sarakkeessa.</w:t>
            </w:r>
          </w:p>
        </w:tc>
      </w:tr>
    </w:tbl>
    <w:p w14:paraId="7FE1B532" w14:textId="77777777" w:rsidR="00B81226" w:rsidRDefault="00B81226">
      <w:pPr>
        <w:rPr>
          <w:rFonts w:ascii="Times New Roman" w:hAnsi="Times New Roman" w:cs="Times New Roman"/>
        </w:rPr>
      </w:pPr>
    </w:p>
    <w:p w14:paraId="7FE1B533" w14:textId="77777777" w:rsidR="00B81226" w:rsidRDefault="00B81226">
      <w:pPr>
        <w:rPr>
          <w:rFonts w:ascii="Times New Roman"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905"/>
        <w:gridCol w:w="8121"/>
      </w:tblGrid>
      <w:tr w:rsidR="00B81226" w14:paraId="7FE1B536" w14:textId="77777777">
        <w:trPr>
          <w:tblHeader/>
        </w:trPr>
        <w:tc>
          <w:tcPr>
            <w:tcW w:w="905" w:type="dxa"/>
            <w:tcBorders>
              <w:top w:val="single" w:sz="4" w:space="0" w:color="1A171C"/>
              <w:left w:val="nil"/>
              <w:bottom w:val="single" w:sz="4" w:space="0" w:color="1A171C"/>
              <w:right w:val="single" w:sz="4" w:space="0" w:color="1A171C"/>
            </w:tcBorders>
            <w:shd w:val="clear" w:color="auto" w:fill="E4E5E5"/>
          </w:tcPr>
          <w:p w14:paraId="7FE1B534" w14:textId="77777777" w:rsidR="00B81226" w:rsidRDefault="00B82AC2">
            <w:pPr>
              <w:pStyle w:val="P68B1DB1-TableParagraph13"/>
              <w:spacing w:before="66"/>
              <w:rPr>
                <w:rFonts w:eastAsia="Cambria"/>
              </w:rPr>
            </w:pPr>
            <w:r>
              <w:t>Rivit</w:t>
            </w:r>
          </w:p>
        </w:tc>
        <w:tc>
          <w:tcPr>
            <w:tcW w:w="8121" w:type="dxa"/>
            <w:tcBorders>
              <w:top w:val="single" w:sz="4" w:space="0" w:color="1A171C"/>
              <w:left w:val="single" w:sz="4" w:space="0" w:color="1A171C"/>
              <w:bottom w:val="single" w:sz="4" w:space="0" w:color="1A171C"/>
              <w:right w:val="nil"/>
            </w:tcBorders>
            <w:shd w:val="clear" w:color="auto" w:fill="E4E5E5"/>
          </w:tcPr>
          <w:p w14:paraId="7FE1B535" w14:textId="77777777" w:rsidR="00B81226" w:rsidRDefault="00B82AC2">
            <w:pPr>
              <w:pStyle w:val="P68B1DB1-TableParagraph13"/>
              <w:spacing w:before="66"/>
              <w:ind w:right="1"/>
              <w:jc w:val="center"/>
              <w:rPr>
                <w:rFonts w:eastAsia="Cambria"/>
              </w:rPr>
            </w:pPr>
            <w:r>
              <w:t>Ohjeet</w:t>
            </w:r>
          </w:p>
        </w:tc>
      </w:tr>
      <w:tr w:rsidR="00B81226" w14:paraId="7FE1B53B" w14:textId="77777777">
        <w:tc>
          <w:tcPr>
            <w:tcW w:w="905" w:type="dxa"/>
            <w:tcBorders>
              <w:top w:val="single" w:sz="4" w:space="0" w:color="1A171C"/>
              <w:left w:val="nil"/>
              <w:bottom w:val="single" w:sz="4" w:space="0" w:color="1A171C"/>
              <w:right w:val="single" w:sz="4" w:space="0" w:color="1A171C"/>
            </w:tcBorders>
            <w:vAlign w:val="center"/>
          </w:tcPr>
          <w:p w14:paraId="7FE1B537" w14:textId="77777777" w:rsidR="00B81226" w:rsidRDefault="00B82AC2">
            <w:pPr>
              <w:pStyle w:val="P68B1DB1-TableParagraph13"/>
              <w:spacing w:before="106"/>
              <w:ind w:left="-1"/>
              <w:rPr>
                <w:rFonts w:eastAsia="Cambria"/>
                <w:b/>
              </w:rPr>
            </w:pPr>
            <w:r>
              <w:t>0100</w:t>
            </w:r>
          </w:p>
        </w:tc>
        <w:tc>
          <w:tcPr>
            <w:tcW w:w="8121" w:type="dxa"/>
            <w:tcBorders>
              <w:top w:val="single" w:sz="4" w:space="0" w:color="1A171C"/>
              <w:left w:val="single" w:sz="4" w:space="0" w:color="1A171C"/>
              <w:bottom w:val="single" w:sz="4" w:space="0" w:color="1A171C"/>
              <w:right w:val="nil"/>
            </w:tcBorders>
            <w:vAlign w:val="center"/>
          </w:tcPr>
          <w:p w14:paraId="7FE1B538" w14:textId="77777777" w:rsidR="00B81226" w:rsidRDefault="00B82AC2">
            <w:pPr>
              <w:pStyle w:val="P68B1DB1-TableParagraph14"/>
              <w:spacing w:before="108"/>
              <w:ind w:left="85"/>
              <w:jc w:val="both"/>
            </w:pPr>
            <w:r>
              <w:t>Velat, jotka jätetään velkakirjojen arvon alaskirjauksen tai omaksi pääomaksi muuntamisen ulkopuolelle</w:t>
            </w:r>
          </w:p>
          <w:p w14:paraId="7FE1B53A" w14:textId="5A5F469A" w:rsidR="00B81226" w:rsidRDefault="00B82AC2">
            <w:pPr>
              <w:pStyle w:val="P68B1DB1-TableParagraph17"/>
              <w:spacing w:before="108"/>
              <w:jc w:val="both"/>
            </w:pPr>
            <w:r>
              <w:t xml:space="preserve">Niiden velkojen määrä, joiden osalta kriisinratkaisuviranomaiset eivät saa käyttää alaskirjaus- tai muuntamisvaltuuksia direktiivin 2014/59/EU 44 artiklan 2 kohdan mukaisesti. </w:t>
            </w:r>
          </w:p>
        </w:tc>
      </w:tr>
      <w:tr w:rsidR="00B81226" w14:paraId="7FE1B53F" w14:textId="77777777">
        <w:tc>
          <w:tcPr>
            <w:tcW w:w="905" w:type="dxa"/>
            <w:tcBorders>
              <w:top w:val="single" w:sz="4" w:space="0" w:color="1A171C"/>
              <w:left w:val="nil"/>
              <w:bottom w:val="single" w:sz="4" w:space="0" w:color="1A171C"/>
              <w:right w:val="single" w:sz="4" w:space="0" w:color="1A171C"/>
            </w:tcBorders>
            <w:vAlign w:val="center"/>
          </w:tcPr>
          <w:p w14:paraId="7FE1B53C" w14:textId="77777777" w:rsidR="00B81226" w:rsidRDefault="00B82AC2">
            <w:pPr>
              <w:pStyle w:val="P68B1DB1-TableParagraph13"/>
              <w:spacing w:before="106"/>
              <w:ind w:left="-1"/>
              <w:rPr>
                <w:rFonts w:eastAsia="Cambria"/>
              </w:rPr>
            </w:pPr>
            <w:r>
              <w:t>0110</w:t>
            </w:r>
          </w:p>
        </w:tc>
        <w:tc>
          <w:tcPr>
            <w:tcW w:w="8121" w:type="dxa"/>
            <w:tcBorders>
              <w:top w:val="single" w:sz="4" w:space="0" w:color="1A171C"/>
              <w:left w:val="single" w:sz="4" w:space="0" w:color="1A171C"/>
              <w:bottom w:val="single" w:sz="4" w:space="0" w:color="1A171C"/>
              <w:right w:val="nil"/>
            </w:tcBorders>
            <w:vAlign w:val="center"/>
          </w:tcPr>
          <w:p w14:paraId="7FE1B53D" w14:textId="77777777" w:rsidR="00B81226" w:rsidRDefault="00B82AC2">
            <w:pPr>
              <w:pStyle w:val="P68B1DB1-TableParagraph14"/>
              <w:spacing w:before="108"/>
              <w:ind w:left="85"/>
              <w:jc w:val="both"/>
            </w:pPr>
            <w:r>
              <w:t>Suojatut talletukset</w:t>
            </w:r>
          </w:p>
          <w:p w14:paraId="7FE1B53E" w14:textId="77777777" w:rsidR="00B81226" w:rsidRDefault="00B82AC2">
            <w:pPr>
              <w:pStyle w:val="TableParagraph"/>
              <w:spacing w:before="108"/>
              <w:ind w:left="85"/>
              <w:jc w:val="both"/>
              <w:rPr>
                <w:rFonts w:ascii="Times New Roman" w:eastAsia="Book Antiqua" w:hAnsi="Times New Roman" w:cs="Times New Roman"/>
                <w:color w:val="000000" w:themeColor="text1"/>
                <w:sz w:val="20"/>
                <w:szCs w:val="20"/>
              </w:rPr>
            </w:pPr>
            <w:r>
              <w:rPr>
                <w:rFonts w:ascii="Times New Roman" w:hAnsi="Times New Roman" w:cs="Times New Roman"/>
                <w:color w:val="000000" w:themeColor="text1"/>
                <w:sz w:val="20"/>
                <w:szCs w:val="20"/>
              </w:rPr>
              <w:t>Euroopan parlamentin ja neuvoston direktiivin 2014/49/EU 2 artiklan 1 kohdan 5 alakohdassa määriteltyjen suojattujen talletusten määrä,</w:t>
            </w:r>
            <w:r>
              <w:rPr>
                <w:rStyle w:val="FootnoteReference"/>
                <w:rFonts w:ascii="Times New Roman" w:hAnsi="Times New Roman" w:cs="Times New Roman"/>
                <w:color w:val="000000" w:themeColor="text1"/>
              </w:rPr>
              <w:footnoteReference w:id="15"/>
            </w:r>
            <w:r>
              <w:rPr>
                <w:rFonts w:ascii="Times New Roman" w:eastAsia="Cambria" w:hAnsi="Times New Roman" w:cs="Times New Roman"/>
                <w:color w:val="000000" w:themeColor="text1"/>
                <w:sz w:val="20"/>
                <w:szCs w:val="20"/>
              </w:rPr>
              <w:t>lukuun ottamatta mainitun direktiivin 6 artiklan 2 kohdassa määriteltyjä tilapäisesti korkeita saldoja.</w:t>
            </w:r>
          </w:p>
        </w:tc>
      </w:tr>
      <w:tr w:rsidR="00B81226" w14:paraId="7FE1B546" w14:textId="77777777">
        <w:tc>
          <w:tcPr>
            <w:tcW w:w="905" w:type="dxa"/>
            <w:tcBorders>
              <w:top w:val="single" w:sz="4" w:space="0" w:color="1A171C"/>
              <w:left w:val="nil"/>
              <w:bottom w:val="single" w:sz="4" w:space="0" w:color="1A171C"/>
              <w:right w:val="single" w:sz="4" w:space="0" w:color="1A171C"/>
            </w:tcBorders>
            <w:vAlign w:val="center"/>
          </w:tcPr>
          <w:p w14:paraId="7FE1B540" w14:textId="77777777" w:rsidR="00B81226" w:rsidRDefault="00B82AC2">
            <w:pPr>
              <w:pStyle w:val="P68B1DB1-TableParagraph13"/>
              <w:spacing w:before="106"/>
              <w:ind w:left="-1"/>
              <w:rPr>
                <w:rFonts w:eastAsia="Cambria"/>
              </w:rPr>
            </w:pPr>
            <w:r>
              <w:t>0120</w:t>
            </w:r>
          </w:p>
        </w:tc>
        <w:tc>
          <w:tcPr>
            <w:tcW w:w="8121" w:type="dxa"/>
            <w:tcBorders>
              <w:top w:val="single" w:sz="4" w:space="0" w:color="1A171C"/>
              <w:left w:val="single" w:sz="4" w:space="0" w:color="1A171C"/>
              <w:bottom w:val="single" w:sz="4" w:space="0" w:color="1A171C"/>
              <w:right w:val="nil"/>
            </w:tcBorders>
            <w:vAlign w:val="center"/>
          </w:tcPr>
          <w:p w14:paraId="7FE1B541" w14:textId="77777777" w:rsidR="00B81226" w:rsidRDefault="00B82AC2">
            <w:pPr>
              <w:pStyle w:val="P68B1DB1-TableParagraph14"/>
              <w:spacing w:before="108"/>
              <w:ind w:left="85"/>
              <w:jc w:val="both"/>
            </w:pPr>
            <w:r>
              <w:t>Vakuudelliset velat – vakuudellinen osa</w:t>
            </w:r>
          </w:p>
          <w:p w14:paraId="7FE1B542" w14:textId="14245B0A" w:rsidR="00B81226" w:rsidRDefault="00B82AC2">
            <w:pPr>
              <w:pStyle w:val="P68B1DB1-TableParagraph17"/>
              <w:spacing w:before="108"/>
              <w:ind w:left="85"/>
              <w:jc w:val="both"/>
            </w:pPr>
            <w:r>
              <w:t>Direktiivin 2014/59/EU 44 artiklan 2 kohdan b alakohdassa tarkoitettu velkojen määrä.</w:t>
            </w:r>
          </w:p>
          <w:p w14:paraId="7FE1B543" w14:textId="77777777" w:rsidR="00B81226" w:rsidRDefault="00B82AC2">
            <w:pPr>
              <w:pStyle w:val="P68B1DB1-TableParagraph17"/>
              <w:spacing w:before="108"/>
              <w:ind w:left="85"/>
              <w:jc w:val="both"/>
            </w:pPr>
            <w:r>
              <w:t>Vakuudelliset velat, mukaan lukien takaisinostosopimukset (repot), katetut joukkovelkakirjalainat ja rahoitusinstrumenttien muodossa olevat velat, jotka muodostavat katepoolin erottamattoman osan ja jotka ovat kansallisen lainsäädännön mukaisesti samalla tavalla vakuudellisia kuin katetut joukkovelkakirjalainat.</w:t>
            </w:r>
          </w:p>
          <w:p w14:paraId="7FE1B544" w14:textId="77777777" w:rsidR="00B81226" w:rsidRDefault="00B82AC2">
            <w:pPr>
              <w:pStyle w:val="P68B1DB1-TableParagraph17"/>
              <w:spacing w:before="108"/>
              <w:ind w:left="85"/>
              <w:jc w:val="both"/>
            </w:pPr>
            <w:r>
              <w:t>Vaatimus siitä, että kaikki tiettyyn katettujen joukkolainojen vakuuspooliin liittyvät vakuudelliset varat säilyvät koskemattomina ja pidetään erillään ja riittävästi rahoitettuina, ja direktiivin 2014/59/EU 44 artiklan 2 kohdan b alakohdan mukainen poissulkeminen eivät estä kriisinratkaisuviranomaisia käyttämästä näitä valtuuksia tapauksen mukaan vakuudellisen velan tai sellaisen velan, jonka vakuudeksi on annettu pantti tai kiinnitys, siihen osaan, jota vakuutena käytettyjen varojen, pantin tai kiinnityks</w:t>
            </w:r>
            <w:r>
              <w:t>en tai muun vakuuden arvo ei riitä kattamaan. Tällaista vakuudetonta määrää näistä vakuudellisista veloista ei ilmoiteta tällä rivillä vaan rivillä 0340, jollei lisäerittelystä muuta johdu.</w:t>
            </w:r>
          </w:p>
          <w:p w14:paraId="7FE1B545" w14:textId="77777777" w:rsidR="00B81226" w:rsidRDefault="00B82AC2">
            <w:pPr>
              <w:pStyle w:val="P68B1DB1-TableParagraph20"/>
              <w:spacing w:before="108"/>
              <w:ind w:left="85"/>
              <w:jc w:val="both"/>
              <w:rPr>
                <w:color w:val="000000" w:themeColor="text1"/>
              </w:rPr>
            </w:pPr>
            <w:r>
              <w:rPr>
                <w:color w:val="000000" w:themeColor="text1"/>
              </w:rPr>
              <w:t>Keskuspankkivastuut, jotka kuuluvat vakuussammion soveltamisalaan</w:t>
            </w:r>
            <w:r>
              <w:rPr>
                <w:color w:val="1A171C"/>
              </w:rPr>
              <w:t>(esimerkiksi perusrahoitusoperaatiot, pitkäaikaiset rahoitusoperaatiot ja kohdennetut pitempiaikaiset rahoitusoperaatiot),</w:t>
            </w:r>
            <w:r>
              <w:rPr>
                <w:color w:val="000000" w:themeColor="text1"/>
              </w:rPr>
              <w:t xml:space="preserve">rinnastetaan vakuudellisiin velkoihin. </w:t>
            </w:r>
          </w:p>
        </w:tc>
      </w:tr>
      <w:tr w:rsidR="00B81226" w14:paraId="7FE1B54B" w14:textId="77777777">
        <w:tc>
          <w:tcPr>
            <w:tcW w:w="905" w:type="dxa"/>
            <w:tcBorders>
              <w:top w:val="single" w:sz="4" w:space="0" w:color="1A171C"/>
              <w:left w:val="nil"/>
              <w:bottom w:val="single" w:sz="4" w:space="0" w:color="1A171C"/>
              <w:right w:val="single" w:sz="4" w:space="0" w:color="1A171C"/>
            </w:tcBorders>
            <w:vAlign w:val="center"/>
          </w:tcPr>
          <w:p w14:paraId="7FE1B547" w14:textId="77777777" w:rsidR="00B81226" w:rsidRDefault="00B82AC2">
            <w:pPr>
              <w:pStyle w:val="P68B1DB1-TableParagraph13"/>
              <w:spacing w:before="106"/>
              <w:ind w:left="-1"/>
            </w:pPr>
            <w:r>
              <w:t>0130</w:t>
            </w:r>
          </w:p>
        </w:tc>
        <w:tc>
          <w:tcPr>
            <w:tcW w:w="8121" w:type="dxa"/>
            <w:tcBorders>
              <w:top w:val="single" w:sz="4" w:space="0" w:color="1A171C"/>
              <w:left w:val="single" w:sz="4" w:space="0" w:color="1A171C"/>
              <w:bottom w:val="single" w:sz="4" w:space="0" w:color="1A171C"/>
              <w:right w:val="nil"/>
            </w:tcBorders>
            <w:vAlign w:val="center"/>
          </w:tcPr>
          <w:p w14:paraId="7FE1B548" w14:textId="77777777" w:rsidR="00B81226" w:rsidRDefault="00B82AC2">
            <w:pPr>
              <w:pStyle w:val="P68B1DB1-TableParagraph14"/>
              <w:spacing w:before="108"/>
              <w:ind w:left="85"/>
              <w:jc w:val="both"/>
            </w:pPr>
            <w:r>
              <w:t>Asiakkaille olevat velat, jos ne on suojattu maksukyvyttömyystilanteessa</w:t>
            </w:r>
          </w:p>
          <w:p w14:paraId="7FE1B54A" w14:textId="2F60701C" w:rsidR="00B81226" w:rsidRDefault="00B82AC2">
            <w:pPr>
              <w:pStyle w:val="P68B1DB1-TableParagraph17"/>
              <w:spacing w:before="108"/>
              <w:ind w:left="85"/>
              <w:jc w:val="both"/>
              <w:rPr>
                <w:b/>
                <w:bCs/>
              </w:rPr>
            </w:pPr>
            <w:r>
              <w:t>Direktiivin 2014/59/EU 44 artiklan 2 kohdan c alakohdassa tarkoitettu velkojen määrä.</w:t>
            </w:r>
          </w:p>
        </w:tc>
      </w:tr>
      <w:tr w:rsidR="00B81226" w14:paraId="7FE1B550" w14:textId="77777777">
        <w:tc>
          <w:tcPr>
            <w:tcW w:w="905" w:type="dxa"/>
            <w:tcBorders>
              <w:top w:val="single" w:sz="4" w:space="0" w:color="1A171C"/>
              <w:left w:val="nil"/>
              <w:bottom w:val="single" w:sz="4" w:space="0" w:color="1A171C"/>
              <w:right w:val="single" w:sz="4" w:space="0" w:color="1A171C"/>
            </w:tcBorders>
            <w:vAlign w:val="center"/>
          </w:tcPr>
          <w:p w14:paraId="7FE1B54C" w14:textId="77777777" w:rsidR="00B81226" w:rsidRDefault="00B82AC2">
            <w:pPr>
              <w:pStyle w:val="P68B1DB1-TableParagraph13"/>
              <w:spacing w:before="106"/>
              <w:ind w:left="-1"/>
            </w:pPr>
            <w:r>
              <w:t>0140</w:t>
            </w:r>
          </w:p>
        </w:tc>
        <w:tc>
          <w:tcPr>
            <w:tcW w:w="8121" w:type="dxa"/>
            <w:tcBorders>
              <w:top w:val="single" w:sz="4" w:space="0" w:color="1A171C"/>
              <w:left w:val="single" w:sz="4" w:space="0" w:color="1A171C"/>
              <w:bottom w:val="single" w:sz="4" w:space="0" w:color="1A171C"/>
              <w:right w:val="nil"/>
            </w:tcBorders>
            <w:vAlign w:val="center"/>
          </w:tcPr>
          <w:p w14:paraId="7FE1B54D" w14:textId="77777777" w:rsidR="00B81226" w:rsidRDefault="00B82AC2">
            <w:pPr>
              <w:pStyle w:val="P68B1DB1-TableParagraph14"/>
              <w:spacing w:before="108"/>
              <w:ind w:left="85"/>
              <w:jc w:val="both"/>
            </w:pPr>
            <w:r>
              <w:t>Varainhoitoon liittyvät velat, jos ne on suojattu maksukyvyttömyystilanteessa</w:t>
            </w:r>
          </w:p>
          <w:p w14:paraId="7FE1B54F" w14:textId="76B21996" w:rsidR="00B81226" w:rsidRDefault="00B82AC2">
            <w:pPr>
              <w:pStyle w:val="P68B1DB1-TableParagraph17"/>
              <w:spacing w:before="108"/>
              <w:ind w:left="85"/>
              <w:jc w:val="both"/>
              <w:rPr>
                <w:b/>
                <w:bCs/>
              </w:rPr>
            </w:pPr>
            <w:r>
              <w:t>Direktiivin 2014/59/EU 44 artiklan 2 kohdan d alakohdassa tarkoitettu velkojen määrä.</w:t>
            </w:r>
          </w:p>
        </w:tc>
      </w:tr>
      <w:tr w:rsidR="00B81226" w14:paraId="7FE1B555" w14:textId="77777777">
        <w:tc>
          <w:tcPr>
            <w:tcW w:w="905" w:type="dxa"/>
            <w:tcBorders>
              <w:top w:val="single" w:sz="4" w:space="0" w:color="1A171C"/>
              <w:left w:val="nil"/>
              <w:bottom w:val="single" w:sz="4" w:space="0" w:color="1A171C"/>
              <w:right w:val="single" w:sz="4" w:space="0" w:color="1A171C"/>
            </w:tcBorders>
            <w:vAlign w:val="center"/>
          </w:tcPr>
          <w:p w14:paraId="7FE1B551" w14:textId="77777777" w:rsidR="00B81226" w:rsidRDefault="00B82AC2">
            <w:pPr>
              <w:pStyle w:val="P68B1DB1-TableParagraph13"/>
              <w:spacing w:before="106"/>
              <w:ind w:left="-1"/>
            </w:pPr>
            <w:r>
              <w:lastRenderedPageBreak/>
              <w:t>0150</w:t>
            </w:r>
          </w:p>
        </w:tc>
        <w:tc>
          <w:tcPr>
            <w:tcW w:w="8121" w:type="dxa"/>
            <w:tcBorders>
              <w:top w:val="single" w:sz="4" w:space="0" w:color="1A171C"/>
              <w:left w:val="single" w:sz="4" w:space="0" w:color="1A171C"/>
              <w:bottom w:val="single" w:sz="4" w:space="0" w:color="1A171C"/>
              <w:right w:val="nil"/>
            </w:tcBorders>
            <w:vAlign w:val="center"/>
          </w:tcPr>
          <w:p w14:paraId="7FE1B552" w14:textId="77777777" w:rsidR="00B81226" w:rsidRDefault="00B82AC2">
            <w:pPr>
              <w:pStyle w:val="P68B1DB1-TableParagraph14"/>
              <w:spacing w:before="108"/>
              <w:ind w:left="85"/>
              <w:jc w:val="both"/>
            </w:pPr>
            <w:r>
              <w:t xml:space="preserve">Laitoksen velat; 7 päivää </w:t>
            </w:r>
          </w:p>
          <w:p w14:paraId="7FE1B554" w14:textId="175AD873" w:rsidR="00B81226" w:rsidRDefault="00B82AC2">
            <w:pPr>
              <w:pStyle w:val="P68B1DB1-TableParagraph17"/>
              <w:spacing w:before="108"/>
              <w:ind w:left="85"/>
              <w:jc w:val="both"/>
              <w:rPr>
                <w:b/>
                <w:bCs/>
              </w:rPr>
            </w:pPr>
            <w:r>
              <w:t>Direktiivin 2014/59/EU 44 artiklan 2 kohdan e alakohdassa tarkoitettu velkojen määrä.</w:t>
            </w:r>
          </w:p>
        </w:tc>
      </w:tr>
      <w:tr w:rsidR="00B81226" w14:paraId="7FE1B559" w14:textId="77777777">
        <w:tc>
          <w:tcPr>
            <w:tcW w:w="905" w:type="dxa"/>
            <w:tcBorders>
              <w:top w:val="single" w:sz="4" w:space="0" w:color="1A171C"/>
              <w:left w:val="nil"/>
              <w:bottom w:val="single" w:sz="4" w:space="0" w:color="1A171C"/>
              <w:right w:val="single" w:sz="4" w:space="0" w:color="1A171C"/>
            </w:tcBorders>
            <w:vAlign w:val="center"/>
          </w:tcPr>
          <w:p w14:paraId="7FE1B556" w14:textId="77777777" w:rsidR="00B81226" w:rsidRDefault="00B82AC2">
            <w:pPr>
              <w:pStyle w:val="P68B1DB1-TableParagraph13"/>
              <w:spacing w:before="106"/>
              <w:ind w:left="-1"/>
            </w:pPr>
            <w:r>
              <w:t>0161</w:t>
            </w:r>
          </w:p>
        </w:tc>
        <w:tc>
          <w:tcPr>
            <w:tcW w:w="8121" w:type="dxa"/>
            <w:tcBorders>
              <w:top w:val="single" w:sz="4" w:space="0" w:color="1A171C"/>
              <w:left w:val="single" w:sz="4" w:space="0" w:color="1A171C"/>
              <w:bottom w:val="single" w:sz="4" w:space="0" w:color="1A171C"/>
              <w:right w:val="nil"/>
            </w:tcBorders>
            <w:vAlign w:val="center"/>
          </w:tcPr>
          <w:p w14:paraId="7FE1B557" w14:textId="77777777" w:rsidR="00B81226" w:rsidRDefault="00B82AC2">
            <w:pPr>
              <w:pStyle w:val="P68B1DB1-TableParagraph14"/>
              <w:spacing w:before="108"/>
              <w:ind w:left="85"/>
              <w:jc w:val="both"/>
            </w:pPr>
            <w:r>
              <w:t>Järjestelmälle (ylläpitäjälle) ja keskusvastapuolille olevat velat &lt; 7 päivää</w:t>
            </w:r>
          </w:p>
          <w:p w14:paraId="7FE1B558" w14:textId="79B15273" w:rsidR="00B81226" w:rsidRDefault="00B82AC2">
            <w:pPr>
              <w:pStyle w:val="P68B1DB1-TableParagraph17"/>
              <w:spacing w:before="108"/>
              <w:ind w:left="85"/>
              <w:jc w:val="both"/>
              <w:rPr>
                <w:b/>
                <w:bCs/>
              </w:rPr>
            </w:pPr>
            <w:r>
              <w:t xml:space="preserve">Direktiivin 2014/59/EU 44 artiklan 2 kohdan f alakohdassa tarkoitettujen velkojen määrä, mukaan lukien maksujärjestelmät ja arvopaperien selvitysjärjestelmät ja selvitysyhteisöt sekä keskusvastapuolessa määritetyt johdannaiset, joiden maturiteetti on alle 7 päivää. </w:t>
            </w:r>
          </w:p>
        </w:tc>
      </w:tr>
      <w:tr w:rsidR="00B81226" w14:paraId="7FE1B55E" w14:textId="77777777">
        <w:tc>
          <w:tcPr>
            <w:tcW w:w="905" w:type="dxa"/>
            <w:tcBorders>
              <w:top w:val="single" w:sz="4" w:space="0" w:color="1A171C"/>
              <w:left w:val="nil"/>
              <w:bottom w:val="single" w:sz="4" w:space="0" w:color="1A171C"/>
              <w:right w:val="single" w:sz="4" w:space="0" w:color="1A171C"/>
            </w:tcBorders>
            <w:vAlign w:val="center"/>
          </w:tcPr>
          <w:p w14:paraId="7FE1B55A" w14:textId="77777777" w:rsidR="00B81226" w:rsidRDefault="00B82AC2">
            <w:pPr>
              <w:pStyle w:val="P68B1DB1-TableParagraph13"/>
              <w:spacing w:before="106"/>
              <w:ind w:left="-1"/>
            </w:pPr>
            <w:r>
              <w:t>0170</w:t>
            </w:r>
          </w:p>
        </w:tc>
        <w:tc>
          <w:tcPr>
            <w:tcW w:w="8121" w:type="dxa"/>
            <w:tcBorders>
              <w:top w:val="single" w:sz="4" w:space="0" w:color="1A171C"/>
              <w:left w:val="single" w:sz="4" w:space="0" w:color="1A171C"/>
              <w:bottom w:val="single" w:sz="4" w:space="0" w:color="1A171C"/>
              <w:right w:val="nil"/>
            </w:tcBorders>
            <w:vAlign w:val="center"/>
          </w:tcPr>
          <w:p w14:paraId="7FE1B55B" w14:textId="77777777" w:rsidR="00B81226" w:rsidRDefault="00B82AC2">
            <w:pPr>
              <w:pStyle w:val="P68B1DB1-TableParagraph14"/>
              <w:spacing w:before="108"/>
              <w:ind w:left="85"/>
              <w:jc w:val="both"/>
            </w:pPr>
            <w:r>
              <w:t>Työsuhdevelat</w:t>
            </w:r>
          </w:p>
          <w:p w14:paraId="7FE1B55C" w14:textId="77777777" w:rsidR="00B81226" w:rsidRDefault="00B82AC2">
            <w:pPr>
              <w:pStyle w:val="P68B1DB1-TableParagraph17"/>
              <w:spacing w:before="108"/>
              <w:ind w:left="85"/>
              <w:jc w:val="both"/>
            </w:pPr>
            <w:r>
              <w:t>Direktiivin 2014/59/EU 44 artiklan 2 kohdan g alakohdan i alakohdassa tarkoitettu velkojen määrä.</w:t>
            </w:r>
          </w:p>
          <w:p w14:paraId="7FE1B55D" w14:textId="77777777" w:rsidR="00B81226" w:rsidRDefault="00B82AC2">
            <w:pPr>
              <w:pStyle w:val="P68B1DB1-TableParagraph17"/>
              <w:spacing w:before="108"/>
              <w:ind w:left="85"/>
              <w:jc w:val="both"/>
              <w:rPr>
                <w:b/>
                <w:bCs/>
              </w:rPr>
            </w:pPr>
            <w:r>
              <w:t>Työntekijän saamiset kertyneen palkan, eläke-etuuden tai muun kiinteän palkkion osalta, lukuun ottamatta palkkion muuttuvaa osaa, jota ei säännellä työehtosopimuksella. Tätä ei kuitenkaan sovelleta direktiivin 2013/36/EU 92 artiklan 2 kohdassa tarkoitettuun riskinottoa edellyttävissä tehtävissä toimivien palkkion muuttuvaan osaan.</w:t>
            </w:r>
          </w:p>
        </w:tc>
      </w:tr>
      <w:tr w:rsidR="00B81226" w14:paraId="7FE1B563" w14:textId="77777777">
        <w:tc>
          <w:tcPr>
            <w:tcW w:w="905" w:type="dxa"/>
            <w:tcBorders>
              <w:top w:val="single" w:sz="4" w:space="0" w:color="1A171C"/>
              <w:left w:val="nil"/>
              <w:bottom w:val="single" w:sz="4" w:space="0" w:color="1A171C"/>
              <w:right w:val="single" w:sz="4" w:space="0" w:color="1A171C"/>
            </w:tcBorders>
            <w:vAlign w:val="center"/>
          </w:tcPr>
          <w:p w14:paraId="7FE1B55F" w14:textId="77777777" w:rsidR="00B81226" w:rsidRDefault="00B82AC2">
            <w:pPr>
              <w:pStyle w:val="P68B1DB1-TableParagraph13"/>
              <w:spacing w:before="106"/>
              <w:ind w:left="-1"/>
            </w:pPr>
            <w:r>
              <w:t>0180</w:t>
            </w:r>
          </w:p>
        </w:tc>
        <w:tc>
          <w:tcPr>
            <w:tcW w:w="8121" w:type="dxa"/>
            <w:tcBorders>
              <w:top w:val="single" w:sz="4" w:space="0" w:color="1A171C"/>
              <w:left w:val="single" w:sz="4" w:space="0" w:color="1A171C"/>
              <w:bottom w:val="single" w:sz="4" w:space="0" w:color="1A171C"/>
              <w:right w:val="nil"/>
            </w:tcBorders>
            <w:vAlign w:val="center"/>
          </w:tcPr>
          <w:p w14:paraId="7FE1B560" w14:textId="77777777" w:rsidR="00B81226" w:rsidRDefault="00B82AC2">
            <w:pPr>
              <w:pStyle w:val="P68B1DB1-TableParagraph14"/>
              <w:spacing w:before="108"/>
              <w:ind w:left="85"/>
              <w:jc w:val="both"/>
            </w:pPr>
            <w:r>
              <w:t>Päivittäisen toiminnan kannalta kriittiset velat</w:t>
            </w:r>
          </w:p>
          <w:p w14:paraId="7FE1B562" w14:textId="61C90413" w:rsidR="00B81226" w:rsidRDefault="00B82AC2">
            <w:pPr>
              <w:pStyle w:val="P68B1DB1-TableParagraph17"/>
              <w:spacing w:before="108"/>
              <w:ind w:left="85"/>
              <w:jc w:val="both"/>
              <w:rPr>
                <w:b/>
                <w:bCs/>
              </w:rPr>
            </w:pPr>
            <w:r>
              <w:t>Direktiivin 2014/59/EU 44 artiklan 2 kohdan g alakohdan ii alakohdassa tarkoitettu velkojen määrä.</w:t>
            </w:r>
          </w:p>
        </w:tc>
      </w:tr>
      <w:tr w:rsidR="00B81226" w14:paraId="7FE1B568" w14:textId="77777777">
        <w:tc>
          <w:tcPr>
            <w:tcW w:w="905" w:type="dxa"/>
            <w:tcBorders>
              <w:top w:val="single" w:sz="4" w:space="0" w:color="1A171C"/>
              <w:left w:val="nil"/>
              <w:bottom w:val="single" w:sz="4" w:space="0" w:color="1A171C"/>
              <w:right w:val="single" w:sz="4" w:space="0" w:color="1A171C"/>
            </w:tcBorders>
            <w:vAlign w:val="center"/>
          </w:tcPr>
          <w:p w14:paraId="7FE1B564" w14:textId="77777777" w:rsidR="00B81226" w:rsidRDefault="00B82AC2">
            <w:pPr>
              <w:pStyle w:val="P68B1DB1-TableParagraph13"/>
              <w:spacing w:before="106"/>
              <w:ind w:left="-1"/>
            </w:pPr>
            <w:r>
              <w:t>0190</w:t>
            </w:r>
          </w:p>
        </w:tc>
        <w:tc>
          <w:tcPr>
            <w:tcW w:w="8121" w:type="dxa"/>
            <w:tcBorders>
              <w:top w:val="single" w:sz="4" w:space="0" w:color="1A171C"/>
              <w:left w:val="single" w:sz="4" w:space="0" w:color="1A171C"/>
              <w:bottom w:val="single" w:sz="4" w:space="0" w:color="1A171C"/>
              <w:right w:val="nil"/>
            </w:tcBorders>
            <w:vAlign w:val="center"/>
          </w:tcPr>
          <w:p w14:paraId="7FE1B565" w14:textId="77777777" w:rsidR="00B81226" w:rsidRDefault="00B82AC2">
            <w:pPr>
              <w:pStyle w:val="P68B1DB1-TableParagraph14"/>
              <w:spacing w:before="108"/>
              <w:ind w:left="85"/>
              <w:jc w:val="both"/>
            </w:pPr>
            <w:r>
              <w:t>Vero- ja sosiaaliturvaviranomaisille olevat velat, jos ne ovat etuuskohteluun oikeutettuja</w:t>
            </w:r>
          </w:p>
          <w:p w14:paraId="7FE1B567" w14:textId="46841715" w:rsidR="00B81226" w:rsidRDefault="00B82AC2">
            <w:pPr>
              <w:pStyle w:val="P68B1DB1-TableParagraph17"/>
              <w:spacing w:before="108"/>
              <w:ind w:left="85"/>
              <w:jc w:val="both"/>
              <w:rPr>
                <w:b/>
                <w:bCs/>
              </w:rPr>
            </w:pPr>
            <w:r>
              <w:t>Direktiivin 2014/59/EU 44 artiklan 2 kohdan g alakohdan iii alakohdassa tarkoitettu velkojen määrä.</w:t>
            </w:r>
          </w:p>
        </w:tc>
      </w:tr>
      <w:tr w:rsidR="00B81226" w14:paraId="7FE1B56D" w14:textId="77777777">
        <w:tc>
          <w:tcPr>
            <w:tcW w:w="905" w:type="dxa"/>
            <w:tcBorders>
              <w:top w:val="single" w:sz="4" w:space="0" w:color="1A171C"/>
              <w:left w:val="nil"/>
              <w:bottom w:val="single" w:sz="4" w:space="0" w:color="1A171C"/>
              <w:right w:val="single" w:sz="4" w:space="0" w:color="1A171C"/>
            </w:tcBorders>
            <w:vAlign w:val="center"/>
          </w:tcPr>
          <w:p w14:paraId="7FE1B569" w14:textId="77777777" w:rsidR="00B81226" w:rsidRDefault="00B82AC2">
            <w:pPr>
              <w:pStyle w:val="P68B1DB1-TableParagraph13"/>
              <w:spacing w:before="106"/>
              <w:ind w:left="-1"/>
            </w:pPr>
            <w:r>
              <w:t>0200</w:t>
            </w:r>
          </w:p>
        </w:tc>
        <w:tc>
          <w:tcPr>
            <w:tcW w:w="8121" w:type="dxa"/>
            <w:tcBorders>
              <w:top w:val="single" w:sz="4" w:space="0" w:color="1A171C"/>
              <w:left w:val="single" w:sz="4" w:space="0" w:color="1A171C"/>
              <w:bottom w:val="single" w:sz="4" w:space="0" w:color="1A171C"/>
              <w:right w:val="nil"/>
            </w:tcBorders>
            <w:vAlign w:val="center"/>
          </w:tcPr>
          <w:p w14:paraId="7FE1B56A" w14:textId="77777777" w:rsidR="00B81226" w:rsidRDefault="00B82AC2">
            <w:pPr>
              <w:pStyle w:val="P68B1DB1-TableParagraph14"/>
              <w:spacing w:before="108"/>
              <w:ind w:left="85"/>
              <w:jc w:val="both"/>
            </w:pPr>
            <w:r>
              <w:t>Talletussuojajärjestelmälle olevat velat</w:t>
            </w:r>
          </w:p>
          <w:p w14:paraId="7FE1B56C" w14:textId="69555433" w:rsidR="00B81226" w:rsidRDefault="00B82AC2">
            <w:pPr>
              <w:pStyle w:val="P68B1DB1-TableParagraph17"/>
              <w:spacing w:before="108"/>
              <w:ind w:left="85"/>
              <w:jc w:val="both"/>
              <w:rPr>
                <w:b/>
                <w:bCs/>
              </w:rPr>
            </w:pPr>
            <w:r>
              <w:t>Direktiivin 2014/59/EU 44 artiklan 2 kohdan g alakohdan iv alakohdassa tarkoitettu velkojen määrä.</w:t>
            </w:r>
          </w:p>
        </w:tc>
      </w:tr>
      <w:tr w:rsidR="00B81226" w14:paraId="7FE1B574" w14:textId="77777777">
        <w:tc>
          <w:tcPr>
            <w:tcW w:w="905" w:type="dxa"/>
            <w:tcBorders>
              <w:top w:val="single" w:sz="4" w:space="0" w:color="1A171C"/>
              <w:left w:val="nil"/>
              <w:bottom w:val="single" w:sz="4" w:space="0" w:color="1A171C"/>
              <w:right w:val="single" w:sz="4" w:space="0" w:color="1A171C"/>
            </w:tcBorders>
            <w:vAlign w:val="center"/>
          </w:tcPr>
          <w:p w14:paraId="7FE1B56E" w14:textId="77777777" w:rsidR="00B81226" w:rsidRDefault="00B82AC2">
            <w:pPr>
              <w:pStyle w:val="P68B1DB1-TableParagraph13"/>
              <w:spacing w:before="106"/>
              <w:ind w:left="-1"/>
            </w:pPr>
            <w:r>
              <w:t>0210</w:t>
            </w:r>
          </w:p>
        </w:tc>
        <w:tc>
          <w:tcPr>
            <w:tcW w:w="8121" w:type="dxa"/>
            <w:tcBorders>
              <w:top w:val="single" w:sz="4" w:space="0" w:color="1A171C"/>
              <w:left w:val="single" w:sz="4" w:space="0" w:color="1A171C"/>
              <w:bottom w:val="single" w:sz="4" w:space="0" w:color="1A171C"/>
              <w:right w:val="nil"/>
            </w:tcBorders>
            <w:vAlign w:val="center"/>
          </w:tcPr>
          <w:p w14:paraId="7FE1B56F" w14:textId="77777777" w:rsidR="00B81226" w:rsidRDefault="00B82AC2">
            <w:pPr>
              <w:pStyle w:val="P68B1DB1-TableParagraph14"/>
              <w:spacing w:before="108"/>
              <w:ind w:left="85"/>
              <w:jc w:val="both"/>
            </w:pPr>
            <w:r>
              <w:t>Velat kriisinratkaisun kohteena olevan konsernin muille yhteisöille</w:t>
            </w:r>
          </w:p>
          <w:p w14:paraId="7FE1B570" w14:textId="77777777" w:rsidR="00B81226" w:rsidRDefault="00B82AC2">
            <w:pPr>
              <w:pStyle w:val="P68B1DB1-TableParagraph17"/>
              <w:spacing w:before="108"/>
              <w:ind w:left="85"/>
              <w:jc w:val="both"/>
            </w:pPr>
            <w:r>
              <w:t>Direktiivin 2014/59/EU 44 artiklan 2 kohdan h alakohdassa tarkoitettu velkojen määrä.</w:t>
            </w:r>
          </w:p>
          <w:p w14:paraId="7FE1B571" w14:textId="098C1D7E" w:rsidR="00B81226" w:rsidRDefault="00B82AC2">
            <w:pPr>
              <w:pStyle w:val="P68B1DB1-TableParagraph17"/>
              <w:spacing w:before="108"/>
              <w:ind w:left="85"/>
              <w:jc w:val="both"/>
            </w:pPr>
            <w:r>
              <w:t>Jos soveltamisalan ulkopuolelle jätetty velka on johdannaisvelka, ilmoitetaan nettovelkapositiot, joissa on otettu huomioon asetuksen (EU) N:o 575/2013 429 c artiklassa vahvistetut toiminnan vakautta koskevat nettoutussäännöt, kohdissa, jotka liittyvät ”ostettu määrä” (kuten rivillä r0334). ”Kirjanpitomäärää” koskevissa sarakkeissa ilmoitetaan johdannaisista johtuvat tasevelat (kuten rivillä r0330).</w:t>
            </w:r>
          </w:p>
          <w:p w14:paraId="7FE1B572" w14:textId="5F543301" w:rsidR="00B81226" w:rsidRDefault="00B82AC2">
            <w:pPr>
              <w:pStyle w:val="P68B1DB1-TableParagraph17"/>
              <w:spacing w:before="108"/>
              <w:ind w:left="85"/>
              <w:jc w:val="both"/>
            </w:pPr>
            <w:r>
              <w:t>Jos raportoiva yhteisö ei ole varsinainen kriisinratkaisun kohteena oleva yhteisö, se on ilmoittava vain ne pankkien elvytys- ja kriisinratkaisudirektiivin 44 artiklan 2 kohdan h alakohdan mukaiset velat, jotka ovat sen sellaisten tytäryhtiöiden hallussa, jotka eivät myöskään ole kriisinratkaisun kohteena olevia yhteisöjä vaan osa samaa kriisinratkaisun kohteena olevaa konsernia kuin raportoiva yhteisö.</w:t>
            </w:r>
          </w:p>
          <w:p w14:paraId="7FE1B573" w14:textId="0A9C3B4A" w:rsidR="00B81226" w:rsidRDefault="00B82AC2">
            <w:pPr>
              <w:pStyle w:val="P68B1DB1-TableParagraph17"/>
              <w:spacing w:before="108"/>
              <w:ind w:left="85"/>
              <w:jc w:val="both"/>
            </w:pPr>
            <w:r>
              <w:t xml:space="preserve">EU:n ulkopuolelle sijoittautuneiden yhteisöjen konsernin sisäisiä velkoja ei ilmoiteta tällä rivillä pankkien elvytys- ja kriisinratkaisudirektiivin 1 artiklan 1 kohdan b, c tai d alakohdan mukaisesti, kuten pankkien elvytys- ja kriisinratkaisudirektiivin 44 artiklan 2 kohdan h alakohdassa tarkoitetaan. </w:t>
            </w:r>
          </w:p>
        </w:tc>
      </w:tr>
      <w:tr w:rsidR="00B81226" w14:paraId="7FE1B578" w14:textId="77777777">
        <w:tc>
          <w:tcPr>
            <w:tcW w:w="905" w:type="dxa"/>
            <w:tcBorders>
              <w:top w:val="single" w:sz="4" w:space="0" w:color="1A171C"/>
              <w:left w:val="nil"/>
              <w:bottom w:val="single" w:sz="4" w:space="0" w:color="1A171C"/>
              <w:right w:val="single" w:sz="4" w:space="0" w:color="1A171C"/>
            </w:tcBorders>
            <w:vAlign w:val="center"/>
          </w:tcPr>
          <w:p w14:paraId="7FE1B575" w14:textId="77777777" w:rsidR="00B81226" w:rsidRDefault="00B82AC2">
            <w:pPr>
              <w:pStyle w:val="P68B1DB1-TableParagraph13"/>
              <w:spacing w:before="106"/>
              <w:ind w:left="-1"/>
            </w:pPr>
            <w:r>
              <w:t>0300</w:t>
            </w:r>
          </w:p>
        </w:tc>
        <w:tc>
          <w:tcPr>
            <w:tcW w:w="8121" w:type="dxa"/>
            <w:tcBorders>
              <w:top w:val="single" w:sz="4" w:space="0" w:color="1A171C"/>
              <w:left w:val="single" w:sz="4" w:space="0" w:color="1A171C"/>
              <w:bottom w:val="single" w:sz="4" w:space="0" w:color="1A171C"/>
              <w:right w:val="nil"/>
            </w:tcBorders>
            <w:vAlign w:val="center"/>
          </w:tcPr>
          <w:p w14:paraId="7FE1B576" w14:textId="77777777" w:rsidR="00B81226" w:rsidRDefault="00B82AC2">
            <w:pPr>
              <w:pStyle w:val="P68B1DB1-TableParagraph14"/>
              <w:spacing w:before="108"/>
              <w:ind w:left="85"/>
              <w:jc w:val="both"/>
            </w:pPr>
            <w:r>
              <w:t>Velat, joita ei jätetä velkakirjojen arvon alaskirjauksen tai omaksi pääomaksi muuntamisen ulkopuolelle</w:t>
            </w:r>
          </w:p>
          <w:p w14:paraId="7FE1B577" w14:textId="06299840" w:rsidR="00B81226" w:rsidRDefault="00B82AC2">
            <w:pPr>
              <w:pStyle w:val="P68B1DB1-TableParagraph17"/>
              <w:spacing w:before="108"/>
              <w:ind w:left="85"/>
              <w:jc w:val="both"/>
              <w:rPr>
                <w:b/>
                <w:bCs/>
              </w:rPr>
            </w:pPr>
            <w:r>
              <w:t>Direktiivin 2014/59/EU 2 artiklan 1 kohdan 71 alakohdassa määriteltyjen alentamiskelpoisten velkojen määrä. Tässä ilmoitetaan rivien 0310, 0320, 0330, 0334, 0340, 0350, 0360, 0365, 0370, 0380, 0390 ja 0400 summa.</w:t>
            </w:r>
          </w:p>
        </w:tc>
      </w:tr>
      <w:tr w:rsidR="00B81226" w14:paraId="7FE1B57D" w14:textId="77777777">
        <w:tc>
          <w:tcPr>
            <w:tcW w:w="905" w:type="dxa"/>
            <w:tcBorders>
              <w:top w:val="single" w:sz="4" w:space="0" w:color="1A171C"/>
              <w:left w:val="nil"/>
              <w:bottom w:val="single" w:sz="4" w:space="0" w:color="1A171C"/>
              <w:right w:val="single" w:sz="4" w:space="0" w:color="1A171C"/>
            </w:tcBorders>
            <w:vAlign w:val="center"/>
          </w:tcPr>
          <w:p w14:paraId="7FE1B579" w14:textId="77777777" w:rsidR="00B81226" w:rsidRDefault="00B82AC2">
            <w:pPr>
              <w:pStyle w:val="P68B1DB1-TableParagraph13"/>
              <w:spacing w:before="106"/>
              <w:ind w:left="-1"/>
            </w:pPr>
            <w:r>
              <w:t>0310–0314</w:t>
            </w:r>
          </w:p>
        </w:tc>
        <w:tc>
          <w:tcPr>
            <w:tcW w:w="8121" w:type="dxa"/>
            <w:tcBorders>
              <w:top w:val="single" w:sz="4" w:space="0" w:color="1A171C"/>
              <w:left w:val="single" w:sz="4" w:space="0" w:color="1A171C"/>
              <w:bottom w:val="single" w:sz="4" w:space="0" w:color="1A171C"/>
              <w:right w:val="nil"/>
            </w:tcBorders>
            <w:vAlign w:val="center"/>
          </w:tcPr>
          <w:p w14:paraId="7FE1B57A" w14:textId="77777777" w:rsidR="00B81226" w:rsidRDefault="00B82AC2">
            <w:pPr>
              <w:pStyle w:val="P68B1DB1-TableParagraph14"/>
              <w:spacing w:before="108"/>
              <w:ind w:left="85"/>
              <w:jc w:val="both"/>
            </w:pPr>
            <w:r>
              <w:t>Talletukset, joita ei ole suojattu mutta jotka ovat etuuskohteluun oikeutettuja</w:t>
            </w:r>
          </w:p>
          <w:p w14:paraId="7FE1B57B" w14:textId="77777777" w:rsidR="00B81226" w:rsidRDefault="00B82AC2">
            <w:pPr>
              <w:pStyle w:val="P68B1DB1-TableParagraph17"/>
              <w:spacing w:before="108"/>
              <w:ind w:left="85"/>
              <w:jc w:val="both"/>
            </w:pPr>
            <w:r>
              <w:t>Direktiivin 2014/59/EU 108 artikla.</w:t>
            </w:r>
          </w:p>
          <w:p w14:paraId="7FE1B57C" w14:textId="32E4C4DA" w:rsidR="00B81226" w:rsidRDefault="00B82AC2">
            <w:pPr>
              <w:pStyle w:val="P68B1DB1-TableParagraph17"/>
              <w:spacing w:before="108"/>
              <w:ind w:left="85"/>
              <w:jc w:val="both"/>
              <w:rPr>
                <w:b/>
                <w:bCs/>
              </w:rPr>
            </w:pPr>
            <w:r>
              <w:t xml:space="preserve">Direktiivin 2014/49/EU 2 artiklan 1 kohdan 3 alakohdassa määritellyt talletukset, joita ei voida rajata alaskirjauksen tai muuntamisen ulkopuolelle (direktiivin 2014/59/EU 44 artiklan 2 kohdan a </w:t>
            </w:r>
            <w:r>
              <w:lastRenderedPageBreak/>
              <w:t xml:space="preserve">alakohta), mutta joihin on tarkoitus soveltaa etuuskohtelua direktiivin 2014/59/EU 108 artiklan mukaisesti. </w:t>
            </w:r>
          </w:p>
        </w:tc>
      </w:tr>
      <w:tr w:rsidR="00B81226" w14:paraId="7FE1B581" w14:textId="77777777">
        <w:tc>
          <w:tcPr>
            <w:tcW w:w="905" w:type="dxa"/>
            <w:tcBorders>
              <w:top w:val="single" w:sz="4" w:space="0" w:color="1A171C"/>
              <w:left w:val="nil"/>
              <w:bottom w:val="single" w:sz="4" w:space="0" w:color="1A171C"/>
              <w:right w:val="single" w:sz="4" w:space="0" w:color="1A171C"/>
            </w:tcBorders>
            <w:vAlign w:val="center"/>
          </w:tcPr>
          <w:p w14:paraId="7FE1B57E" w14:textId="77777777" w:rsidR="00B81226" w:rsidRDefault="00B82AC2">
            <w:pPr>
              <w:pStyle w:val="P68B1DB1-TableParagraph13"/>
              <w:spacing w:before="106"/>
              <w:ind w:left="-1"/>
            </w:pPr>
            <w:r>
              <w:lastRenderedPageBreak/>
              <w:t>0320–0324</w:t>
            </w:r>
          </w:p>
        </w:tc>
        <w:tc>
          <w:tcPr>
            <w:tcW w:w="8121" w:type="dxa"/>
            <w:tcBorders>
              <w:top w:val="single" w:sz="4" w:space="0" w:color="1A171C"/>
              <w:left w:val="single" w:sz="4" w:space="0" w:color="1A171C"/>
              <w:bottom w:val="single" w:sz="4" w:space="0" w:color="1A171C"/>
              <w:right w:val="nil"/>
            </w:tcBorders>
            <w:vAlign w:val="center"/>
          </w:tcPr>
          <w:p w14:paraId="7FE1B57F" w14:textId="77777777" w:rsidR="00B81226" w:rsidRDefault="00B82AC2">
            <w:pPr>
              <w:pStyle w:val="P68B1DB1-TableParagraph14"/>
              <w:spacing w:before="108"/>
              <w:ind w:left="85"/>
              <w:jc w:val="both"/>
            </w:pPr>
            <w:r>
              <w:t>Talletukset, joita ei ole suojattu ja jotka eivät ole etuuskohteluun oikeutettuja</w:t>
            </w:r>
          </w:p>
          <w:p w14:paraId="7FE1B580" w14:textId="0D609C91" w:rsidR="00B81226" w:rsidRDefault="00B82AC2">
            <w:pPr>
              <w:pStyle w:val="P68B1DB1-TableParagraph17"/>
              <w:spacing w:before="108"/>
              <w:ind w:left="85"/>
              <w:jc w:val="both"/>
              <w:rPr>
                <w:b/>
                <w:bCs/>
              </w:rPr>
            </w:pPr>
            <w:r>
              <w:t>Direktiivin 2014/49/EU 2 artiklan 1 kohdan 3 alakohdassa määritellyt talletukset, joita ei voida rajata alaskirjauksen tai muuntamisen ulkopuolelle (direktiivin 2014/59/EU 44 artiklan 2 kohdan a alakohta) ja jotka eivät myöskään ole mainitun direktiivin 108 artiklan mukaisesti etuuskohteluun oikeutettuja.</w:t>
            </w:r>
          </w:p>
        </w:tc>
      </w:tr>
      <w:tr w:rsidR="00B81226" w14:paraId="7FE1B585" w14:textId="77777777">
        <w:tc>
          <w:tcPr>
            <w:tcW w:w="905" w:type="dxa"/>
            <w:tcBorders>
              <w:top w:val="single" w:sz="4" w:space="0" w:color="1A171C"/>
              <w:left w:val="nil"/>
              <w:bottom w:val="single" w:sz="4" w:space="0" w:color="1A171C"/>
              <w:right w:val="single" w:sz="4" w:space="0" w:color="1A171C"/>
            </w:tcBorders>
            <w:vAlign w:val="center"/>
          </w:tcPr>
          <w:p w14:paraId="7FE1B582" w14:textId="77777777" w:rsidR="00B81226" w:rsidRDefault="00B82AC2">
            <w:pPr>
              <w:pStyle w:val="P68B1DB1-TableParagraph13"/>
              <w:spacing w:before="106"/>
              <w:ind w:left="-1"/>
            </w:pPr>
            <w:r>
              <w:t>0330</w:t>
            </w:r>
          </w:p>
        </w:tc>
        <w:tc>
          <w:tcPr>
            <w:tcW w:w="8121" w:type="dxa"/>
            <w:tcBorders>
              <w:top w:val="single" w:sz="4" w:space="0" w:color="1A171C"/>
              <w:left w:val="single" w:sz="4" w:space="0" w:color="1A171C"/>
              <w:bottom w:val="single" w:sz="4" w:space="0" w:color="1A171C"/>
              <w:right w:val="nil"/>
            </w:tcBorders>
            <w:vAlign w:val="center"/>
          </w:tcPr>
          <w:p w14:paraId="7FE1B583" w14:textId="77777777" w:rsidR="00B81226" w:rsidRDefault="00B82AC2">
            <w:pPr>
              <w:pStyle w:val="P68B1DB1-TableParagraph14"/>
              <w:spacing w:before="108"/>
              <w:ind w:left="85"/>
              <w:jc w:val="both"/>
            </w:pPr>
            <w:r>
              <w:t>Johdannaisista johtuvat taseen kirjatut velat</w:t>
            </w:r>
          </w:p>
          <w:p w14:paraId="625CF843" w14:textId="77777777" w:rsidR="00B81226" w:rsidRDefault="00B82AC2">
            <w:pPr>
              <w:pStyle w:val="P68B1DB1-TableParagraph17"/>
              <w:spacing w:before="108"/>
              <w:ind w:left="85"/>
              <w:jc w:val="both"/>
            </w:pPr>
            <w:r>
              <w:t xml:space="preserve">Johdannaisista johtuvien velkojen kirjanpitoarvo. </w:t>
            </w:r>
          </w:p>
          <w:p w14:paraId="7FE1B584" w14:textId="17111D9E" w:rsidR="00B81226" w:rsidRDefault="00B82AC2">
            <w:pPr>
              <w:pStyle w:val="P68B1DB1-TableParagraph17"/>
              <w:spacing w:before="108"/>
              <w:ind w:left="85"/>
              <w:jc w:val="both"/>
              <w:rPr>
                <w:b/>
                <w:bCs/>
              </w:rPr>
            </w:pPr>
            <w:r>
              <w:t>Ilmoitetaan ainoastaan arvot ”Käytännön määrä” -kentässä.</w:t>
            </w:r>
          </w:p>
        </w:tc>
      </w:tr>
      <w:tr w:rsidR="00B81226" w14:paraId="7FE1B589" w14:textId="77777777">
        <w:tc>
          <w:tcPr>
            <w:tcW w:w="905" w:type="dxa"/>
            <w:tcBorders>
              <w:top w:val="single" w:sz="4" w:space="0" w:color="1A171C"/>
              <w:left w:val="nil"/>
              <w:bottom w:val="single" w:sz="4" w:space="0" w:color="1A171C"/>
              <w:right w:val="single" w:sz="4" w:space="0" w:color="1A171C"/>
            </w:tcBorders>
            <w:vAlign w:val="center"/>
          </w:tcPr>
          <w:p w14:paraId="7FE1B586" w14:textId="77777777" w:rsidR="00B81226" w:rsidRDefault="00B82AC2">
            <w:pPr>
              <w:pStyle w:val="P68B1DB1-TableParagraph13"/>
              <w:spacing w:before="106"/>
              <w:ind w:left="-1"/>
            </w:pPr>
            <w:r>
              <w:t>0331</w:t>
            </w:r>
          </w:p>
        </w:tc>
        <w:tc>
          <w:tcPr>
            <w:tcW w:w="8121" w:type="dxa"/>
            <w:tcBorders>
              <w:top w:val="single" w:sz="4" w:space="0" w:color="1A171C"/>
              <w:left w:val="single" w:sz="4" w:space="0" w:color="1A171C"/>
              <w:bottom w:val="single" w:sz="4" w:space="0" w:color="1A171C"/>
              <w:right w:val="nil"/>
            </w:tcBorders>
            <w:vAlign w:val="center"/>
          </w:tcPr>
          <w:p w14:paraId="7FE1B587" w14:textId="77777777" w:rsidR="00B81226" w:rsidRDefault="00B82AC2">
            <w:pPr>
              <w:pStyle w:val="P68B1DB1-TableParagraph14"/>
              <w:spacing w:before="108"/>
              <w:ind w:left="85"/>
              <w:jc w:val="both"/>
            </w:pPr>
            <w:r>
              <w:t>Nettovelkojen summa ottaen huomioon sopimusnettoutusryhmät, markkinahintaan arvostamisen jälkeen ja ennen vakuuden kuittaamista</w:t>
            </w:r>
          </w:p>
          <w:p w14:paraId="43E2EAD9" w14:textId="77777777" w:rsidR="00B81226" w:rsidRDefault="00B82AC2">
            <w:pPr>
              <w:pStyle w:val="P68B1DB1-TableParagraph17"/>
              <w:spacing w:before="108"/>
              <w:ind w:left="85"/>
              <w:jc w:val="both"/>
            </w:pPr>
            <w:r>
              <w:t xml:space="preserve">Oletusarvona johdannaisvelkojen kaikkien nettomarkkina-arvojen summa sopimusnettoutusryhmää kohti. Ainoastaan silloin, kun nettoutusryhmän nettomarkkina-arvo on velka, ilmoitetaan nettoutusryhmä. Tämän vuoksi johdannaiset, joihin ei sovelleta nettoutusjärjestelyjä, katsotaan yhdeksi sopimukseksi eli niin kuin ne olisivat nettoutusryhmä, jossa on vain yksi johdannainen. </w:t>
            </w:r>
          </w:p>
          <w:p w14:paraId="7FE1B588" w14:textId="07C2ADA5" w:rsidR="00B81226" w:rsidRDefault="00B82AC2">
            <w:pPr>
              <w:pStyle w:val="P68B1DB1-TableParagraph17"/>
              <w:spacing w:before="108"/>
              <w:ind w:left="85"/>
              <w:jc w:val="both"/>
              <w:rPr>
                <w:b/>
                <w:bCs/>
              </w:rPr>
            </w:pPr>
            <w:r>
              <w:t>Ilmoitetaan ainoastaan arvot kentässä ”Määrä”.</w:t>
            </w:r>
          </w:p>
        </w:tc>
      </w:tr>
      <w:tr w:rsidR="00B81226" w14:paraId="7FE1B58D" w14:textId="77777777">
        <w:tc>
          <w:tcPr>
            <w:tcW w:w="905" w:type="dxa"/>
            <w:tcBorders>
              <w:top w:val="single" w:sz="4" w:space="0" w:color="1A171C"/>
              <w:left w:val="nil"/>
              <w:bottom w:val="single" w:sz="4" w:space="0" w:color="1A171C"/>
              <w:right w:val="single" w:sz="4" w:space="0" w:color="1A171C"/>
            </w:tcBorders>
            <w:vAlign w:val="center"/>
          </w:tcPr>
          <w:p w14:paraId="7FE1B58A" w14:textId="77777777" w:rsidR="00B81226" w:rsidRDefault="00B82AC2">
            <w:pPr>
              <w:pStyle w:val="P68B1DB1-TableParagraph13"/>
              <w:spacing w:before="106"/>
              <w:ind w:left="-1"/>
            </w:pPr>
            <w:r>
              <w:t>0332</w:t>
            </w:r>
          </w:p>
        </w:tc>
        <w:tc>
          <w:tcPr>
            <w:tcW w:w="8121" w:type="dxa"/>
            <w:tcBorders>
              <w:top w:val="single" w:sz="4" w:space="0" w:color="1A171C"/>
              <w:left w:val="single" w:sz="4" w:space="0" w:color="1A171C"/>
              <w:bottom w:val="single" w:sz="4" w:space="0" w:color="1A171C"/>
              <w:right w:val="nil"/>
            </w:tcBorders>
            <w:vAlign w:val="center"/>
          </w:tcPr>
          <w:p w14:paraId="7FE1B58B" w14:textId="77777777" w:rsidR="00B81226" w:rsidRDefault="00B82AC2">
            <w:pPr>
              <w:pStyle w:val="P68B1DB1-TableParagraph14"/>
              <w:spacing w:before="108"/>
              <w:ind w:left="85"/>
              <w:jc w:val="both"/>
            </w:pPr>
            <w:r>
              <w:t>Nettovelkojen summa ottaen huomioon sopimusnettoutusryhmät, markkinahintaan arvostamisen jälkeen ja vakuuden kuittaamisen jälkeen</w:t>
            </w:r>
          </w:p>
          <w:p w14:paraId="5A26CA7C" w14:textId="1D9E4DD4" w:rsidR="00B81226" w:rsidRDefault="00B82AC2">
            <w:pPr>
              <w:pStyle w:val="P68B1DB1-TableParagraph17"/>
              <w:spacing w:before="108"/>
              <w:ind w:left="85"/>
              <w:jc w:val="both"/>
            </w:pPr>
            <w:r>
              <w:t>Riville 0331 kuuluvalle arvolle tehdään oikaisu tämän vastuun varmistamiseksi asetettujen vakuuksien osalta, mikä johtaa näiden nettomarkkina-arvojen summaan sen jälkeen, kun vakuuden markkina-arvo on kuitattu. Tällä rivillä tulee ilmoittaa vain ne sopimusnettoutusryhmät, joiden osalta velkapositio on positiivinen markkinahintaan arvostamisen ja vakuuden kuittaamisen jälkeen (ts. vain kun nettomarkkina-arvo (taulukon 15.00 sarake 0120) on suurempi kuin asetetun nettovakuuden arvo (taulukon 15.00 sarake 0130</w:t>
            </w:r>
            <w:r>
              <w:t xml:space="preserve">)). </w:t>
            </w:r>
          </w:p>
          <w:p w14:paraId="7FE1B58C" w14:textId="453C45AE" w:rsidR="00B81226" w:rsidRDefault="00B82AC2">
            <w:pPr>
              <w:pStyle w:val="P68B1DB1-TableParagraph17"/>
              <w:spacing w:before="108"/>
              <w:ind w:left="85"/>
              <w:jc w:val="both"/>
            </w:pPr>
            <w:r>
              <w:t>Ilmoitetaan ainoastaan arvot kentässä ”Määrä”.</w:t>
            </w:r>
          </w:p>
        </w:tc>
      </w:tr>
      <w:tr w:rsidR="00B81226" w14:paraId="7FE1B592" w14:textId="77777777">
        <w:tc>
          <w:tcPr>
            <w:tcW w:w="905" w:type="dxa"/>
            <w:tcBorders>
              <w:top w:val="single" w:sz="4" w:space="0" w:color="1A171C"/>
              <w:left w:val="nil"/>
              <w:bottom w:val="single" w:sz="4" w:space="0" w:color="1A171C"/>
              <w:right w:val="single" w:sz="4" w:space="0" w:color="1A171C"/>
            </w:tcBorders>
            <w:vAlign w:val="center"/>
          </w:tcPr>
          <w:p w14:paraId="7FE1B58E" w14:textId="77777777" w:rsidR="00B81226" w:rsidRDefault="00B82AC2">
            <w:pPr>
              <w:pStyle w:val="P68B1DB1-TableParagraph13"/>
              <w:spacing w:before="106"/>
              <w:ind w:left="-1"/>
            </w:pPr>
            <w:r>
              <w:t>0333</w:t>
            </w:r>
          </w:p>
        </w:tc>
        <w:tc>
          <w:tcPr>
            <w:tcW w:w="8121" w:type="dxa"/>
            <w:tcBorders>
              <w:top w:val="single" w:sz="4" w:space="0" w:color="1A171C"/>
              <w:left w:val="single" w:sz="4" w:space="0" w:color="1A171C"/>
              <w:bottom w:val="single" w:sz="4" w:space="0" w:color="1A171C"/>
              <w:right w:val="nil"/>
            </w:tcBorders>
            <w:vAlign w:val="center"/>
          </w:tcPr>
          <w:p w14:paraId="7FE1B58F" w14:textId="77777777" w:rsidR="00B81226" w:rsidRDefault="00B82AC2">
            <w:pPr>
              <w:pStyle w:val="P68B1DB1-TableParagraph14"/>
              <w:spacing w:before="108"/>
              <w:ind w:left="85"/>
              <w:jc w:val="both"/>
            </w:pPr>
            <w:r>
              <w:t>Nettovelkojen summa ottaen huomioon sopimusnettoutusryhmät, markkinahintaan arvostamisen jälkeen ja vakuuden kuittaamisen jälkeen, sisältäen arvioidut sulkeutumismäärät</w:t>
            </w:r>
          </w:p>
          <w:p w14:paraId="7FE1B590" w14:textId="77777777" w:rsidR="00B81226" w:rsidRDefault="00B82AC2">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Johdannaissopimuksista aiheutuvien velkojen arvostuksesta</w:t>
            </w:r>
            <w:r>
              <w:rPr>
                <w:rStyle w:val="FootnoteReference"/>
                <w:rFonts w:ascii="Times New Roman" w:eastAsia="Cambria" w:hAnsi="Times New Roman" w:cs="Times New Roman"/>
                <w:color w:val="1A171C"/>
              </w:rPr>
              <w:footnoteReference w:id="16"/>
            </w:r>
            <w:r>
              <w:rPr>
                <w:rFonts w:ascii="Times New Roman" w:eastAsia="Cambria" w:hAnsi="Times New Roman" w:cs="Times New Roman"/>
                <w:color w:val="000000" w:themeColor="text1"/>
                <w:sz w:val="20"/>
                <w:szCs w:val="20"/>
              </w:rPr>
              <w:t xml:space="preserve"> annetun komission delegoidun asetuksen (EU) 2016/1401 mukaisesti sulkeutumisen lisämäärä, joka kattaa johdannaisvastapuolille aiheutuneet tappiot tai kustannukset taikka niiden saamat voitot siten, että sopimukset ja niihin liittyvät osapuolten optio-oikeudet korvataan tai saadaan niiden olennaisia ehtoja vastaava taloudellinen vastike.</w:t>
            </w:r>
          </w:p>
          <w:p w14:paraId="00480641" w14:textId="2B7C2F6F" w:rsidR="00B81226" w:rsidRDefault="00B82AC2">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Arviot, jotka ovat tarpeen, jotta voidaan määrittää sulkeutumismäärä edellä mainitun asetuksen mukaisesti, voivat osoittautua yksittäisissä tapauksissa melko hankaliksi. Sen vuoksi voidaan käyttää korvaavia arvoja, jotka voivat perustua käytettävissä oleviin tietoihin, kuten markkinariskiä koskeviin vakavaraisuusvaatimuksiin. Jos johdannaisvelkojen sulkeutumismäärää ei voida laskea, ilmoitetun määrän olisi oltava yhtä suuri kuin rivillä 0332 raportoitu määrä.</w:t>
            </w:r>
            <w:r>
              <w:t xml:space="preserve"> </w:t>
            </w:r>
            <w:r>
              <w:rPr>
                <w:rFonts w:ascii="Times New Roman" w:eastAsia="Cambria" w:hAnsi="Times New Roman" w:cs="Times New Roman"/>
                <w:color w:val="000000" w:themeColor="text1"/>
                <w:sz w:val="20"/>
                <w:szCs w:val="20"/>
              </w:rPr>
              <w:t>Tällä rivillä on ilmoitettava vain ne sopimusnettoutusryhmät, joiden osalta velkapositio on markkinahintaan arvostamisen, vakuuden kuittaamisen ja arvioitujen sulkemismäärien sisällyttämisen jälkeen positiivinen (ts. vain silloin, kun arvioitu aikaistetun päättämisen vuoksi maksettava määrä (taulukon 15.00 sarake 0150) on positiivinen).</w:t>
            </w:r>
          </w:p>
          <w:p w14:paraId="7FE1B591" w14:textId="3F2EA3D4" w:rsidR="00B81226" w:rsidRDefault="00B82AC2">
            <w:pPr>
              <w:pStyle w:val="P68B1DB1-TableParagraph17"/>
              <w:spacing w:before="108"/>
              <w:ind w:left="85"/>
              <w:jc w:val="both"/>
            </w:pPr>
            <w:r>
              <w:lastRenderedPageBreak/>
              <w:t>Ilmoitetaan ainoastaan arvot kentässä ”Määrä”.</w:t>
            </w:r>
          </w:p>
        </w:tc>
      </w:tr>
      <w:tr w:rsidR="00B81226" w14:paraId="7FE1B596" w14:textId="77777777">
        <w:tc>
          <w:tcPr>
            <w:tcW w:w="905" w:type="dxa"/>
            <w:tcBorders>
              <w:top w:val="single" w:sz="4" w:space="0" w:color="1A171C"/>
              <w:left w:val="nil"/>
              <w:bottom w:val="single" w:sz="4" w:space="0" w:color="1A171C"/>
              <w:right w:val="single" w:sz="4" w:space="0" w:color="1A171C"/>
            </w:tcBorders>
            <w:vAlign w:val="center"/>
          </w:tcPr>
          <w:p w14:paraId="7FE1B593" w14:textId="77777777" w:rsidR="00B81226" w:rsidRDefault="00B82AC2">
            <w:pPr>
              <w:pStyle w:val="P68B1DB1-TableParagraph13"/>
              <w:spacing w:before="106"/>
              <w:ind w:left="-1"/>
            </w:pPr>
            <w:r>
              <w:lastRenderedPageBreak/>
              <w:t>0334</w:t>
            </w:r>
          </w:p>
        </w:tc>
        <w:tc>
          <w:tcPr>
            <w:tcW w:w="8121" w:type="dxa"/>
            <w:tcBorders>
              <w:top w:val="single" w:sz="4" w:space="0" w:color="1A171C"/>
              <w:left w:val="single" w:sz="4" w:space="0" w:color="1A171C"/>
              <w:bottom w:val="single" w:sz="4" w:space="0" w:color="1A171C"/>
              <w:right w:val="nil"/>
            </w:tcBorders>
            <w:vAlign w:val="center"/>
          </w:tcPr>
          <w:p w14:paraId="7FE1B594" w14:textId="77777777" w:rsidR="00B81226" w:rsidRDefault="00B82AC2">
            <w:pPr>
              <w:pStyle w:val="P68B1DB1-TableParagraph14"/>
              <w:spacing w:before="108"/>
              <w:ind w:left="85"/>
              <w:jc w:val="both"/>
              <w:rPr>
                <w:bCs/>
              </w:rPr>
            </w:pPr>
            <w:r>
              <w:t>Nettovelkojen summa ottaen huomioon toiminnan vakautta koskevat nettoutussäännöt</w:t>
            </w:r>
          </w:p>
          <w:p w14:paraId="225BC2D2" w14:textId="5634735D" w:rsidR="00B81226" w:rsidRDefault="00B82AC2">
            <w:pPr>
              <w:pStyle w:val="P68B1DB1-TableParagraph17"/>
              <w:spacing w:before="108"/>
              <w:ind w:left="85"/>
              <w:jc w:val="both"/>
            </w:pPr>
            <w:r>
              <w:t>Johdannaisten nettovastuupositioiden määrä on ilmoitettava ottaen huomioon asetuksen (EU) N:o 575/2013 429 artiklassa säädetyt toiminnan vakautta koskevat nettoutussäännöt (jotka liittyvät vähimmäisomavaraisuusasteen vastuiden kokonaismäärän laskentaan).</w:t>
            </w:r>
          </w:p>
          <w:p w14:paraId="7FE1B595" w14:textId="1E8C2F86" w:rsidR="00B81226" w:rsidRDefault="00B82AC2">
            <w:pPr>
              <w:pStyle w:val="P68B1DB1-TableParagraph17"/>
              <w:spacing w:before="108"/>
              <w:ind w:left="85"/>
              <w:jc w:val="both"/>
              <w:rPr>
                <w:b/>
                <w:bCs/>
              </w:rPr>
            </w:pPr>
            <w:r>
              <w:t>Ilmoitetaan ainoastaan arvot kentässä ”Määrä”.</w:t>
            </w:r>
          </w:p>
        </w:tc>
      </w:tr>
      <w:tr w:rsidR="00B81226" w14:paraId="7FE1B59A" w14:textId="77777777">
        <w:tc>
          <w:tcPr>
            <w:tcW w:w="905" w:type="dxa"/>
            <w:tcBorders>
              <w:top w:val="single" w:sz="4" w:space="0" w:color="1A171C"/>
              <w:left w:val="nil"/>
              <w:bottom w:val="single" w:sz="4" w:space="0" w:color="1A171C"/>
              <w:right w:val="single" w:sz="4" w:space="0" w:color="1A171C"/>
            </w:tcBorders>
            <w:vAlign w:val="center"/>
          </w:tcPr>
          <w:p w14:paraId="7FE1B597" w14:textId="77777777" w:rsidR="00B81226" w:rsidRDefault="00B82AC2">
            <w:pPr>
              <w:pStyle w:val="P68B1DB1-TableParagraph13"/>
              <w:spacing w:before="106"/>
              <w:ind w:left="-1"/>
            </w:pPr>
            <w:r>
              <w:t>0340–0344</w:t>
            </w:r>
          </w:p>
        </w:tc>
        <w:tc>
          <w:tcPr>
            <w:tcW w:w="8121" w:type="dxa"/>
            <w:tcBorders>
              <w:top w:val="single" w:sz="4" w:space="0" w:color="1A171C"/>
              <w:left w:val="single" w:sz="4" w:space="0" w:color="1A171C"/>
              <w:bottom w:val="single" w:sz="4" w:space="0" w:color="1A171C"/>
              <w:right w:val="nil"/>
            </w:tcBorders>
            <w:vAlign w:val="center"/>
          </w:tcPr>
          <w:p w14:paraId="7FE1B598" w14:textId="77777777" w:rsidR="00B81226" w:rsidRDefault="00B82AC2">
            <w:pPr>
              <w:pStyle w:val="P68B1DB1-TableParagraph14"/>
              <w:spacing w:before="108"/>
              <w:ind w:left="85"/>
              <w:jc w:val="both"/>
              <w:rPr>
                <w:bCs/>
              </w:rPr>
            </w:pPr>
            <w:r>
              <w:t>Alivakuudelliset velat (”uncollateralised secured liabilities”)</w:t>
            </w:r>
          </w:p>
          <w:p w14:paraId="7FE1B599" w14:textId="77777777" w:rsidR="00B81226" w:rsidRDefault="00B82AC2">
            <w:pPr>
              <w:pStyle w:val="P68B1DB1-TableParagraph13"/>
              <w:spacing w:before="108"/>
              <w:ind w:left="85"/>
              <w:jc w:val="both"/>
              <w:rPr>
                <w:b/>
                <w:bCs/>
              </w:rPr>
            </w:pPr>
            <w:r>
              <w:t>Vakuudellisen velan tai sellaisen velan, jonka vakuudeksi on annettu pantti tai kiinnitys, määrä, jota vakuutena käytettyjen varojen, pantin tai kiinnityksen tai muun vakuuden arvo ei riitä kattamaan. Tällä tarkoitetaan vakuudellisen velan mahdollista ”alivakuudellista” osaa, esimerkiksi katettujen joukkolainojen tai takaisinostosopimusten alivakuudellista osaa.</w:t>
            </w:r>
          </w:p>
        </w:tc>
      </w:tr>
      <w:tr w:rsidR="00B81226" w14:paraId="7FE1B59E" w14:textId="77777777">
        <w:tc>
          <w:tcPr>
            <w:tcW w:w="905" w:type="dxa"/>
            <w:tcBorders>
              <w:top w:val="single" w:sz="4" w:space="0" w:color="1A171C"/>
              <w:left w:val="nil"/>
              <w:bottom w:val="single" w:sz="4" w:space="0" w:color="1A171C"/>
              <w:right w:val="single" w:sz="4" w:space="0" w:color="1A171C"/>
            </w:tcBorders>
            <w:vAlign w:val="center"/>
          </w:tcPr>
          <w:p w14:paraId="7FE1B59B" w14:textId="77777777" w:rsidR="00B81226" w:rsidRDefault="00B82AC2">
            <w:pPr>
              <w:pStyle w:val="P68B1DB1-TableParagraph13"/>
              <w:spacing w:before="106"/>
              <w:ind w:left="-1"/>
            </w:pPr>
            <w:r>
              <w:t>0350–0354</w:t>
            </w:r>
          </w:p>
        </w:tc>
        <w:tc>
          <w:tcPr>
            <w:tcW w:w="8121" w:type="dxa"/>
            <w:tcBorders>
              <w:top w:val="single" w:sz="4" w:space="0" w:color="1A171C"/>
              <w:left w:val="single" w:sz="4" w:space="0" w:color="1A171C"/>
              <w:bottom w:val="single" w:sz="4" w:space="0" w:color="1A171C"/>
              <w:right w:val="nil"/>
            </w:tcBorders>
            <w:vAlign w:val="center"/>
          </w:tcPr>
          <w:p w14:paraId="7FE1B59C" w14:textId="77777777" w:rsidR="00B81226" w:rsidRDefault="00B82AC2">
            <w:pPr>
              <w:pStyle w:val="P68B1DB1-TableParagraph14"/>
              <w:spacing w:before="108"/>
              <w:ind w:left="85"/>
              <w:jc w:val="both"/>
              <w:rPr>
                <w:bCs/>
              </w:rPr>
            </w:pPr>
            <w:r>
              <w:t>Strukturoidut velkakirjat</w:t>
            </w:r>
          </w:p>
          <w:p w14:paraId="7FE1B59D" w14:textId="77777777" w:rsidR="00B81226" w:rsidRDefault="00B82AC2">
            <w:pPr>
              <w:pStyle w:val="P68B1DB1-TableParagraph17"/>
              <w:spacing w:before="108"/>
              <w:ind w:left="85"/>
              <w:jc w:val="both"/>
              <w:rPr>
                <w:b/>
                <w:bCs/>
              </w:rPr>
            </w:pPr>
            <w:r>
              <w:t>Strukturoidut velkakirjat määritellään tätä tarkoitusta varten velkasitoumuksiksi, jotka sisältävät kytketyn johdannaisosan ja joiden tuotto liittyy kohde-etuutena olevaan arvopaperiin tai indeksiin (julkinen tai räätälöity, kuten osakkeet tai joukkovelkakirjat, kiinteät tulokorot tai luotot, ulkomaanvaluutta, hyödykkeet jne.). Strukturoidut velkakirjat eivät sisällä velkainstrumentteja, joihin sisältyy ainoastaan osto-optio tai myyntioptio, eli instrumentin arvo ei riipu kytketystä johdannaisosasta.</w:t>
            </w:r>
          </w:p>
        </w:tc>
      </w:tr>
      <w:tr w:rsidR="00B81226" w14:paraId="7FE1B5A2" w14:textId="77777777">
        <w:tc>
          <w:tcPr>
            <w:tcW w:w="905" w:type="dxa"/>
            <w:tcBorders>
              <w:top w:val="single" w:sz="4" w:space="0" w:color="1A171C"/>
              <w:left w:val="nil"/>
              <w:bottom w:val="single" w:sz="4" w:space="0" w:color="1A171C"/>
              <w:right w:val="single" w:sz="4" w:space="0" w:color="1A171C"/>
            </w:tcBorders>
            <w:vAlign w:val="center"/>
          </w:tcPr>
          <w:p w14:paraId="7FE1B59F" w14:textId="77777777" w:rsidR="00B81226" w:rsidRDefault="00B82AC2">
            <w:pPr>
              <w:pStyle w:val="P68B1DB1-TableParagraph13"/>
              <w:spacing w:before="106"/>
              <w:ind w:left="-1"/>
            </w:pPr>
            <w:r>
              <w:t>0360–0364</w:t>
            </w:r>
          </w:p>
        </w:tc>
        <w:tc>
          <w:tcPr>
            <w:tcW w:w="8121" w:type="dxa"/>
            <w:tcBorders>
              <w:top w:val="single" w:sz="4" w:space="0" w:color="1A171C"/>
              <w:left w:val="single" w:sz="4" w:space="0" w:color="1A171C"/>
              <w:bottom w:val="single" w:sz="4" w:space="0" w:color="1A171C"/>
              <w:right w:val="nil"/>
            </w:tcBorders>
            <w:vAlign w:val="center"/>
          </w:tcPr>
          <w:p w14:paraId="7FE1B5A0" w14:textId="77777777" w:rsidR="00B81226" w:rsidRDefault="00B82AC2">
            <w:pPr>
              <w:pStyle w:val="P68B1DB1-TableParagraph14"/>
              <w:spacing w:before="108"/>
              <w:ind w:left="85"/>
              <w:jc w:val="both"/>
              <w:rPr>
                <w:bCs/>
              </w:rPr>
            </w:pPr>
            <w:r>
              <w:t>Etuoikeutettuihin saamisiin kuuluvat vakuudettomat velat</w:t>
            </w:r>
          </w:p>
          <w:p w14:paraId="7FE1B5A1" w14:textId="2515816B" w:rsidR="00B81226" w:rsidRDefault="00B82AC2">
            <w:pPr>
              <w:pStyle w:val="P68B1DB1-TableParagraph17"/>
              <w:spacing w:before="108"/>
              <w:ind w:left="85"/>
              <w:jc w:val="both"/>
              <w:rPr>
                <w:b/>
                <w:bCs/>
              </w:rPr>
            </w:pPr>
            <w:r>
              <w:t>Tähän sisältyvät kaikki etuoikeutetut, vakuudettomat instrumentit, jotka eivät kuulu muuhun luokkaan yllä.</w:t>
            </w:r>
          </w:p>
        </w:tc>
      </w:tr>
      <w:tr w:rsidR="00B81226" w14:paraId="7FE1B5A9" w14:textId="77777777">
        <w:tc>
          <w:tcPr>
            <w:tcW w:w="905" w:type="dxa"/>
            <w:tcBorders>
              <w:top w:val="single" w:sz="4" w:space="0" w:color="1A171C"/>
              <w:left w:val="nil"/>
              <w:bottom w:val="single" w:sz="4" w:space="0" w:color="1A171C"/>
              <w:right w:val="single" w:sz="4" w:space="0" w:color="1A171C"/>
            </w:tcBorders>
            <w:vAlign w:val="center"/>
          </w:tcPr>
          <w:p w14:paraId="7FE1B5A3" w14:textId="77777777" w:rsidR="00B81226" w:rsidRDefault="00B82AC2">
            <w:pPr>
              <w:pStyle w:val="P68B1DB1-TableParagraph13"/>
              <w:spacing w:before="106"/>
              <w:ind w:left="-1"/>
            </w:pPr>
            <w:r>
              <w:t>0365–0369</w:t>
            </w:r>
          </w:p>
        </w:tc>
        <w:tc>
          <w:tcPr>
            <w:tcW w:w="8121" w:type="dxa"/>
            <w:tcBorders>
              <w:top w:val="single" w:sz="4" w:space="0" w:color="1A171C"/>
              <w:left w:val="single" w:sz="4" w:space="0" w:color="1A171C"/>
              <w:bottom w:val="single" w:sz="4" w:space="0" w:color="1A171C"/>
              <w:right w:val="nil"/>
            </w:tcBorders>
            <w:vAlign w:val="center"/>
          </w:tcPr>
          <w:p w14:paraId="7FE1B5A4" w14:textId="77777777" w:rsidR="00B81226" w:rsidRDefault="00B82AC2">
            <w:pPr>
              <w:pStyle w:val="P68B1DB1-TableParagraph14"/>
              <w:spacing w:before="108"/>
              <w:ind w:left="85"/>
              <w:jc w:val="both"/>
            </w:pPr>
            <w:r>
              <w:t>Etuoikeutettuihin saataviin kuuluvat huonomman etuoikeudet velat eli SNP-velat (”senior non-preferred”)</w:t>
            </w:r>
          </w:p>
          <w:p w14:paraId="7FE1B5A5" w14:textId="77777777" w:rsidR="00B81226" w:rsidRDefault="00B82AC2">
            <w:pPr>
              <w:pStyle w:val="P68B1DB1-TableParagraph13"/>
              <w:spacing w:before="108"/>
              <w:ind w:left="85"/>
              <w:jc w:val="both"/>
            </w:pPr>
            <w:r>
              <w:t>Seuraavien velkojen määrä:</w:t>
            </w:r>
          </w:p>
          <w:p w14:paraId="7FE1B5A6" w14:textId="51806099" w:rsidR="00B81226" w:rsidRDefault="00B82AC2">
            <w:pPr>
              <w:pStyle w:val="P68B1DB1-TableParagraph13"/>
              <w:numPr>
                <w:ilvl w:val="0"/>
                <w:numId w:val="69"/>
              </w:numPr>
              <w:spacing w:before="108"/>
              <w:jc w:val="both"/>
            </w:pPr>
            <w:r>
              <w:t xml:space="preserve">Vakuudettomat saamiset, jotka johtuvat velkainstrumenteista, jotka täyttävät direktiivin 2014/59/EU 108 artiklan 2 kohdan a, b ja c alakohdassa sekä 3 kohdassa säädetyt edellytykset; </w:t>
            </w:r>
          </w:p>
          <w:p w14:paraId="7FE1B5A7" w14:textId="77777777" w:rsidR="00B81226" w:rsidRDefault="00B82AC2">
            <w:pPr>
              <w:pStyle w:val="P68B1DB1-TableParagraph13"/>
              <w:numPr>
                <w:ilvl w:val="0"/>
                <w:numId w:val="69"/>
              </w:numPr>
              <w:spacing w:before="108"/>
              <w:jc w:val="both"/>
            </w:pPr>
            <w:r>
              <w:t>Direktiivin 2014/59/EU 108 artiklan 5 kohdan ensimmäisen alakohdan b alakohdassa tarkoitetut velkainstrumenteista johtuvat vakuudettomat saatavat; tai</w:t>
            </w:r>
          </w:p>
          <w:p w14:paraId="7FE1B5A8" w14:textId="77777777" w:rsidR="00B81226" w:rsidRDefault="00B82AC2">
            <w:pPr>
              <w:pStyle w:val="P68B1DB1-TableParagraph13"/>
              <w:numPr>
                <w:ilvl w:val="0"/>
                <w:numId w:val="69"/>
              </w:numPr>
              <w:spacing w:before="108"/>
              <w:jc w:val="both"/>
            </w:pPr>
            <w:r>
              <w:t>Direktiivin 2014/59/EU 108 artiklan 7 kohdassa tarkoitetut velkainstrumentit, joiden ensisijaisuusluokka on huonoin velkainstrumenteista johtuvien tavallisten vakuudettomien saatavien luokassa ja joiden osalta jäsenvaltio on kyseisen kohdan mukaisesti säätänyt, että niillä on sama etuoikeusasema kuin direktiivin 2014/59/EU 108 artiklan 2 kohdan a, b ja c alakohdan ja 3 kohdan edellytykset täyttävillä saatavilla.</w:t>
            </w:r>
          </w:p>
        </w:tc>
      </w:tr>
      <w:tr w:rsidR="00B81226" w14:paraId="7FE1B5AF" w14:textId="77777777">
        <w:tc>
          <w:tcPr>
            <w:tcW w:w="905" w:type="dxa"/>
            <w:tcBorders>
              <w:top w:val="single" w:sz="4" w:space="0" w:color="1A171C"/>
              <w:left w:val="nil"/>
              <w:bottom w:val="single" w:sz="4" w:space="0" w:color="1A171C"/>
              <w:right w:val="single" w:sz="4" w:space="0" w:color="1A171C"/>
            </w:tcBorders>
            <w:vAlign w:val="center"/>
          </w:tcPr>
          <w:p w14:paraId="7FE1B5AA" w14:textId="77777777" w:rsidR="00B81226" w:rsidRDefault="00B82AC2">
            <w:pPr>
              <w:pStyle w:val="P68B1DB1-TableParagraph13"/>
              <w:spacing w:before="106"/>
              <w:ind w:left="-1"/>
            </w:pPr>
            <w:r>
              <w:t>0370–0374</w:t>
            </w:r>
          </w:p>
        </w:tc>
        <w:tc>
          <w:tcPr>
            <w:tcW w:w="8121" w:type="dxa"/>
            <w:tcBorders>
              <w:top w:val="single" w:sz="4" w:space="0" w:color="1A171C"/>
              <w:left w:val="single" w:sz="4" w:space="0" w:color="1A171C"/>
              <w:bottom w:val="single" w:sz="4" w:space="0" w:color="1A171C"/>
              <w:right w:val="nil"/>
            </w:tcBorders>
            <w:vAlign w:val="center"/>
          </w:tcPr>
          <w:p w14:paraId="7FE1B5AB" w14:textId="77777777" w:rsidR="00B81226" w:rsidRDefault="00B82AC2">
            <w:pPr>
              <w:pStyle w:val="P68B1DB1-TableParagraph14"/>
              <w:spacing w:before="108"/>
              <w:ind w:left="85"/>
              <w:jc w:val="both"/>
              <w:rPr>
                <w:bCs/>
              </w:rPr>
            </w:pPr>
            <w:r>
              <w:t>Etuoikeudeltaan huonommat velat (muut kuin omat varat)</w:t>
            </w:r>
          </w:p>
          <w:p w14:paraId="7FE1B5AC" w14:textId="77777777" w:rsidR="00B81226" w:rsidRDefault="00B82AC2">
            <w:pPr>
              <w:pStyle w:val="P68B1DB1-TableParagraph17"/>
              <w:spacing w:before="108"/>
              <w:ind w:left="85"/>
              <w:jc w:val="both"/>
            </w:pPr>
            <w:r>
              <w:t>Velat, jotka on maksettava takaisin kansallisen maksukyvyttömyyslainsäädännön nojalla vasta sen jälkeen, kun velka on maksettu kokonaisuudessaan takaisin tavallisten velkojien ja SNP-velkojien kaikille luokille. Tähän sisältyvät sekä sopimuksiin perustuen että lakisääteisesti etuoikeudeltaan huonommat velat. Holdingyhtiöiden osalta tässä luokassa voidaan ilmoittaa myös paremmassa etuoikeusasemassa olevat velkapaperit (eli rakenteellinen huonompi etuoikeusasema).</w:t>
            </w:r>
          </w:p>
          <w:p w14:paraId="7FE1B5AD" w14:textId="77777777" w:rsidR="00B81226" w:rsidRDefault="00B82AC2">
            <w:pPr>
              <w:pStyle w:val="P68B1DB1-TableParagraph17"/>
              <w:spacing w:before="108"/>
              <w:ind w:left="85"/>
              <w:jc w:val="both"/>
            </w:pPr>
            <w:r>
              <w:t xml:space="preserve">Tähän luokkaan kuuluvat vain sellaiset etuoikeudeltaan huonommat instrumentit, joita ei ole merkitty omaksi varallisuudeksi. </w:t>
            </w:r>
          </w:p>
          <w:p w14:paraId="7FE1B5AE" w14:textId="77777777" w:rsidR="00B81226" w:rsidRDefault="00B82AC2">
            <w:pPr>
              <w:pStyle w:val="P68B1DB1-TableParagraph17"/>
              <w:spacing w:before="108"/>
              <w:ind w:left="85"/>
              <w:jc w:val="both"/>
              <w:rPr>
                <w:b/>
                <w:bCs/>
              </w:rPr>
            </w:pPr>
            <w:r>
              <w:t xml:space="preserve">Tällä rivillä ilmoitetaan myös se osa etuoikeudeltaan huonommista veloista, joka luokitellaan lähtökohtaisesti omaksi varallisuudeksi mutta jota ei sisällytetä omiin varoihin johtuen porrastusta (’phase-out’) koskevista säännöksistä, kuten asetuksen (EU) N:o 575/2013 64 artikla (jäljellä oleva </w:t>
            </w:r>
            <w:r>
              <w:lastRenderedPageBreak/>
              <w:t xml:space="preserve">maturiteetti) tai asetuksen (EU) N:o 575/2013 10 osa (uusista säännöksistä vapauttamisen vaikutus). </w:t>
            </w:r>
          </w:p>
        </w:tc>
      </w:tr>
      <w:tr w:rsidR="00B81226" w14:paraId="7FE1B5B3" w14:textId="77777777">
        <w:tc>
          <w:tcPr>
            <w:tcW w:w="905" w:type="dxa"/>
            <w:tcBorders>
              <w:top w:val="single" w:sz="4" w:space="0" w:color="1A171C"/>
              <w:left w:val="nil"/>
              <w:bottom w:val="single" w:sz="4" w:space="0" w:color="1A171C"/>
              <w:right w:val="single" w:sz="4" w:space="0" w:color="1A171C"/>
            </w:tcBorders>
            <w:vAlign w:val="center"/>
          </w:tcPr>
          <w:p w14:paraId="7FE1B5B0" w14:textId="77777777" w:rsidR="00B81226" w:rsidRDefault="00B82AC2">
            <w:pPr>
              <w:pStyle w:val="P68B1DB1-TableParagraph13"/>
              <w:spacing w:before="106"/>
              <w:ind w:left="-1"/>
            </w:pPr>
            <w:r>
              <w:lastRenderedPageBreak/>
              <w:t>0380–0382</w:t>
            </w:r>
          </w:p>
        </w:tc>
        <w:tc>
          <w:tcPr>
            <w:tcW w:w="8121" w:type="dxa"/>
            <w:tcBorders>
              <w:top w:val="single" w:sz="4" w:space="0" w:color="1A171C"/>
              <w:left w:val="single" w:sz="4" w:space="0" w:color="1A171C"/>
              <w:bottom w:val="single" w:sz="4" w:space="0" w:color="1A171C"/>
              <w:right w:val="nil"/>
            </w:tcBorders>
            <w:vAlign w:val="center"/>
          </w:tcPr>
          <w:p w14:paraId="7FE1B5B1" w14:textId="77777777" w:rsidR="00B81226" w:rsidRDefault="00B82AC2">
            <w:pPr>
              <w:pStyle w:val="P68B1DB1-TableParagraph14"/>
              <w:spacing w:before="108"/>
              <w:ind w:left="85"/>
              <w:jc w:val="both"/>
              <w:rPr>
                <w:bCs/>
              </w:rPr>
            </w:pPr>
            <w:r>
              <w:t>Muut MREL-hyväksyttävät velat</w:t>
            </w:r>
          </w:p>
          <w:p w14:paraId="7FE1B5B2" w14:textId="4506AA1E" w:rsidR="00B81226" w:rsidRDefault="00B82AC2">
            <w:pPr>
              <w:pStyle w:val="P68B1DB1-TableParagraph13"/>
              <w:spacing w:before="108"/>
              <w:ind w:left="85"/>
              <w:jc w:val="both"/>
              <w:rPr>
                <w:b/>
                <w:bCs/>
              </w:rPr>
            </w:pPr>
            <w:r>
              <w:t>Velkojen määrä, jonka raportoiva yhteisö voi hyväksyä täyttämään direktiivin 2014/59/EU 45 artiklan vaatimuksen tapauksen mukaan kyseisen direktiivin 45 e tai 45 f artiklan mukaisesti, mutta jota ei ilmoiteta riveillä 0320 ja 0340–0370.</w:t>
            </w:r>
          </w:p>
        </w:tc>
      </w:tr>
      <w:tr w:rsidR="00B81226" w14:paraId="7FE1B5B7" w14:textId="77777777">
        <w:tc>
          <w:tcPr>
            <w:tcW w:w="905" w:type="dxa"/>
            <w:tcBorders>
              <w:top w:val="single" w:sz="4" w:space="0" w:color="1A171C"/>
              <w:left w:val="nil"/>
              <w:bottom w:val="single" w:sz="4" w:space="0" w:color="1A171C"/>
              <w:right w:val="single" w:sz="4" w:space="0" w:color="1A171C"/>
            </w:tcBorders>
            <w:vAlign w:val="center"/>
          </w:tcPr>
          <w:p w14:paraId="7FE1B5B4" w14:textId="77777777" w:rsidR="00B81226" w:rsidRDefault="00B82AC2">
            <w:pPr>
              <w:pStyle w:val="P68B1DB1-TableParagraph13"/>
              <w:spacing w:before="106"/>
              <w:ind w:left="-1"/>
            </w:pPr>
            <w:r>
              <w:t>0390</w:t>
            </w:r>
          </w:p>
        </w:tc>
        <w:tc>
          <w:tcPr>
            <w:tcW w:w="8121" w:type="dxa"/>
            <w:tcBorders>
              <w:top w:val="single" w:sz="4" w:space="0" w:color="1A171C"/>
              <w:left w:val="single" w:sz="4" w:space="0" w:color="1A171C"/>
              <w:bottom w:val="single" w:sz="4" w:space="0" w:color="1A171C"/>
              <w:right w:val="nil"/>
            </w:tcBorders>
            <w:vAlign w:val="center"/>
          </w:tcPr>
          <w:p w14:paraId="7FE1B5B5" w14:textId="77777777" w:rsidR="00B81226" w:rsidRDefault="00B82AC2">
            <w:pPr>
              <w:pStyle w:val="P68B1DB1-TableParagraph14"/>
              <w:spacing w:before="108"/>
              <w:ind w:left="85"/>
              <w:jc w:val="both"/>
              <w:rPr>
                <w:bCs/>
              </w:rPr>
            </w:pPr>
            <w:r>
              <w:t>Rahoitusvaroihin kuulumattomat velat</w:t>
            </w:r>
          </w:p>
          <w:p w14:paraId="7FE1B5B6" w14:textId="2BB92741" w:rsidR="00B81226" w:rsidRDefault="00B82AC2">
            <w:pPr>
              <w:pStyle w:val="P68B1DB1-TableParagraph17"/>
              <w:spacing w:before="108"/>
              <w:ind w:left="85"/>
              <w:jc w:val="both"/>
              <w:rPr>
                <w:b/>
                <w:bCs/>
              </w:rPr>
            </w:pPr>
            <w:r>
              <w:t xml:space="preserve">Sellaisten velkojen määrä, joita ei pidetä sovellettavan tilinpäätössäännöstön mukaisina rahoitusvelkoina, kuten yhteisöä koskeviin riita-asioihin liittyvät varaukset. </w:t>
            </w:r>
          </w:p>
        </w:tc>
      </w:tr>
      <w:tr w:rsidR="00B81226" w14:paraId="7FE1B5BB" w14:textId="77777777">
        <w:tc>
          <w:tcPr>
            <w:tcW w:w="905" w:type="dxa"/>
            <w:tcBorders>
              <w:top w:val="single" w:sz="4" w:space="0" w:color="1A171C"/>
              <w:left w:val="nil"/>
              <w:bottom w:val="single" w:sz="4" w:space="0" w:color="1A171C"/>
              <w:right w:val="single" w:sz="4" w:space="0" w:color="1A171C"/>
            </w:tcBorders>
            <w:vAlign w:val="center"/>
          </w:tcPr>
          <w:p w14:paraId="7FE1B5B8" w14:textId="77777777" w:rsidR="00B81226" w:rsidRDefault="00B82AC2">
            <w:pPr>
              <w:pStyle w:val="P68B1DB1-TableParagraph13"/>
              <w:spacing w:before="106"/>
              <w:ind w:left="-1"/>
            </w:pPr>
            <w:r>
              <w:t>0400</w:t>
            </w:r>
          </w:p>
        </w:tc>
        <w:tc>
          <w:tcPr>
            <w:tcW w:w="8121" w:type="dxa"/>
            <w:tcBorders>
              <w:top w:val="single" w:sz="4" w:space="0" w:color="1A171C"/>
              <w:left w:val="single" w:sz="4" w:space="0" w:color="1A171C"/>
              <w:bottom w:val="single" w:sz="4" w:space="0" w:color="1A171C"/>
              <w:right w:val="nil"/>
            </w:tcBorders>
            <w:vAlign w:val="center"/>
          </w:tcPr>
          <w:p w14:paraId="7FE1B5B9" w14:textId="77777777" w:rsidR="00B81226" w:rsidRDefault="00B82AC2">
            <w:pPr>
              <w:pStyle w:val="P68B1DB1-TableParagraph14"/>
              <w:spacing w:before="108"/>
              <w:ind w:left="85"/>
              <w:jc w:val="both"/>
              <w:rPr>
                <w:bCs/>
              </w:rPr>
            </w:pPr>
            <w:r>
              <w:t>Muut velat</w:t>
            </w:r>
          </w:p>
          <w:p w14:paraId="7FE1B5BA" w14:textId="66DA2802" w:rsidR="00B81226" w:rsidRDefault="00B82AC2">
            <w:pPr>
              <w:pStyle w:val="P68B1DB1-TableParagraph17"/>
              <w:spacing w:before="108"/>
              <w:ind w:left="85"/>
              <w:jc w:val="both"/>
              <w:rPr>
                <w:b/>
                <w:bCs/>
              </w:rPr>
            </w:pPr>
            <w:r>
              <w:t xml:space="preserve">Velan määrä, joka ei ole ilmoitettu riveillä 0100–0390. </w:t>
            </w:r>
          </w:p>
        </w:tc>
      </w:tr>
      <w:tr w:rsidR="00B81226" w14:paraId="7FE1B5C0" w14:textId="77777777">
        <w:tc>
          <w:tcPr>
            <w:tcW w:w="905" w:type="dxa"/>
            <w:tcBorders>
              <w:top w:val="single" w:sz="4" w:space="0" w:color="1A171C"/>
              <w:left w:val="nil"/>
              <w:bottom w:val="single" w:sz="4" w:space="0" w:color="1A171C"/>
              <w:right w:val="single" w:sz="4" w:space="0" w:color="1A171C"/>
            </w:tcBorders>
            <w:vAlign w:val="center"/>
          </w:tcPr>
          <w:p w14:paraId="7FE1B5BC" w14:textId="77777777" w:rsidR="00B81226" w:rsidRDefault="00B82AC2">
            <w:pPr>
              <w:pStyle w:val="P68B1DB1-TableParagraph13"/>
              <w:spacing w:before="106"/>
              <w:ind w:left="-1"/>
            </w:pPr>
            <w:r>
              <w:t>0500</w:t>
            </w:r>
          </w:p>
        </w:tc>
        <w:tc>
          <w:tcPr>
            <w:tcW w:w="8121" w:type="dxa"/>
            <w:tcBorders>
              <w:top w:val="single" w:sz="4" w:space="0" w:color="1A171C"/>
              <w:left w:val="single" w:sz="4" w:space="0" w:color="1A171C"/>
              <w:bottom w:val="single" w:sz="4" w:space="0" w:color="1A171C"/>
              <w:right w:val="nil"/>
            </w:tcBorders>
            <w:vAlign w:val="center"/>
          </w:tcPr>
          <w:p w14:paraId="7FE1B5BD" w14:textId="77777777" w:rsidR="00B81226" w:rsidRDefault="00B82AC2">
            <w:pPr>
              <w:pStyle w:val="P68B1DB1-TableParagraph14"/>
              <w:spacing w:before="108"/>
              <w:ind w:left="85"/>
              <w:jc w:val="both"/>
            </w:pPr>
            <w:r>
              <w:t>Omat varat</w:t>
            </w:r>
          </w:p>
          <w:p w14:paraId="7FE1B5BE" w14:textId="77777777" w:rsidR="00B81226" w:rsidRDefault="00B82AC2">
            <w:pPr>
              <w:pStyle w:val="P68B1DB1-TableParagraph17"/>
              <w:spacing w:before="108"/>
              <w:ind w:left="85"/>
              <w:jc w:val="both"/>
            </w:pPr>
            <w:r>
              <w:t>Asetuksen (EU) N:o 575/2013 4 artiklan 1 kohdan 118 alakohta ja 72 artikla.</w:t>
            </w:r>
          </w:p>
          <w:p w14:paraId="7FE1B5BF" w14:textId="77777777" w:rsidR="00B81226" w:rsidRDefault="00B82AC2">
            <w:pPr>
              <w:pStyle w:val="P68B1DB1-TableParagraph17"/>
              <w:spacing w:before="108"/>
              <w:ind w:left="85"/>
              <w:jc w:val="both"/>
            </w:pPr>
            <w:r>
              <w:t>Sama määritelmä kuin COREP (OF):ssa: МC 01.00;010;010 010 010 010 •9.00.</w:t>
            </w:r>
          </w:p>
        </w:tc>
      </w:tr>
      <w:tr w:rsidR="00B81226" w14:paraId="7FE1B5C5" w14:textId="77777777">
        <w:tc>
          <w:tcPr>
            <w:tcW w:w="905" w:type="dxa"/>
            <w:tcBorders>
              <w:top w:val="single" w:sz="4" w:space="0" w:color="1A171C"/>
              <w:left w:val="nil"/>
              <w:bottom w:val="single" w:sz="4" w:space="0" w:color="1A171C"/>
              <w:right w:val="single" w:sz="4" w:space="0" w:color="1A171C"/>
            </w:tcBorders>
            <w:vAlign w:val="center"/>
          </w:tcPr>
          <w:p w14:paraId="7FE1B5C1" w14:textId="77777777" w:rsidR="00B81226" w:rsidRDefault="00B82AC2">
            <w:pPr>
              <w:pStyle w:val="P68B1DB1-TableParagraph13"/>
              <w:spacing w:before="106"/>
              <w:ind w:left="-1"/>
            </w:pPr>
            <w:r>
              <w:t>0510</w:t>
            </w:r>
          </w:p>
        </w:tc>
        <w:tc>
          <w:tcPr>
            <w:tcW w:w="8121" w:type="dxa"/>
            <w:tcBorders>
              <w:top w:val="single" w:sz="4" w:space="0" w:color="1A171C"/>
              <w:left w:val="single" w:sz="4" w:space="0" w:color="1A171C"/>
              <w:bottom w:val="single" w:sz="4" w:space="0" w:color="1A171C"/>
              <w:right w:val="nil"/>
            </w:tcBorders>
            <w:vAlign w:val="center"/>
          </w:tcPr>
          <w:p w14:paraId="7FE1B5C2" w14:textId="77777777" w:rsidR="00B81226" w:rsidRDefault="00B82AC2">
            <w:pPr>
              <w:pStyle w:val="P68B1DB1-TableParagraph14"/>
              <w:spacing w:before="108"/>
              <w:ind w:left="85"/>
              <w:jc w:val="both"/>
              <w:rPr>
                <w:bCs/>
              </w:rPr>
            </w:pPr>
            <w:r>
              <w:t>Ydinpääoma (CET1)</w:t>
            </w:r>
          </w:p>
          <w:p w14:paraId="7FE1B5C3" w14:textId="77777777" w:rsidR="00B81226" w:rsidRDefault="00B82AC2">
            <w:pPr>
              <w:pStyle w:val="P68B1DB1-TableParagraph17"/>
              <w:spacing w:before="108"/>
              <w:ind w:left="85"/>
              <w:jc w:val="both"/>
            </w:pPr>
            <w:r>
              <w:t>Asetuksen (EU) N:o 575/2013 50 artikla</w:t>
            </w:r>
          </w:p>
          <w:p w14:paraId="7FE1B5C4" w14:textId="77777777" w:rsidR="00B81226" w:rsidRDefault="00B82AC2">
            <w:pPr>
              <w:pStyle w:val="P68B1DB1-TableParagraph17"/>
              <w:spacing w:before="108"/>
              <w:ind w:left="85"/>
              <w:jc w:val="both"/>
              <w:rPr>
                <w:b/>
                <w:bCs/>
              </w:rPr>
            </w:pPr>
            <w:r>
              <w:t>Sama määritelmä kuin COREP (OF):ssa: МC 01.00;020;010 010 •</w:t>
            </w:r>
          </w:p>
        </w:tc>
      </w:tr>
      <w:tr w:rsidR="00B81226" w14:paraId="7FE1B5CA" w14:textId="77777777">
        <w:tc>
          <w:tcPr>
            <w:tcW w:w="905" w:type="dxa"/>
            <w:tcBorders>
              <w:top w:val="single" w:sz="4" w:space="0" w:color="1A171C"/>
              <w:left w:val="nil"/>
              <w:bottom w:val="single" w:sz="4" w:space="0" w:color="1A171C"/>
              <w:right w:val="single" w:sz="4" w:space="0" w:color="1A171C"/>
            </w:tcBorders>
            <w:vAlign w:val="center"/>
          </w:tcPr>
          <w:p w14:paraId="7FE1B5C6" w14:textId="77777777" w:rsidR="00B81226" w:rsidRDefault="00B82AC2">
            <w:pPr>
              <w:pStyle w:val="P68B1DB1-TableParagraph13"/>
              <w:spacing w:before="106"/>
              <w:ind w:left="-1"/>
            </w:pPr>
            <w:r>
              <w:t>0511</w:t>
            </w:r>
          </w:p>
        </w:tc>
        <w:tc>
          <w:tcPr>
            <w:tcW w:w="8121" w:type="dxa"/>
            <w:tcBorders>
              <w:top w:val="single" w:sz="4" w:space="0" w:color="1A171C"/>
              <w:left w:val="single" w:sz="4" w:space="0" w:color="1A171C"/>
              <w:bottom w:val="single" w:sz="4" w:space="0" w:color="1A171C"/>
              <w:right w:val="nil"/>
            </w:tcBorders>
            <w:vAlign w:val="center"/>
          </w:tcPr>
          <w:p w14:paraId="7FE1B5C7" w14:textId="77777777" w:rsidR="00B81226" w:rsidRDefault="00B82AC2">
            <w:pPr>
              <w:pStyle w:val="P68B1DB1-TableParagraph14"/>
              <w:spacing w:before="108"/>
              <w:ind w:left="85"/>
              <w:jc w:val="both"/>
              <w:rPr>
                <w:bCs/>
              </w:rPr>
            </w:pPr>
            <w:r>
              <w:t>Josta: pääomainstrumentit/osakepääoma</w:t>
            </w:r>
          </w:p>
          <w:p w14:paraId="7FE1B5C8" w14:textId="77777777" w:rsidR="00B81226" w:rsidRDefault="00B82AC2">
            <w:pPr>
              <w:pStyle w:val="P68B1DB1-TableParagraph17"/>
              <w:spacing w:before="108"/>
              <w:ind w:left="85"/>
              <w:jc w:val="both"/>
            </w:pPr>
            <w:r>
              <w:t>Oikeudelliset välineet, jotka muodostavat (osan) ydinpääomasta pääomainstrumenttien/osakepääoman muodossa</w:t>
            </w:r>
          </w:p>
          <w:p w14:paraId="7FE1B5C9" w14:textId="5A3DBB27" w:rsidR="00B81226" w:rsidRDefault="00B82AC2">
            <w:pPr>
              <w:pStyle w:val="P68B1DB1-TableParagraph13"/>
              <w:spacing w:before="108"/>
              <w:ind w:left="85"/>
              <w:jc w:val="both"/>
            </w:pPr>
            <w:r>
              <w:t>Kirjanpitoarvo (FINREP F01.03–020–010 + F01.03–040–010) tarkoitetaan instrumenttien nimellisarvoa, kun taas jäljellä oleva määrä tarkoittaa osakkeiden jäljellä olevia saatavia kirjanpidollisesta omasta pääomasta, eli esimerkiksi yhteisön/konsernin varauksia.</w:t>
            </w:r>
          </w:p>
        </w:tc>
      </w:tr>
      <w:tr w:rsidR="00B81226" w14:paraId="7FE1B5CE" w14:textId="77777777">
        <w:tc>
          <w:tcPr>
            <w:tcW w:w="905" w:type="dxa"/>
            <w:tcBorders>
              <w:top w:val="single" w:sz="4" w:space="0" w:color="1A171C"/>
              <w:left w:val="nil"/>
              <w:bottom w:val="single" w:sz="4" w:space="0" w:color="1A171C"/>
              <w:right w:val="single" w:sz="4" w:space="0" w:color="1A171C"/>
            </w:tcBorders>
            <w:vAlign w:val="center"/>
          </w:tcPr>
          <w:p w14:paraId="7FE1B5CB" w14:textId="77777777" w:rsidR="00B81226" w:rsidRDefault="00B82AC2">
            <w:pPr>
              <w:pStyle w:val="P68B1DB1-TableParagraph13"/>
              <w:spacing w:before="106"/>
              <w:ind w:left="-1"/>
            </w:pPr>
            <w:r>
              <w:t>0512</w:t>
            </w:r>
          </w:p>
        </w:tc>
        <w:tc>
          <w:tcPr>
            <w:tcW w:w="8121" w:type="dxa"/>
            <w:tcBorders>
              <w:top w:val="single" w:sz="4" w:space="0" w:color="1A171C"/>
              <w:left w:val="single" w:sz="4" w:space="0" w:color="1A171C"/>
              <w:bottom w:val="single" w:sz="4" w:space="0" w:color="1A171C"/>
              <w:right w:val="nil"/>
            </w:tcBorders>
            <w:vAlign w:val="center"/>
          </w:tcPr>
          <w:p w14:paraId="7FE1B5CC" w14:textId="77777777" w:rsidR="00B81226" w:rsidRDefault="00B82AC2">
            <w:pPr>
              <w:pStyle w:val="P68B1DB1-TableParagraph14"/>
              <w:spacing w:before="108"/>
              <w:ind w:left="85"/>
              <w:jc w:val="both"/>
              <w:rPr>
                <w:bCs/>
              </w:rPr>
            </w:pPr>
            <w:r>
              <w:t>Josta: instrumentit, jotka ovat tasavertaisessa asemassa tavallisten osakkeiden kanssa</w:t>
            </w:r>
          </w:p>
          <w:p w14:paraId="7FE1B5CD" w14:textId="0D41ACA0" w:rsidR="00B81226" w:rsidRDefault="00B82AC2">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Oikeudelliset välineet, jotka muodostavat (osan) ydinpääomasta muiden instrumenttien kuin pääomainstrumenttien/osakepääoman muodossa mutta ovat tasavertaisessa asemassa tavallisten osakkeiden kanssa.</w:t>
            </w:r>
            <w:r>
              <w:rPr>
                <w:rFonts w:ascii="Times New Roman" w:hAnsi="Times New Roman" w:cs="Times New Roman"/>
              </w:rPr>
              <w:t xml:space="preserve"> </w:t>
            </w:r>
            <w:bookmarkStart w:id="57" w:name="_Hlk170122776"/>
            <w:r>
              <w:rPr>
                <w:rFonts w:ascii="Times New Roman" w:eastAsia="Cambria" w:hAnsi="Times New Roman" w:cs="Times New Roman"/>
                <w:color w:val="000000" w:themeColor="text1"/>
                <w:sz w:val="20"/>
                <w:szCs w:val="20"/>
              </w:rPr>
              <w:t>Tässä kohdassa ei pidä ilmoittaa kertyneitä voittovaroja eikä varauksia.</w:t>
            </w:r>
            <w:bookmarkEnd w:id="57"/>
          </w:p>
        </w:tc>
      </w:tr>
      <w:tr w:rsidR="00B81226" w14:paraId="7FE1B5D3" w14:textId="77777777">
        <w:tc>
          <w:tcPr>
            <w:tcW w:w="905" w:type="dxa"/>
            <w:tcBorders>
              <w:top w:val="single" w:sz="4" w:space="0" w:color="1A171C"/>
              <w:left w:val="nil"/>
              <w:bottom w:val="single" w:sz="4" w:space="0" w:color="1A171C"/>
              <w:right w:val="single" w:sz="4" w:space="0" w:color="1A171C"/>
            </w:tcBorders>
            <w:vAlign w:val="center"/>
          </w:tcPr>
          <w:p w14:paraId="7FE1B5CF" w14:textId="77777777" w:rsidR="00B81226" w:rsidRDefault="00B82AC2">
            <w:pPr>
              <w:pStyle w:val="P68B1DB1-TableParagraph13"/>
              <w:spacing w:before="106"/>
              <w:ind w:left="-1"/>
            </w:pPr>
            <w:r>
              <w:t>0520</w:t>
            </w:r>
          </w:p>
        </w:tc>
        <w:tc>
          <w:tcPr>
            <w:tcW w:w="8121" w:type="dxa"/>
            <w:tcBorders>
              <w:top w:val="single" w:sz="4" w:space="0" w:color="1A171C"/>
              <w:left w:val="single" w:sz="4" w:space="0" w:color="1A171C"/>
              <w:bottom w:val="single" w:sz="4" w:space="0" w:color="1A171C"/>
              <w:right w:val="nil"/>
            </w:tcBorders>
            <w:vAlign w:val="center"/>
          </w:tcPr>
          <w:p w14:paraId="7FE1B5D0" w14:textId="77777777" w:rsidR="00B81226" w:rsidRDefault="00B82AC2">
            <w:pPr>
              <w:pStyle w:val="P68B1DB1-TableParagraph14"/>
              <w:spacing w:before="108"/>
              <w:ind w:left="85"/>
              <w:jc w:val="both"/>
              <w:rPr>
                <w:bCs/>
              </w:rPr>
            </w:pPr>
            <w:r>
              <w:t>Ensisijainen lisäpääoma (AT1)</w:t>
            </w:r>
          </w:p>
          <w:p w14:paraId="7FE1B5D1" w14:textId="77777777" w:rsidR="00B81226" w:rsidRDefault="00B82AC2">
            <w:pPr>
              <w:pStyle w:val="P68B1DB1-TableParagraph17"/>
              <w:spacing w:before="108"/>
              <w:ind w:left="85"/>
              <w:jc w:val="both"/>
            </w:pPr>
            <w:r>
              <w:t>Asetuksen (EU) N:o 575/2013 61 artikla.</w:t>
            </w:r>
          </w:p>
          <w:p w14:paraId="7FE1B5D2" w14:textId="77777777" w:rsidR="00B81226" w:rsidRDefault="00B82AC2">
            <w:pPr>
              <w:pStyle w:val="P68B1DB1-TableParagraph17"/>
              <w:spacing w:before="108"/>
              <w:ind w:left="85"/>
              <w:jc w:val="both"/>
              <w:rPr>
                <w:b/>
                <w:bCs/>
              </w:rPr>
            </w:pPr>
            <w:r>
              <w:t>Sama määritelmä kuin COREP (OF):ssa: МC 01.00;530;010 010 010 •</w:t>
            </w:r>
          </w:p>
        </w:tc>
      </w:tr>
      <w:tr w:rsidR="00B81226" w14:paraId="7FE1B5D7" w14:textId="77777777">
        <w:tc>
          <w:tcPr>
            <w:tcW w:w="905" w:type="dxa"/>
            <w:tcBorders>
              <w:top w:val="single" w:sz="4" w:space="0" w:color="1A171C"/>
              <w:left w:val="nil"/>
              <w:bottom w:val="single" w:sz="4" w:space="0" w:color="1A171C"/>
              <w:right w:val="single" w:sz="4" w:space="0" w:color="1A171C"/>
            </w:tcBorders>
            <w:vAlign w:val="center"/>
          </w:tcPr>
          <w:p w14:paraId="7FE1B5D4" w14:textId="77777777" w:rsidR="00B81226" w:rsidRDefault="00B82AC2">
            <w:pPr>
              <w:pStyle w:val="P68B1DB1-TableParagraph13"/>
              <w:spacing w:before="106"/>
              <w:ind w:left="-1"/>
            </w:pPr>
            <w:r>
              <w:t>0521</w:t>
            </w:r>
          </w:p>
        </w:tc>
        <w:tc>
          <w:tcPr>
            <w:tcW w:w="8121" w:type="dxa"/>
            <w:tcBorders>
              <w:top w:val="single" w:sz="4" w:space="0" w:color="1A171C"/>
              <w:left w:val="single" w:sz="4" w:space="0" w:color="1A171C"/>
              <w:bottom w:val="single" w:sz="4" w:space="0" w:color="1A171C"/>
              <w:right w:val="nil"/>
            </w:tcBorders>
            <w:vAlign w:val="center"/>
          </w:tcPr>
          <w:p w14:paraId="7FE1B5D5" w14:textId="77777777" w:rsidR="00B81226" w:rsidRDefault="00B82AC2">
            <w:pPr>
              <w:pStyle w:val="P68B1DB1-TableParagraph14"/>
              <w:spacing w:before="108"/>
              <w:ind w:left="85"/>
              <w:jc w:val="both"/>
              <w:rPr>
                <w:bCs/>
              </w:rPr>
            </w:pPr>
            <w:r>
              <w:t>Josta: omiksi varoiksi hyväksytyt etuoikeudeltaan huonommat velat</w:t>
            </w:r>
          </w:p>
          <w:p w14:paraId="7FE1B5D6" w14:textId="77777777" w:rsidR="00B81226" w:rsidRDefault="00B82AC2">
            <w:pPr>
              <w:pStyle w:val="P68B1DB1-TableParagraph17"/>
              <w:spacing w:before="108"/>
              <w:ind w:left="85"/>
              <w:jc w:val="both"/>
              <w:rPr>
                <w:b/>
                <w:bCs/>
              </w:rPr>
            </w:pPr>
            <w:r>
              <w:t>Oikeudelliset välineet, jotka muodostavat (osan) ensisijaisesta lisäpääomasta (AT1).</w:t>
            </w:r>
          </w:p>
        </w:tc>
      </w:tr>
      <w:tr w:rsidR="00B81226" w14:paraId="7FE1B5DC" w14:textId="77777777">
        <w:tc>
          <w:tcPr>
            <w:tcW w:w="905" w:type="dxa"/>
            <w:tcBorders>
              <w:top w:val="single" w:sz="4" w:space="0" w:color="1A171C"/>
              <w:left w:val="nil"/>
              <w:bottom w:val="single" w:sz="4" w:space="0" w:color="1A171C"/>
              <w:right w:val="single" w:sz="4" w:space="0" w:color="1A171C"/>
            </w:tcBorders>
            <w:vAlign w:val="center"/>
          </w:tcPr>
          <w:p w14:paraId="7FE1B5D8" w14:textId="77777777" w:rsidR="00B81226" w:rsidRDefault="00B82AC2">
            <w:pPr>
              <w:pStyle w:val="P68B1DB1-TableParagraph13"/>
              <w:spacing w:before="106"/>
              <w:ind w:left="-1"/>
            </w:pPr>
            <w:r>
              <w:t>0530</w:t>
            </w:r>
          </w:p>
        </w:tc>
        <w:tc>
          <w:tcPr>
            <w:tcW w:w="8121" w:type="dxa"/>
            <w:tcBorders>
              <w:top w:val="single" w:sz="4" w:space="0" w:color="1A171C"/>
              <w:left w:val="single" w:sz="4" w:space="0" w:color="1A171C"/>
              <w:bottom w:val="single" w:sz="4" w:space="0" w:color="1A171C"/>
              <w:right w:val="nil"/>
            </w:tcBorders>
            <w:vAlign w:val="center"/>
          </w:tcPr>
          <w:p w14:paraId="7FE1B5D9" w14:textId="77777777" w:rsidR="00B81226" w:rsidRDefault="00B82AC2">
            <w:pPr>
              <w:pStyle w:val="P68B1DB1-TableParagraph14"/>
              <w:spacing w:before="108"/>
              <w:ind w:left="85"/>
              <w:jc w:val="both"/>
              <w:rPr>
                <w:bCs/>
              </w:rPr>
            </w:pPr>
            <w:r>
              <w:t>Toissijainen pääoma (T2)</w:t>
            </w:r>
          </w:p>
          <w:p w14:paraId="7FE1B5DA" w14:textId="77777777" w:rsidR="00B81226" w:rsidRDefault="00B82AC2">
            <w:pPr>
              <w:pStyle w:val="P68B1DB1-TableParagraph17"/>
              <w:spacing w:before="108"/>
              <w:ind w:left="85"/>
              <w:jc w:val="both"/>
            </w:pPr>
            <w:r>
              <w:t>Asetuksen (EU) N:o 575/2013 71 artikla.</w:t>
            </w:r>
          </w:p>
          <w:p w14:paraId="7FE1B5DB" w14:textId="77777777" w:rsidR="00B81226" w:rsidRDefault="00B82AC2">
            <w:pPr>
              <w:pStyle w:val="P68B1DB1-TableParagraph17"/>
              <w:spacing w:before="108"/>
              <w:ind w:left="85"/>
              <w:jc w:val="both"/>
              <w:rPr>
                <w:b/>
                <w:bCs/>
              </w:rPr>
            </w:pPr>
            <w:r>
              <w:t>Sama määritelmä kuin COREP (OF):ssa: МC 01.00;750;010 010 010 •9.00;</w:t>
            </w:r>
          </w:p>
        </w:tc>
      </w:tr>
      <w:tr w:rsidR="00B81226" w14:paraId="7FE1B5E0" w14:textId="77777777">
        <w:tc>
          <w:tcPr>
            <w:tcW w:w="905" w:type="dxa"/>
            <w:tcBorders>
              <w:top w:val="single" w:sz="4" w:space="0" w:color="1A171C"/>
              <w:left w:val="nil"/>
              <w:bottom w:val="single" w:sz="4" w:space="0" w:color="1A171C"/>
              <w:right w:val="single" w:sz="4" w:space="0" w:color="1A171C"/>
            </w:tcBorders>
            <w:vAlign w:val="center"/>
          </w:tcPr>
          <w:p w14:paraId="7FE1B5DD" w14:textId="77777777" w:rsidR="00B81226" w:rsidRDefault="00B82AC2">
            <w:pPr>
              <w:pStyle w:val="P68B1DB1-TableParagraph13"/>
              <w:spacing w:before="106"/>
              <w:ind w:left="-1"/>
            </w:pPr>
            <w:r>
              <w:t>0531</w:t>
            </w:r>
          </w:p>
        </w:tc>
        <w:tc>
          <w:tcPr>
            <w:tcW w:w="8121" w:type="dxa"/>
            <w:tcBorders>
              <w:top w:val="single" w:sz="4" w:space="0" w:color="1A171C"/>
              <w:left w:val="single" w:sz="4" w:space="0" w:color="1A171C"/>
              <w:bottom w:val="single" w:sz="4" w:space="0" w:color="1A171C"/>
              <w:right w:val="nil"/>
            </w:tcBorders>
            <w:vAlign w:val="center"/>
          </w:tcPr>
          <w:p w14:paraId="7FE1B5DE" w14:textId="77777777" w:rsidR="00B81226" w:rsidRDefault="00B82AC2">
            <w:pPr>
              <w:pStyle w:val="P68B1DB1-TableParagraph14"/>
              <w:spacing w:before="108"/>
              <w:ind w:left="85"/>
              <w:jc w:val="both"/>
              <w:rPr>
                <w:bCs/>
              </w:rPr>
            </w:pPr>
            <w:r>
              <w:t>Josta: omiksi varoiksi hyväksytyt etuoikeudeltaan huonommat velat</w:t>
            </w:r>
          </w:p>
          <w:p w14:paraId="7FE1B5DF" w14:textId="77777777" w:rsidR="00B81226" w:rsidRDefault="00B82AC2">
            <w:pPr>
              <w:pStyle w:val="P68B1DB1-TableParagraph17"/>
              <w:spacing w:before="108"/>
              <w:ind w:left="85"/>
              <w:jc w:val="both"/>
              <w:rPr>
                <w:b/>
                <w:bCs/>
              </w:rPr>
            </w:pPr>
            <w:r>
              <w:t>Tässä erittelyssä yksilöidään oikeudelliset välineet, jotka muodostavat (osan) toissijaisen pääoman omista varoista.</w:t>
            </w:r>
          </w:p>
        </w:tc>
      </w:tr>
      <w:tr w:rsidR="00B81226" w14:paraId="7FE1B5E4" w14:textId="77777777">
        <w:tc>
          <w:tcPr>
            <w:tcW w:w="905" w:type="dxa"/>
            <w:tcBorders>
              <w:top w:val="single" w:sz="4" w:space="0" w:color="1A171C"/>
              <w:left w:val="nil"/>
              <w:bottom w:val="single" w:sz="4" w:space="0" w:color="1A171C"/>
              <w:right w:val="single" w:sz="4" w:space="0" w:color="1A171C"/>
            </w:tcBorders>
            <w:vAlign w:val="center"/>
          </w:tcPr>
          <w:p w14:paraId="7FE1B5E1" w14:textId="77777777" w:rsidR="00B81226" w:rsidRDefault="00B82AC2">
            <w:pPr>
              <w:pStyle w:val="P68B1DB1-TableParagraph13"/>
              <w:spacing w:before="106"/>
              <w:ind w:left="-1"/>
            </w:pPr>
            <w:r>
              <w:lastRenderedPageBreak/>
              <w:t>0600</w:t>
            </w:r>
          </w:p>
        </w:tc>
        <w:tc>
          <w:tcPr>
            <w:tcW w:w="8121" w:type="dxa"/>
            <w:tcBorders>
              <w:top w:val="single" w:sz="4" w:space="0" w:color="1A171C"/>
              <w:left w:val="single" w:sz="4" w:space="0" w:color="1A171C"/>
              <w:bottom w:val="single" w:sz="4" w:space="0" w:color="1A171C"/>
              <w:right w:val="nil"/>
            </w:tcBorders>
            <w:vAlign w:val="center"/>
          </w:tcPr>
          <w:p w14:paraId="7FE1B5E2" w14:textId="77777777" w:rsidR="00B81226" w:rsidRDefault="00B82AC2">
            <w:pPr>
              <w:pStyle w:val="P68B1DB1-TableParagraph14"/>
              <w:spacing w:before="108"/>
              <w:ind w:left="85"/>
              <w:jc w:val="both"/>
              <w:rPr>
                <w:bCs/>
              </w:rPr>
            </w:pPr>
            <w:r>
              <w:t>Kaikki velat ja omat varat yhteensä, myös johdannaisvelat</w:t>
            </w:r>
          </w:p>
          <w:p w14:paraId="7FE1B5E3" w14:textId="77777777" w:rsidR="00B81226" w:rsidRDefault="00B82AC2">
            <w:pPr>
              <w:pStyle w:val="P68B1DB1-TableParagraph17"/>
              <w:spacing w:before="108"/>
              <w:ind w:left="85"/>
              <w:jc w:val="both"/>
              <w:rPr>
                <w:b/>
                <w:bCs/>
              </w:rPr>
            </w:pPr>
            <w:r>
              <w:t>Tässä lomakkeessa ilmoitettujen kaikkien vastuiden ja lakisääteisten omien varojen määrän summa. Kaikki edellä olevista kohdista saatavat määrät on laskettava yhteen. Johdannaisten osalta käytettävä arvo saadaan riviltä 0334 ”Nettovelkojen summa ottaen huomioon toiminnan vakautta koskevat nettoutussäännöt”.</w:t>
            </w:r>
          </w:p>
        </w:tc>
      </w:tr>
      <w:tr w:rsidR="00B81226" w14:paraId="7FE1B607" w14:textId="77777777">
        <w:tc>
          <w:tcPr>
            <w:tcW w:w="905" w:type="dxa"/>
            <w:tcBorders>
              <w:top w:val="single" w:sz="4" w:space="0" w:color="1A171C"/>
              <w:left w:val="nil"/>
              <w:bottom w:val="single" w:sz="4" w:space="0" w:color="1A171C"/>
              <w:right w:val="single" w:sz="4" w:space="0" w:color="1A171C"/>
            </w:tcBorders>
            <w:vAlign w:val="center"/>
          </w:tcPr>
          <w:p w14:paraId="7FE1B602" w14:textId="77777777" w:rsidR="00B81226" w:rsidRDefault="00B82AC2">
            <w:pPr>
              <w:pStyle w:val="P68B1DB1-TableParagraph13"/>
            </w:pPr>
            <w:r>
              <w:t>0800</w:t>
            </w:r>
          </w:p>
        </w:tc>
        <w:tc>
          <w:tcPr>
            <w:tcW w:w="8121" w:type="dxa"/>
            <w:tcBorders>
              <w:top w:val="single" w:sz="4" w:space="0" w:color="1A171C"/>
              <w:left w:val="single" w:sz="4" w:space="0" w:color="1A171C"/>
              <w:bottom w:val="single" w:sz="4" w:space="0" w:color="1A171C"/>
              <w:right w:val="nil"/>
            </w:tcBorders>
            <w:vAlign w:val="center"/>
          </w:tcPr>
          <w:p w14:paraId="7FE1B603" w14:textId="77777777" w:rsidR="00B81226" w:rsidRDefault="00B82AC2">
            <w:pPr>
              <w:pStyle w:val="P68B1DB1-TableParagraph14"/>
              <w:jc w:val="both"/>
              <w:rPr>
                <w:bCs/>
              </w:rPr>
            </w:pPr>
            <w:r>
              <w:t>Oma pääoma yhteensä</w:t>
            </w:r>
          </w:p>
          <w:p w14:paraId="7FE1B604" w14:textId="77777777" w:rsidR="00B81226" w:rsidRDefault="00B82AC2">
            <w:pPr>
              <w:pStyle w:val="P68B1DB1-Normal21"/>
              <w:spacing w:line="276" w:lineRule="auto"/>
              <w:jc w:val="both"/>
            </w:pPr>
            <w:r>
              <w:t>(FINREP F01.03–300–010) kirjanpitoarvon osalta.</w:t>
            </w:r>
          </w:p>
          <w:p w14:paraId="7FE1B605" w14:textId="44D71F77" w:rsidR="00B81226" w:rsidRDefault="00B82AC2">
            <w:pPr>
              <w:pStyle w:val="P68B1DB1-Normal21"/>
              <w:spacing w:line="276" w:lineRule="auto"/>
              <w:jc w:val="both"/>
            </w:pPr>
            <w:r>
              <w:t>Tämän kokonaismäärän on yhtä kuin taseen oman pääoman kokonaismäärä.</w:t>
            </w:r>
          </w:p>
          <w:p w14:paraId="7FE1B606" w14:textId="77777777" w:rsidR="00B81226" w:rsidRDefault="00B81226">
            <w:pPr>
              <w:pStyle w:val="TableParagraph"/>
              <w:jc w:val="both"/>
              <w:rPr>
                <w:rFonts w:ascii="Times New Roman" w:hAnsi="Times New Roman" w:cs="Times New Roman"/>
                <w:b/>
                <w:bCs/>
                <w:color w:val="000000" w:themeColor="text1"/>
                <w:sz w:val="20"/>
                <w:szCs w:val="20"/>
              </w:rPr>
            </w:pPr>
          </w:p>
        </w:tc>
      </w:tr>
    </w:tbl>
    <w:p w14:paraId="7FE1B60E" w14:textId="77777777" w:rsidR="00B81226" w:rsidRDefault="00B81226">
      <w:pPr>
        <w:rPr>
          <w:rFonts w:ascii="Times New Roman" w:hAnsi="Times New Roman" w:cs="Times New Roman"/>
        </w:rPr>
      </w:pPr>
    </w:p>
    <w:p w14:paraId="7FE1B60F" w14:textId="1DD0504B" w:rsidR="00B81226" w:rsidRDefault="00B82AC2">
      <w:pPr>
        <w:pStyle w:val="P68B1DB1-Instructionsberschrift25"/>
        <w:numPr>
          <w:ilvl w:val="1"/>
          <w:numId w:val="49"/>
        </w:numPr>
        <w:ind w:left="357" w:hanging="357"/>
      </w:pPr>
      <w:bookmarkStart w:id="58" w:name="_Toc492542323"/>
      <w:bookmarkStart w:id="59" w:name="_Toc81454181"/>
      <w:bookmarkStart w:id="60" w:name="_Toc208245436"/>
      <w:r>
        <w:t>Z 03.01 – Omien varojen vaatimukset – Pankit (LIAB 2)</w:t>
      </w:r>
      <w:bookmarkEnd w:id="58"/>
      <w:bookmarkEnd w:id="59"/>
      <w:bookmarkEnd w:id="60"/>
    </w:p>
    <w:p w14:paraId="7FE1B610" w14:textId="77777777" w:rsidR="00B81226" w:rsidRDefault="00B82AC2">
      <w:pPr>
        <w:pStyle w:val="Instructionsberschrift3"/>
      </w:pPr>
      <w:r>
        <w:t>Yleiset huomautukset</w:t>
      </w:r>
    </w:p>
    <w:p w14:paraId="7FE1B611" w14:textId="77777777" w:rsidR="00B81226" w:rsidRDefault="00B82AC2">
      <w:pPr>
        <w:pStyle w:val="P68B1DB1-InstructionsText26"/>
        <w:numPr>
          <w:ilvl w:val="0"/>
          <w:numId w:val="232"/>
        </w:numPr>
        <w:spacing w:before="0"/>
      </w:pPr>
      <w:r>
        <w:t>Tässä lomakkeessa kerätään tietoja yhteisön tai konsernin omien varojen vaatimuksista.</w:t>
      </w:r>
    </w:p>
    <w:p w14:paraId="7FE1B612" w14:textId="77777777" w:rsidR="00B81226" w:rsidRDefault="00B82AC2">
      <w:pPr>
        <w:pStyle w:val="P68B1DB1-InstructionsText26"/>
        <w:numPr>
          <w:ilvl w:val="0"/>
          <w:numId w:val="232"/>
        </w:numPr>
        <w:spacing w:before="0"/>
      </w:pPr>
      <w:r>
        <w:t>Kaikkien raportoitavien tietojen on vastattava omien varojen vaatimuksia, joita sovellettiin raportoinnin viitepäivämääränä.</w:t>
      </w:r>
    </w:p>
    <w:p w14:paraId="7FE1B613" w14:textId="1B7809D4" w:rsidR="00B81226" w:rsidRDefault="00B82AC2">
      <w:pPr>
        <w:pStyle w:val="P68B1DB1-InstructionsText26"/>
        <w:numPr>
          <w:ilvl w:val="0"/>
          <w:numId w:val="232"/>
        </w:numPr>
        <w:spacing w:before="0"/>
      </w:pPr>
      <w:r>
        <w:t>Poikkeuksellisesti tässä lomakkeessa ilmoitettujen tietojen kohdassa 0300 – SREP-kokonaispääomavaatimuksen (TSCR) suhdeluku (TSCR) on perustuttava viimeisimpään saatavilla olevaan viralliseen SREP-päätökseen, jonka toimivaltainen viranomainen on ilmoittanut tämän raportin ilmoituspäivään saakka.</w:t>
      </w:r>
    </w:p>
    <w:p w14:paraId="7FE1B614" w14:textId="77777777" w:rsidR="00B81226" w:rsidRDefault="00B82AC2">
      <w:pPr>
        <w:pStyle w:val="P68B1DB1-InstructionsText26"/>
        <w:numPr>
          <w:ilvl w:val="0"/>
          <w:numId w:val="232"/>
        </w:numPr>
        <w:spacing w:before="0"/>
      </w:pPr>
      <w:r>
        <w:t>Jos yhteisö on jo ilmoittanut nämä tietopisteet FINREP- tai COREP-järjestelmässä saman viitepäivämäärän ja raportoinnin laajuuden osalta (ks. COREP/FINREP-viitetiedot ohjeissa), raportoivan yhteisön ei tarvitse ilmoittaa näitä tietopisteitä toista kertaa konsolidoidussa tai yksilöllisessä raportoinnissa. Tiedot on ilmoitettava vain, jos raportoiva yhteisö on vapautettu taloudellisista tai vakavaraisuutta koskevista raportointivelvoitteista, jolloin ainoa kriisinratkaisuviranomaisten tietolähde näiden tietop</w:t>
      </w:r>
      <w:r>
        <w:t>isteiden osalta on tämä kertomus.</w:t>
      </w:r>
    </w:p>
    <w:p w14:paraId="7FE1B615" w14:textId="77777777" w:rsidR="00B81226" w:rsidRDefault="00B81226">
      <w:pPr>
        <w:pStyle w:val="InstructionsText2"/>
        <w:numPr>
          <w:ilvl w:val="0"/>
          <w:numId w:val="0"/>
        </w:numPr>
        <w:spacing w:before="0"/>
        <w:ind w:left="1440"/>
        <w:rPr>
          <w:rFonts w:ascii="Times New Roman" w:hAnsi="Times New Roman" w:cs="Times New Roman"/>
          <w:sz w:val="20"/>
          <w:szCs w:val="20"/>
        </w:rPr>
      </w:pPr>
    </w:p>
    <w:p w14:paraId="7FE1B61B" w14:textId="77777777" w:rsidR="00B81226" w:rsidRDefault="00B82AC2">
      <w:pPr>
        <w:pStyle w:val="Instructionsberschrift3"/>
      </w:pPr>
      <w:r>
        <w:t>Tiettyjä kohtia koskevat ohjeet</w:t>
      </w:r>
    </w:p>
    <w:p w14:paraId="7FE1B61C" w14:textId="77777777" w:rsidR="00B81226" w:rsidRDefault="00B81226">
      <w:pPr>
        <w:pStyle w:val="Instructionsberschrift3"/>
        <w:numPr>
          <w:ilvl w:val="0"/>
          <w:numId w:val="0"/>
        </w:numPr>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B81226" w14:paraId="7FE1B61F"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61D" w14:textId="77777777" w:rsidR="00B81226" w:rsidRDefault="00B82AC2">
            <w:pPr>
              <w:pStyle w:val="P68B1DB1-TableParagraph13"/>
              <w:spacing w:before="66"/>
              <w:rPr>
                <w:rFonts w:eastAsia="Cambria"/>
              </w:rPr>
            </w:pPr>
            <w:r>
              <w:t>Rivit</w:t>
            </w:r>
          </w:p>
        </w:tc>
        <w:tc>
          <w:tcPr>
            <w:tcW w:w="8170" w:type="dxa"/>
            <w:tcBorders>
              <w:top w:val="single" w:sz="4" w:space="0" w:color="1A171C"/>
              <w:left w:val="single" w:sz="4" w:space="0" w:color="1A171C"/>
              <w:bottom w:val="single" w:sz="4" w:space="0" w:color="1A171C"/>
              <w:right w:val="nil"/>
            </w:tcBorders>
            <w:shd w:val="clear" w:color="auto" w:fill="E4E5E5"/>
          </w:tcPr>
          <w:p w14:paraId="7FE1B61E" w14:textId="77777777" w:rsidR="00B81226" w:rsidRDefault="00B82AC2">
            <w:pPr>
              <w:pStyle w:val="P68B1DB1-TableParagraph13"/>
              <w:spacing w:before="66"/>
              <w:ind w:right="1"/>
              <w:jc w:val="center"/>
              <w:rPr>
                <w:rFonts w:eastAsia="Cambria"/>
              </w:rPr>
            </w:pPr>
            <w:r>
              <w:t>Ohjeet</w:t>
            </w:r>
          </w:p>
        </w:tc>
      </w:tr>
      <w:tr w:rsidR="00B81226" w14:paraId="7FE1B623" w14:textId="77777777">
        <w:tc>
          <w:tcPr>
            <w:tcW w:w="856" w:type="dxa"/>
            <w:tcBorders>
              <w:top w:val="single" w:sz="4" w:space="0" w:color="1A171C"/>
              <w:left w:val="nil"/>
              <w:bottom w:val="single" w:sz="4" w:space="0" w:color="1A171C"/>
              <w:right w:val="single" w:sz="4" w:space="0" w:color="1A171C"/>
            </w:tcBorders>
            <w:vAlign w:val="center"/>
          </w:tcPr>
          <w:p w14:paraId="7FE1B620" w14:textId="77777777" w:rsidR="00B81226" w:rsidRDefault="00B82AC2">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7FE1B621" w14:textId="77777777" w:rsidR="00B81226" w:rsidRDefault="00B82AC2">
            <w:pPr>
              <w:pStyle w:val="P68B1DB1-TableParagraph14"/>
              <w:spacing w:before="108"/>
              <w:rPr>
                <w:bCs/>
              </w:rPr>
            </w:pPr>
            <w:r>
              <w:t>Kokonaisriskin määrä</w:t>
            </w:r>
          </w:p>
          <w:p w14:paraId="7FE1B622" w14:textId="77777777" w:rsidR="00B81226" w:rsidRDefault="00B82AC2">
            <w:pPr>
              <w:pStyle w:val="P68B1DB1-TableParagraph17"/>
              <w:spacing w:before="108"/>
            </w:pPr>
            <w:r>
              <w:t>Summa, joka on määritelty direktiivin 2014/59/EU 45 artiklan 2 kohdan a alakohtaan ja laskettu asetuksen (EU) N:o 575/2013 92 artiklan 3 kohdan mukaisesti.</w:t>
            </w:r>
          </w:p>
        </w:tc>
      </w:tr>
      <w:tr w:rsidR="00B81226" w14:paraId="7FE1B627" w14:textId="77777777">
        <w:tc>
          <w:tcPr>
            <w:tcW w:w="856" w:type="dxa"/>
            <w:tcBorders>
              <w:top w:val="single" w:sz="4" w:space="0" w:color="1A171C"/>
              <w:left w:val="nil"/>
              <w:bottom w:val="single" w:sz="4" w:space="0" w:color="1A171C"/>
              <w:right w:val="single" w:sz="4" w:space="0" w:color="1A171C"/>
            </w:tcBorders>
            <w:vAlign w:val="center"/>
          </w:tcPr>
          <w:p w14:paraId="7FE1B624" w14:textId="77777777" w:rsidR="00B81226" w:rsidRDefault="00B82AC2">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7FE1B625" w14:textId="77777777" w:rsidR="00B81226" w:rsidRDefault="00B82AC2">
            <w:pPr>
              <w:pStyle w:val="P68B1DB1-TableParagraph14"/>
              <w:spacing w:before="108"/>
              <w:jc w:val="both"/>
              <w:rPr>
                <w:bCs/>
              </w:rPr>
            </w:pPr>
            <w:r>
              <w:t>Vastuiden kokonaismäärä</w:t>
            </w:r>
          </w:p>
          <w:p w14:paraId="7FE1B626" w14:textId="77777777" w:rsidR="00B81226" w:rsidRDefault="00B82AC2">
            <w:pPr>
              <w:pStyle w:val="P68B1DB1-TableParagraph17"/>
              <w:spacing w:before="108"/>
              <w:jc w:val="both"/>
              <w:rPr>
                <w:b/>
                <w:bCs/>
              </w:rPr>
            </w:pPr>
            <w:r>
              <w:t>Summa, joka on määritelty direktiivin 2014/59/EU 45 artiklan 2 kohdan b alakohtaan, laskettuna asetuksen (EU) N:o 575/2013 429 artiklan 4 kohdan ja 429 a artiklan mukaisesti.</w:t>
            </w:r>
          </w:p>
        </w:tc>
      </w:tr>
      <w:tr w:rsidR="00B81226" w14:paraId="7FE1B62A" w14:textId="77777777">
        <w:tc>
          <w:tcPr>
            <w:tcW w:w="856" w:type="dxa"/>
            <w:tcBorders>
              <w:top w:val="single" w:sz="4" w:space="0" w:color="1A171C"/>
              <w:left w:val="nil"/>
              <w:bottom w:val="single" w:sz="4" w:space="0" w:color="1A171C"/>
              <w:right w:val="single" w:sz="4" w:space="0" w:color="1A171C"/>
            </w:tcBorders>
            <w:vAlign w:val="center"/>
          </w:tcPr>
          <w:p w14:paraId="7FE1B628" w14:textId="77777777" w:rsidR="00B81226" w:rsidRDefault="00B82AC2">
            <w:pPr>
              <w:pStyle w:val="P68B1DB1-TableParagraph13"/>
              <w:spacing w:before="106"/>
              <w:ind w:left="-1"/>
            </w:pPr>
            <w:r>
              <w:t>0210–0220</w:t>
            </w:r>
          </w:p>
        </w:tc>
        <w:tc>
          <w:tcPr>
            <w:tcW w:w="8170" w:type="dxa"/>
            <w:tcBorders>
              <w:top w:val="single" w:sz="4" w:space="0" w:color="1A171C"/>
              <w:left w:val="single" w:sz="4" w:space="0" w:color="1A171C"/>
              <w:bottom w:val="single" w:sz="4" w:space="0" w:color="1A171C"/>
              <w:right w:val="nil"/>
            </w:tcBorders>
            <w:vAlign w:val="center"/>
          </w:tcPr>
          <w:p w14:paraId="7FE1B629" w14:textId="77777777" w:rsidR="00B81226" w:rsidRDefault="00B82AC2">
            <w:pPr>
              <w:pStyle w:val="P68B1DB1-TableParagraph14"/>
              <w:spacing w:before="108"/>
              <w:jc w:val="both"/>
              <w:rPr>
                <w:bCs/>
              </w:rPr>
            </w:pPr>
            <w:r>
              <w:t>Perustamispääoma ja vähimmäisomavaraisuusastetta koskevat vaatimukset</w:t>
            </w:r>
          </w:p>
        </w:tc>
      </w:tr>
      <w:tr w:rsidR="00B81226" w14:paraId="7FE1B62F" w14:textId="77777777">
        <w:tc>
          <w:tcPr>
            <w:tcW w:w="856" w:type="dxa"/>
            <w:tcBorders>
              <w:top w:val="single" w:sz="4" w:space="0" w:color="1A171C"/>
              <w:left w:val="nil"/>
              <w:bottom w:val="single" w:sz="4" w:space="0" w:color="1A171C"/>
              <w:right w:val="single" w:sz="4" w:space="0" w:color="1A171C"/>
            </w:tcBorders>
            <w:vAlign w:val="center"/>
          </w:tcPr>
          <w:p w14:paraId="7FE1B62B" w14:textId="77777777" w:rsidR="00B81226" w:rsidRDefault="00B82AC2">
            <w:pPr>
              <w:pStyle w:val="P68B1DB1-TableParagraph13"/>
              <w:spacing w:before="106"/>
              <w:ind w:left="-1"/>
            </w:pPr>
            <w:r>
              <w:t>0210</w:t>
            </w:r>
          </w:p>
        </w:tc>
        <w:tc>
          <w:tcPr>
            <w:tcW w:w="8170" w:type="dxa"/>
            <w:tcBorders>
              <w:top w:val="single" w:sz="4" w:space="0" w:color="1A171C"/>
              <w:left w:val="single" w:sz="4" w:space="0" w:color="1A171C"/>
              <w:bottom w:val="single" w:sz="4" w:space="0" w:color="1A171C"/>
              <w:right w:val="nil"/>
            </w:tcBorders>
            <w:vAlign w:val="center"/>
          </w:tcPr>
          <w:p w14:paraId="7FE1B62C" w14:textId="77777777" w:rsidR="00B81226" w:rsidRDefault="00B82AC2">
            <w:pPr>
              <w:pStyle w:val="P68B1DB1-TableParagraph14"/>
              <w:spacing w:before="108"/>
              <w:jc w:val="both"/>
              <w:rPr>
                <w:bCs/>
              </w:rPr>
            </w:pPr>
            <w:r>
              <w:t>Perustamispääoma</w:t>
            </w:r>
          </w:p>
          <w:p w14:paraId="7FE1B62D" w14:textId="77777777" w:rsidR="00B81226" w:rsidRDefault="00B82AC2">
            <w:pPr>
              <w:pStyle w:val="P68B1DB1-TableParagraph17"/>
              <w:spacing w:before="108"/>
              <w:jc w:val="both"/>
            </w:pPr>
            <w:r>
              <w:lastRenderedPageBreak/>
              <w:t>Direktiivin 2013/36/EU 12 artiklassa ja asetuksen (EU) N:o 575/2013 93 artiklassa tarkoitettu määrä.</w:t>
            </w:r>
          </w:p>
          <w:p w14:paraId="7FE1B62E" w14:textId="77777777" w:rsidR="00B81226" w:rsidRDefault="00B82AC2">
            <w:pPr>
              <w:pStyle w:val="P68B1DB1-TableParagraph17"/>
              <w:spacing w:before="108"/>
              <w:jc w:val="both"/>
              <w:rPr>
                <w:b/>
                <w:bCs/>
              </w:rPr>
            </w:pPr>
            <w:r>
              <w:t>Se perustamispääoman määrä, joka on edellytyksenä laitoksen toiminnan aloittamiseksi.</w:t>
            </w:r>
          </w:p>
        </w:tc>
      </w:tr>
      <w:tr w:rsidR="00B81226" w14:paraId="7FE1B633" w14:textId="77777777">
        <w:tc>
          <w:tcPr>
            <w:tcW w:w="856" w:type="dxa"/>
            <w:tcBorders>
              <w:top w:val="single" w:sz="4" w:space="0" w:color="1A171C"/>
              <w:left w:val="nil"/>
              <w:bottom w:val="single" w:sz="4" w:space="0" w:color="1A171C"/>
              <w:right w:val="single" w:sz="4" w:space="0" w:color="1A171C"/>
            </w:tcBorders>
            <w:vAlign w:val="center"/>
          </w:tcPr>
          <w:p w14:paraId="7FE1B630" w14:textId="77777777" w:rsidR="00B81226" w:rsidRDefault="00B82AC2">
            <w:pPr>
              <w:pStyle w:val="P68B1DB1-TableParagraph13"/>
              <w:spacing w:before="106"/>
              <w:ind w:left="-1"/>
            </w:pPr>
            <w:r>
              <w:lastRenderedPageBreak/>
              <w:t>0220</w:t>
            </w:r>
          </w:p>
        </w:tc>
        <w:tc>
          <w:tcPr>
            <w:tcW w:w="8170" w:type="dxa"/>
            <w:tcBorders>
              <w:top w:val="single" w:sz="4" w:space="0" w:color="1A171C"/>
              <w:left w:val="single" w:sz="4" w:space="0" w:color="1A171C"/>
              <w:bottom w:val="single" w:sz="4" w:space="0" w:color="1A171C"/>
              <w:right w:val="nil"/>
            </w:tcBorders>
            <w:vAlign w:val="center"/>
          </w:tcPr>
          <w:p w14:paraId="7FE1B631" w14:textId="77777777" w:rsidR="00B81226" w:rsidRDefault="00B82AC2">
            <w:pPr>
              <w:pStyle w:val="P68B1DB1-TableParagraph14"/>
              <w:spacing w:before="108"/>
              <w:jc w:val="both"/>
              <w:rPr>
                <w:bCs/>
              </w:rPr>
            </w:pPr>
            <w:r>
              <w:t>Vähimmäisomavaraisuusastetta koskeva vaatimus</w:t>
            </w:r>
          </w:p>
          <w:p w14:paraId="7FE1B632" w14:textId="77777777" w:rsidR="00B81226" w:rsidRDefault="00B82AC2">
            <w:pPr>
              <w:pStyle w:val="P68B1DB1-TableParagraph13"/>
              <w:spacing w:before="108"/>
              <w:jc w:val="both"/>
            </w:pPr>
            <w:r>
              <w:t>Asetuksen (EU) N:o 575/2013 92 artiklan 1a kohdan mukaisen vaatimuksen ulkopuolinen omavaraisuusastetta koskeva vaatimus ilmaistuna prosenttiosuutena vastuiden kokonaismäärästä. Jos muodollisia vaatimuksia ei ole annettu, tämä solu jätetään tyhjäksi.</w:t>
            </w:r>
          </w:p>
        </w:tc>
      </w:tr>
      <w:tr w:rsidR="00B81226" w14:paraId="7FE1B63D" w14:textId="77777777">
        <w:tc>
          <w:tcPr>
            <w:tcW w:w="856" w:type="dxa"/>
            <w:tcBorders>
              <w:top w:val="single" w:sz="4" w:space="0" w:color="1A171C"/>
              <w:left w:val="nil"/>
              <w:bottom w:val="single" w:sz="4" w:space="0" w:color="1A171C"/>
              <w:right w:val="single" w:sz="4" w:space="0" w:color="1A171C"/>
            </w:tcBorders>
            <w:vAlign w:val="center"/>
          </w:tcPr>
          <w:p w14:paraId="7FE1B634" w14:textId="77777777" w:rsidR="00B81226" w:rsidRDefault="00B82AC2">
            <w:pPr>
              <w:pStyle w:val="P68B1DB1-TableParagraph13"/>
              <w:spacing w:before="106"/>
              <w:ind w:left="-1"/>
            </w:pPr>
            <w:r>
              <w:t>0300</w:t>
            </w:r>
          </w:p>
        </w:tc>
        <w:tc>
          <w:tcPr>
            <w:tcW w:w="8170" w:type="dxa"/>
            <w:tcBorders>
              <w:top w:val="single" w:sz="4" w:space="0" w:color="1A171C"/>
              <w:left w:val="single" w:sz="4" w:space="0" w:color="1A171C"/>
              <w:bottom w:val="single" w:sz="4" w:space="0" w:color="1A171C"/>
              <w:right w:val="nil"/>
            </w:tcBorders>
            <w:vAlign w:val="center"/>
          </w:tcPr>
          <w:p w14:paraId="7FE1B635" w14:textId="77777777" w:rsidR="00B81226" w:rsidRDefault="00B82AC2">
            <w:pPr>
              <w:pStyle w:val="P68B1DB1-TableParagraph14"/>
              <w:spacing w:before="108"/>
              <w:jc w:val="both"/>
              <w:rPr>
                <w:bCs/>
              </w:rPr>
            </w:pPr>
            <w:r>
              <w:t xml:space="preserve">SREP:n mukaista kokonaispääomavaatimusta (TSCR) kuvaava suhde </w:t>
            </w:r>
          </w:p>
          <w:p w14:paraId="7FE1B636" w14:textId="77777777" w:rsidR="00B81226" w:rsidRDefault="00B82AC2">
            <w:pPr>
              <w:pStyle w:val="P68B1DB1-TableParagraph13"/>
              <w:spacing w:before="108"/>
              <w:jc w:val="both"/>
            </w:pPr>
            <w:r>
              <w:t>COREP (OF): МC 03.00;130;010 010 •</w:t>
            </w:r>
          </w:p>
          <w:p w14:paraId="7FE1B637" w14:textId="77777777" w:rsidR="00B81226" w:rsidRDefault="00B82AC2">
            <w:pPr>
              <w:pStyle w:val="P68B1DB1-InstructionsText22"/>
              <w:ind w:firstLine="0"/>
            </w:pPr>
            <w:r>
              <w:t>Tällä tarkoitetaan jäljempänä olevien i ja ii alakohdan summaa:</w:t>
            </w:r>
          </w:p>
          <w:p w14:paraId="7FE1B638" w14:textId="77777777" w:rsidR="00B81226" w:rsidRDefault="00B82AC2">
            <w:pPr>
              <w:pStyle w:val="P68B1DB1-InstructionsText22"/>
              <w:numPr>
                <w:ilvl w:val="3"/>
                <w:numId w:val="49"/>
              </w:numPr>
            </w:pPr>
            <w:r>
              <w:t xml:space="preserve">asetuksen (EU) N:o 575/2013 92 artiklan 1 artiklan c alakohdassa määritetty kokonaisvakavaraisuussuhde (8 %); </w:t>
            </w:r>
          </w:p>
          <w:p w14:paraId="7FE1B639" w14:textId="77777777" w:rsidR="00B81226" w:rsidRDefault="00B82AC2">
            <w:pPr>
              <w:pStyle w:val="P68B1DB1-InstructionsText22"/>
              <w:numPr>
                <w:ilvl w:val="3"/>
                <w:numId w:val="49"/>
              </w:numPr>
            </w:pPr>
            <w:r>
              <w:t xml:space="preserve">omien varojen lisävaatimuksia (toisen pilarin vaatimuksia – P2R) kuvaava suhde, joka määritetään </w:t>
            </w:r>
            <w:r>
              <w:rPr>
                <w:i/>
              </w:rPr>
              <w:t xml:space="preserve">valvojan arviointiprosessin (SREP) ja valvonnan stressitestien yhteisistä menettelyistä ja menetelmistä annetuissa EPV:n ohjeissa (EPV:n </w:t>
            </w:r>
            <w:r>
              <w:t>SREP-ohjeet) annettujen kriteerien mukaisesti.</w:t>
            </w:r>
          </w:p>
          <w:p w14:paraId="7FE1B63A" w14:textId="77777777" w:rsidR="00B81226" w:rsidRDefault="00B82AC2">
            <w:pPr>
              <w:pStyle w:val="P68B1DB1-InstructionsText22"/>
              <w:ind w:firstLine="0"/>
            </w:pPr>
            <w:r>
              <w:t>Tässä kohdassa on otettava huomioon viimeinen ilmoituspäivänä toimivaltaisen viranomaisen laitokselle ilmoittama SREP-kokonaispääomavaatimuksen (TSCR) suhdeluku eli ilmoitettava seuraavana vuonna sovellettava P2R-arvo, kun on kyse toimituksista, joiden viitepäivämäärä on 31 päivä joulukuuta tiettynä vuonna. TSCR määritellään EBA SREP GL -ohjeiden 1.2 jaksossa.</w:t>
            </w:r>
          </w:p>
          <w:p w14:paraId="7FE1B63B" w14:textId="77777777" w:rsidR="00B81226" w:rsidRDefault="00B82AC2">
            <w:pPr>
              <w:pStyle w:val="P68B1DB1-InstructionsText22"/>
              <w:ind w:firstLine="0"/>
            </w:pPr>
            <w:r>
              <w:t>Jos raportoiva yhteisö on kriisinratkaisun kohteena oleva yhteisö, johon ei ole sovellettu direktiivin 2013/36/EU 104 a artiklassa tarkoitettua omien varojen lisävaatimusta kriisinratkaisun kohteena olevan konsernin konsolidoidulla tasolla, edellä ii alakohdassa ilmoitetun arvon odotetaan olevan tulosta komission delegoidun asetuksen (EU) 2021/1118 1 artiklassa tarkoitetusta arviosta, mutta raportoivan yhteisön alustavan arvion.</w:t>
            </w:r>
          </w:p>
          <w:p w14:paraId="7FE1B63C" w14:textId="77777777" w:rsidR="00B81226" w:rsidRDefault="00B82AC2">
            <w:pPr>
              <w:pStyle w:val="P68B1DB1-TableParagraph13"/>
              <w:spacing w:before="108"/>
              <w:jc w:val="both"/>
              <w:rPr>
                <w:b/>
                <w:bCs/>
              </w:rPr>
            </w:pPr>
            <w:r>
              <w:t>Jos toimivaltainen viranomainen ei ole ilmoittanut omien varojen lisävaatimuksia ja yllä oleva kohde ei ole voimassa, ilmoitetaan ainoastaan i alakohdan tiedot.</w:t>
            </w:r>
          </w:p>
        </w:tc>
      </w:tr>
      <w:tr w:rsidR="00B81226" w14:paraId="7FE1B643" w14:textId="77777777">
        <w:tc>
          <w:tcPr>
            <w:tcW w:w="856" w:type="dxa"/>
            <w:tcBorders>
              <w:top w:val="single" w:sz="4" w:space="0" w:color="1A171C"/>
              <w:left w:val="nil"/>
              <w:bottom w:val="single" w:sz="4" w:space="0" w:color="1A171C"/>
              <w:right w:val="single" w:sz="4" w:space="0" w:color="1A171C"/>
            </w:tcBorders>
            <w:vAlign w:val="center"/>
          </w:tcPr>
          <w:p w14:paraId="7FE1B63E" w14:textId="77777777" w:rsidR="00B81226" w:rsidRDefault="00B82AC2">
            <w:pPr>
              <w:pStyle w:val="P68B1DB1-TableParagraph13"/>
              <w:spacing w:before="106"/>
              <w:ind w:left="-1"/>
            </w:pPr>
            <w:r>
              <w:t>0400</w:t>
            </w:r>
          </w:p>
        </w:tc>
        <w:tc>
          <w:tcPr>
            <w:tcW w:w="8170" w:type="dxa"/>
            <w:tcBorders>
              <w:top w:val="single" w:sz="4" w:space="0" w:color="1A171C"/>
              <w:left w:val="single" w:sz="4" w:space="0" w:color="1A171C"/>
              <w:bottom w:val="single" w:sz="4" w:space="0" w:color="1A171C"/>
              <w:right w:val="nil"/>
            </w:tcBorders>
            <w:vAlign w:val="center"/>
          </w:tcPr>
          <w:p w14:paraId="7FE1B63F" w14:textId="77777777" w:rsidR="00B81226" w:rsidRDefault="00B82AC2">
            <w:pPr>
              <w:pStyle w:val="P68B1DB1-TableParagraph14"/>
              <w:spacing w:before="108"/>
              <w:jc w:val="both"/>
              <w:rPr>
                <w:bCs/>
              </w:rPr>
            </w:pPr>
            <w:r>
              <w:t>Yhteenlaskettu puskurivaatimus</w:t>
            </w:r>
          </w:p>
          <w:p w14:paraId="7FE1B640" w14:textId="7A5205D6" w:rsidR="00B81226" w:rsidRDefault="00B82AC2">
            <w:pPr>
              <w:pStyle w:val="P68B1DB1-TableParagraph13"/>
              <w:spacing w:before="108"/>
              <w:jc w:val="both"/>
            </w:pPr>
            <w:r>
              <w:t>COREP (OF): ЯC 04.00;740;010Я).</w:t>
            </w:r>
          </w:p>
          <w:p w14:paraId="7FE1B641" w14:textId="77777777" w:rsidR="00B81226" w:rsidRDefault="00B82AC2">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Direktiivin</w:t>
            </w:r>
            <w:r>
              <w:rPr>
                <w:rStyle w:val="InstructionsTabelleberschrift"/>
                <w:rFonts w:ascii="Times New Roman" w:hAnsi="Times New Roman"/>
                <w:b w:val="0"/>
                <w:color w:val="000000" w:themeColor="text1"/>
                <w:szCs w:val="20"/>
                <w:u w:val="none"/>
              </w:rPr>
              <w:t xml:space="preserve"> 2013/36/EU</w:t>
            </w:r>
            <w:r>
              <w:rPr>
                <w:rFonts w:ascii="Times New Roman" w:eastAsia="Cambria" w:hAnsi="Times New Roman" w:cs="Times New Roman"/>
                <w:color w:val="000000" w:themeColor="text1"/>
                <w:sz w:val="20"/>
                <w:szCs w:val="20"/>
              </w:rPr>
              <w:t>128 artiklan ensimmäisen kohdan 6 alakohta</w:t>
            </w:r>
          </w:p>
          <w:p w14:paraId="7FE1B642" w14:textId="37B6D097" w:rsidR="00B81226" w:rsidRDefault="00B82AC2">
            <w:pPr>
              <w:pStyle w:val="P68B1DB1-TableParagraph13"/>
              <w:spacing w:before="108"/>
              <w:jc w:val="both"/>
            </w:pPr>
            <w:r>
              <w:t xml:space="preserve">Jos kriisinratkaisun laajuus poikkeaa vakavaraisuudesta, kriisinratkaisun kohteena olevan yhteisön yhteenlasketun puskurivaatimuksen muodostavien osatekijöiden arviointi kriisinratkaisun kohteena olevan konsernin konsolidoidulla tasolla noudattaa komission delegoidun asetuksen (EU) 2021/1118 3 artiklan 1 kohtaa, mutta raportoivan yhteisön olisi tehtävä se alustavasti. </w:t>
            </w:r>
          </w:p>
        </w:tc>
      </w:tr>
      <w:tr w:rsidR="00B81226" w14:paraId="7FE1B649" w14:textId="77777777">
        <w:tc>
          <w:tcPr>
            <w:tcW w:w="856" w:type="dxa"/>
            <w:tcBorders>
              <w:top w:val="single" w:sz="4" w:space="0" w:color="1A171C"/>
              <w:left w:val="nil"/>
              <w:bottom w:val="single" w:sz="4" w:space="0" w:color="1A171C"/>
              <w:right w:val="single" w:sz="4" w:space="0" w:color="1A171C"/>
            </w:tcBorders>
            <w:vAlign w:val="center"/>
          </w:tcPr>
          <w:p w14:paraId="7FE1B644" w14:textId="77777777" w:rsidR="00B81226" w:rsidRDefault="00B82AC2">
            <w:pPr>
              <w:pStyle w:val="P68B1DB1-TableParagraph13"/>
              <w:spacing w:before="106"/>
              <w:ind w:left="-1"/>
            </w:pPr>
            <w:r>
              <w:t>0410</w:t>
            </w:r>
          </w:p>
        </w:tc>
        <w:tc>
          <w:tcPr>
            <w:tcW w:w="8170" w:type="dxa"/>
            <w:tcBorders>
              <w:top w:val="single" w:sz="4" w:space="0" w:color="1A171C"/>
              <w:left w:val="single" w:sz="4" w:space="0" w:color="1A171C"/>
              <w:bottom w:val="single" w:sz="4" w:space="0" w:color="1A171C"/>
              <w:right w:val="nil"/>
            </w:tcBorders>
            <w:vAlign w:val="center"/>
          </w:tcPr>
          <w:p w14:paraId="7FE1B645" w14:textId="77777777" w:rsidR="00B81226" w:rsidRDefault="00B82AC2">
            <w:pPr>
              <w:pStyle w:val="P68B1DB1-TableParagraph14"/>
              <w:spacing w:before="108"/>
              <w:jc w:val="both"/>
              <w:rPr>
                <w:bCs/>
              </w:rPr>
            </w:pPr>
            <w:r>
              <w:t>Yleinen pääomapuskuri</w:t>
            </w:r>
          </w:p>
          <w:p w14:paraId="7FE1B646" w14:textId="7B6CEF6B" w:rsidR="00B81226" w:rsidRDefault="00B82AC2">
            <w:pPr>
              <w:pStyle w:val="P68B1DB1-TableParagraph13"/>
              <w:spacing w:before="108"/>
              <w:jc w:val="both"/>
            </w:pPr>
            <w:r>
              <w:t>COREP (OF): ЯC 04.00;750;010Я).</w:t>
            </w:r>
          </w:p>
          <w:p w14:paraId="7FE1B647" w14:textId="77777777" w:rsidR="00B81226" w:rsidRDefault="00B82AC2">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Vaatimus, joka on</w:t>
            </w:r>
            <w:r>
              <w:rPr>
                <w:rStyle w:val="InstructionsTabelleberschrift"/>
                <w:rFonts w:ascii="Times New Roman" w:hAnsi="Times New Roman"/>
                <w:b w:val="0"/>
                <w:color w:val="000000" w:themeColor="text1"/>
                <w:szCs w:val="20"/>
                <w:u w:val="none"/>
              </w:rPr>
              <w:t xml:space="preserve"> </w:t>
            </w:r>
            <w:r>
              <w:rPr>
                <w:rFonts w:ascii="Times New Roman" w:eastAsia="Cambria" w:hAnsi="Times New Roman" w:cs="Times New Roman"/>
                <w:color w:val="000000" w:themeColor="text1"/>
                <w:sz w:val="20"/>
                <w:szCs w:val="20"/>
              </w:rPr>
              <w:t>tarkoitettu direktiivin 2013/36/EY 128 artiklan 1 kohdassa ja 129 artiklan kohdassa.</w:t>
            </w:r>
          </w:p>
          <w:p w14:paraId="7FE1B648" w14:textId="77777777" w:rsidR="00B81226" w:rsidRDefault="00B82AC2">
            <w:pPr>
              <w:pStyle w:val="P68B1DB1-TableParagraph13"/>
              <w:spacing w:before="108"/>
              <w:jc w:val="both"/>
              <w:rPr>
                <w:rFonts w:eastAsia="Cambria"/>
              </w:rPr>
            </w:pPr>
            <w:r>
              <w:t>Jos kriisinratkaisun laajuus poikkeaa vakavaraisuudesta, kriisinratkaisun kohteena olevan yhteisön puskurivaatimuksen arviointi kriisinratkaisun kohteena olevan konsernin konsolidoidulla tasolla noudattaa komission delegoidun asetuksen (EU) 2021/1118 3 artiklan 2 kohtaa, mutta raportoivan yhteisön olisi tehtävä se alustavasti.</w:t>
            </w:r>
          </w:p>
        </w:tc>
      </w:tr>
      <w:tr w:rsidR="00B81226" w14:paraId="7FE1B64F" w14:textId="77777777">
        <w:tc>
          <w:tcPr>
            <w:tcW w:w="856" w:type="dxa"/>
            <w:tcBorders>
              <w:top w:val="single" w:sz="4" w:space="0" w:color="1A171C"/>
              <w:left w:val="nil"/>
              <w:bottom w:val="single" w:sz="4" w:space="0" w:color="1A171C"/>
              <w:right w:val="single" w:sz="4" w:space="0" w:color="1A171C"/>
            </w:tcBorders>
            <w:vAlign w:val="center"/>
          </w:tcPr>
          <w:p w14:paraId="7FE1B64A" w14:textId="77777777" w:rsidR="00B81226" w:rsidRDefault="00B82AC2">
            <w:pPr>
              <w:pStyle w:val="P68B1DB1-TableParagraph13"/>
              <w:spacing w:before="106"/>
              <w:ind w:left="-1"/>
            </w:pPr>
            <w:r>
              <w:t>0420</w:t>
            </w:r>
          </w:p>
        </w:tc>
        <w:tc>
          <w:tcPr>
            <w:tcW w:w="8170" w:type="dxa"/>
            <w:tcBorders>
              <w:top w:val="single" w:sz="4" w:space="0" w:color="1A171C"/>
              <w:left w:val="single" w:sz="4" w:space="0" w:color="1A171C"/>
              <w:bottom w:val="single" w:sz="4" w:space="0" w:color="1A171C"/>
              <w:right w:val="nil"/>
            </w:tcBorders>
            <w:vAlign w:val="center"/>
          </w:tcPr>
          <w:p w14:paraId="7FE1B64B" w14:textId="77777777" w:rsidR="00B81226" w:rsidRDefault="00B82AC2">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Jäsenvaltiossa havaitusta makrovakausriskistä tai järjestelmäriskistä johtuva pääomapuskuri</w:t>
            </w:r>
          </w:p>
          <w:p w14:paraId="7FE1B64C" w14:textId="77777777" w:rsidR="00B81226" w:rsidRDefault="00B82AC2">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COREP (OF): ЯC 04.00;760;010Я).</w:t>
            </w:r>
          </w:p>
          <w:p w14:paraId="7FE1B64D" w14:textId="1D29CF6A" w:rsidR="00B81226" w:rsidRDefault="00B82AC2">
            <w:pPr>
              <w:rPr>
                <w:rStyle w:val="InstructionsTabelleberschrift"/>
                <w:rFonts w:ascii="Times New Roman" w:hAnsi="Times New Roman"/>
                <w:b w:val="0"/>
                <w:color w:val="000000" w:themeColor="text1"/>
                <w:szCs w:val="20"/>
                <w:u w:val="none"/>
              </w:rPr>
            </w:pPr>
            <w:r>
              <w:rPr>
                <w:rFonts w:ascii="Times New Roman" w:eastAsia="Cambria" w:hAnsi="Times New Roman" w:cs="Times New Roman"/>
                <w:color w:val="000000" w:themeColor="text1"/>
                <w:sz w:val="20"/>
                <w:szCs w:val="20"/>
              </w:rPr>
              <w:lastRenderedPageBreak/>
              <w:t>Asetuksen</w:t>
            </w:r>
            <w:r>
              <w:rPr>
                <w:rStyle w:val="InstructionsTabelleberschrift"/>
                <w:rFonts w:ascii="Times New Roman" w:hAnsi="Times New Roman"/>
                <w:b w:val="0"/>
                <w:color w:val="000000" w:themeColor="text1"/>
                <w:szCs w:val="20"/>
                <w:u w:val="none"/>
              </w:rPr>
              <w:t xml:space="preserve"> (EU</w:t>
            </w:r>
            <w:r>
              <w:rPr>
                <w:rFonts w:ascii="Times New Roman" w:eastAsia="Cambria" w:hAnsi="Times New Roman" w:cs="Times New Roman"/>
                <w:color w:val="000000" w:themeColor="text1"/>
                <w:sz w:val="20"/>
                <w:szCs w:val="20"/>
              </w:rPr>
              <w:t>) N:</w:t>
            </w:r>
            <w:r>
              <w:rPr>
                <w:rStyle w:val="FootnoteReference"/>
                <w:rFonts w:cs="Times New Roman"/>
                <w:color w:val="000000" w:themeColor="text1"/>
              </w:rPr>
              <w:footnoteReference w:id="17"/>
            </w:r>
            <w:r>
              <w:rPr>
                <w:rFonts w:ascii="Times New Roman" w:eastAsia="Cambria" w:hAnsi="Times New Roman" w:cs="Times New Roman"/>
                <w:color w:val="000000" w:themeColor="text1"/>
                <w:sz w:val="20"/>
                <w:szCs w:val="20"/>
              </w:rPr>
              <w:t xml:space="preserve"> o 575/2013 458 artiklan 2 kohdan d alakohdan vi alakohdassa tarkoitettu vaatimus</w:t>
            </w:r>
          </w:p>
          <w:p w14:paraId="7FE1B64E" w14:textId="77777777" w:rsidR="00B81226" w:rsidRDefault="00B82AC2">
            <w:pPr>
              <w:pStyle w:val="P68B1DB1-TableParagraph13"/>
              <w:spacing w:before="108"/>
              <w:jc w:val="both"/>
              <w:rPr>
                <w:rFonts w:eastAsia="Cambria"/>
              </w:rPr>
            </w:pPr>
            <w:r>
              <w:t>Jos kriisinratkaisun laajuus poikkeaa vakavaraisuudesta, ilmoitettu määrä vastaa kriisinratkaisun kohteena olevan konsernin vastuisiin sovellettavaa puskuria.</w:t>
            </w:r>
          </w:p>
        </w:tc>
      </w:tr>
      <w:tr w:rsidR="00B81226" w14:paraId="7FE1B655" w14:textId="77777777">
        <w:tc>
          <w:tcPr>
            <w:tcW w:w="856" w:type="dxa"/>
            <w:tcBorders>
              <w:top w:val="single" w:sz="4" w:space="0" w:color="1A171C"/>
              <w:left w:val="nil"/>
              <w:bottom w:val="single" w:sz="4" w:space="0" w:color="1A171C"/>
              <w:right w:val="single" w:sz="4" w:space="0" w:color="1A171C"/>
            </w:tcBorders>
            <w:vAlign w:val="center"/>
          </w:tcPr>
          <w:p w14:paraId="7FE1B650" w14:textId="77777777" w:rsidR="00B81226" w:rsidRDefault="00B82AC2">
            <w:pPr>
              <w:pStyle w:val="P68B1DB1-TableParagraph13"/>
              <w:spacing w:before="106"/>
              <w:ind w:left="-1"/>
            </w:pPr>
            <w:r>
              <w:lastRenderedPageBreak/>
              <w:t>0430</w:t>
            </w:r>
          </w:p>
        </w:tc>
        <w:tc>
          <w:tcPr>
            <w:tcW w:w="8170" w:type="dxa"/>
            <w:tcBorders>
              <w:top w:val="single" w:sz="4" w:space="0" w:color="1A171C"/>
              <w:left w:val="single" w:sz="4" w:space="0" w:color="1A171C"/>
              <w:bottom w:val="single" w:sz="4" w:space="0" w:color="1A171C"/>
              <w:right w:val="nil"/>
            </w:tcBorders>
            <w:vAlign w:val="center"/>
          </w:tcPr>
          <w:p w14:paraId="7FE1B651" w14:textId="77777777" w:rsidR="00B81226" w:rsidRDefault="00B82AC2">
            <w:pPr>
              <w:pStyle w:val="P68B1DB1-TableParagraph14"/>
              <w:spacing w:before="108"/>
              <w:jc w:val="both"/>
              <w:rPr>
                <w:bCs/>
              </w:rPr>
            </w:pPr>
            <w:r>
              <w:t xml:space="preserve">Laitoskohtainen vastasyklinen pääomapuskuri </w:t>
            </w:r>
          </w:p>
          <w:p w14:paraId="7FE1B652" w14:textId="77777777" w:rsidR="00B81226" w:rsidRDefault="00B82AC2">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(ks. COREP (OF): ЯC 04.00;770;010Я).</w:t>
            </w:r>
          </w:p>
          <w:p w14:paraId="7FE1B653" w14:textId="77777777" w:rsidR="00B81226" w:rsidRDefault="00B82AC2">
            <w:pPr>
              <w:pStyle w:val="P68B1DB1-TableParagraph17"/>
              <w:spacing w:before="108"/>
              <w:jc w:val="both"/>
            </w:pPr>
            <w:r>
              <w:t>Direktiivin 2013/36/EU 128 artiklan 2 kohdan, 130 artiklan ja 135–140 artiklan tarkoitettu vaatimus.</w:t>
            </w:r>
          </w:p>
          <w:p w14:paraId="7FE1B654" w14:textId="77777777" w:rsidR="00B81226" w:rsidRDefault="00B82AC2">
            <w:pPr>
              <w:pStyle w:val="P68B1DB1-TableParagraph13"/>
              <w:spacing w:before="108"/>
              <w:jc w:val="both"/>
              <w:rPr>
                <w:rFonts w:eastAsia="Cambria"/>
              </w:rPr>
            </w:pPr>
            <w:r>
              <w:t>Jos kriisinratkaisun laajuus poikkeaa vakavaraisuudesta, ilmoitettu määrä vastaa kriisinratkaisun kohteena olevan konsernin vastuisiin sovellettavaa puskurivaatimusta.</w:t>
            </w:r>
          </w:p>
        </w:tc>
      </w:tr>
      <w:tr w:rsidR="00B81226" w14:paraId="7FE1B65B" w14:textId="77777777">
        <w:tc>
          <w:tcPr>
            <w:tcW w:w="856" w:type="dxa"/>
            <w:tcBorders>
              <w:top w:val="single" w:sz="4" w:space="0" w:color="1A171C"/>
              <w:left w:val="nil"/>
              <w:bottom w:val="single" w:sz="4" w:space="0" w:color="1A171C"/>
              <w:right w:val="single" w:sz="4" w:space="0" w:color="1A171C"/>
            </w:tcBorders>
            <w:vAlign w:val="center"/>
          </w:tcPr>
          <w:p w14:paraId="7FE1B656" w14:textId="77777777" w:rsidR="00B81226" w:rsidRDefault="00B82AC2">
            <w:pPr>
              <w:pStyle w:val="P68B1DB1-TableParagraph13"/>
              <w:spacing w:before="106"/>
              <w:ind w:left="-1"/>
            </w:pPr>
            <w:r>
              <w:t>0440</w:t>
            </w:r>
          </w:p>
        </w:tc>
        <w:tc>
          <w:tcPr>
            <w:tcW w:w="8170" w:type="dxa"/>
            <w:tcBorders>
              <w:top w:val="single" w:sz="4" w:space="0" w:color="1A171C"/>
              <w:left w:val="single" w:sz="4" w:space="0" w:color="1A171C"/>
              <w:bottom w:val="single" w:sz="4" w:space="0" w:color="1A171C"/>
              <w:right w:val="nil"/>
            </w:tcBorders>
            <w:vAlign w:val="center"/>
          </w:tcPr>
          <w:p w14:paraId="7FE1B657" w14:textId="77777777" w:rsidR="00B81226" w:rsidRDefault="00B82AC2">
            <w:pPr>
              <w:pStyle w:val="P68B1DB1-TableParagraph14"/>
              <w:spacing w:before="108"/>
              <w:jc w:val="both"/>
              <w:rPr>
                <w:bCs/>
              </w:rPr>
            </w:pPr>
            <w:r>
              <w:t>Järjestelmäriskipuskuri</w:t>
            </w:r>
          </w:p>
          <w:p w14:paraId="7FE1B658" w14:textId="77777777" w:rsidR="00B81226" w:rsidRDefault="00B82AC2">
            <w:pPr>
              <w:pStyle w:val="P68B1DB1-TableParagraph13"/>
              <w:spacing w:before="108"/>
              <w:jc w:val="both"/>
            </w:pPr>
            <w:r>
              <w:t>(ks. COREP (OF): ЯC 04.00;780;010Я)</w:t>
            </w:r>
          </w:p>
          <w:p w14:paraId="7FE1B659" w14:textId="77777777" w:rsidR="00B81226" w:rsidRDefault="00B82AC2">
            <w:pPr>
              <w:pStyle w:val="P68B1DB1-TableParagraph17"/>
              <w:spacing w:before="108"/>
              <w:jc w:val="both"/>
            </w:pPr>
            <w:r>
              <w:t>Vaatimus, johon viitataan Direktiivin 2013/36/EU 128 artiklan 5 kohdassa, 133 ja 134 artikla.</w:t>
            </w:r>
          </w:p>
          <w:p w14:paraId="7FE1B65A" w14:textId="77777777" w:rsidR="00B81226" w:rsidRDefault="00B82AC2">
            <w:pPr>
              <w:pStyle w:val="TableParagraph"/>
              <w:spacing w:before="10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Jos kriisinratkaisun laajuus poikkeaa vakavaraisuudesta, kriisinratkaisun kohteena olevan yhteisön puskurivaatimuksen arviointi kriisinratkaisun kohteena olevan konsernin konsolidoidulla tasolla noudattaa komission delegoidun asetuksen (EU) 2021/1118 3 artiklan 5 kohtaa,</w:t>
            </w:r>
            <w:r>
              <w:t xml:space="preserve"> </w:t>
            </w:r>
            <w:r>
              <w:rPr>
                <w:rFonts w:ascii="Times New Roman" w:hAnsi="Times New Roman" w:cs="Times New Roman"/>
                <w:color w:val="000000" w:themeColor="text1"/>
                <w:sz w:val="20"/>
                <w:szCs w:val="20"/>
              </w:rPr>
              <w:t xml:space="preserve">mutta raportoivan yhteisön olisi tehtävä se alustavasti. </w:t>
            </w:r>
          </w:p>
        </w:tc>
      </w:tr>
      <w:tr w:rsidR="00B81226" w14:paraId="7FE1B661" w14:textId="77777777">
        <w:tc>
          <w:tcPr>
            <w:tcW w:w="856" w:type="dxa"/>
            <w:tcBorders>
              <w:top w:val="single" w:sz="4" w:space="0" w:color="1A171C"/>
              <w:left w:val="nil"/>
              <w:bottom w:val="single" w:sz="4" w:space="0" w:color="1A171C"/>
              <w:right w:val="single" w:sz="4" w:space="0" w:color="1A171C"/>
            </w:tcBorders>
            <w:vAlign w:val="center"/>
          </w:tcPr>
          <w:p w14:paraId="7FE1B65C" w14:textId="77777777" w:rsidR="00B81226" w:rsidRDefault="00B82AC2">
            <w:pPr>
              <w:pStyle w:val="P68B1DB1-TableParagraph13"/>
              <w:spacing w:before="106"/>
              <w:ind w:left="-1"/>
            </w:pPr>
            <w:r>
              <w:t>0450</w:t>
            </w:r>
          </w:p>
        </w:tc>
        <w:tc>
          <w:tcPr>
            <w:tcW w:w="8170" w:type="dxa"/>
            <w:tcBorders>
              <w:top w:val="single" w:sz="4" w:space="0" w:color="1A171C"/>
              <w:left w:val="single" w:sz="4" w:space="0" w:color="1A171C"/>
              <w:bottom w:val="single" w:sz="4" w:space="0" w:color="1A171C"/>
              <w:right w:val="nil"/>
            </w:tcBorders>
            <w:vAlign w:val="center"/>
          </w:tcPr>
          <w:p w14:paraId="7FE1B65D" w14:textId="77777777" w:rsidR="00B81226" w:rsidRDefault="00B82AC2">
            <w:pPr>
              <w:pStyle w:val="P68B1DB1-TableParagraph14"/>
              <w:spacing w:before="108"/>
              <w:jc w:val="both"/>
              <w:rPr>
                <w:bCs/>
              </w:rPr>
            </w:pPr>
            <w:r>
              <w:t>Maailmanlaajuista järjestelmän kannalta merkittävää laitosta koskeva puskuri</w:t>
            </w:r>
          </w:p>
          <w:p w14:paraId="7FE1B65E" w14:textId="77777777" w:rsidR="00B81226" w:rsidRDefault="00B82AC2">
            <w:pPr>
              <w:pStyle w:val="P68B1DB1-TableParagraph17"/>
              <w:spacing w:before="108"/>
              <w:jc w:val="both"/>
            </w:pPr>
            <w:r>
              <w:t>COREP (OF): МC 04.00;800;010 010 010 •9.00;</w:t>
            </w:r>
          </w:p>
          <w:p w14:paraId="7FE1B65F" w14:textId="77777777" w:rsidR="00B81226" w:rsidRDefault="00B82AC2">
            <w:pPr>
              <w:pStyle w:val="P68B1DB1-TableParagraph17"/>
              <w:spacing w:before="108"/>
              <w:jc w:val="both"/>
            </w:pPr>
            <w:r>
              <w:t>On direktiivin 2013/36/EY 128 artiklan 3 kohdassa ja 131 artikla tarkoitettu vaatimus.</w:t>
            </w:r>
          </w:p>
          <w:p w14:paraId="7FE1B660" w14:textId="77777777" w:rsidR="00B81226" w:rsidRDefault="00B82AC2">
            <w:pPr>
              <w:pStyle w:val="TableParagraph"/>
              <w:spacing w:before="108"/>
              <w:jc w:val="both"/>
              <w:rPr>
                <w:rFonts w:ascii="Times New Roman" w:eastAsia="Cambria" w:hAnsi="Times New Roman" w:cs="Times New Roman"/>
                <w:color w:val="000000" w:themeColor="text1"/>
                <w:sz w:val="20"/>
                <w:szCs w:val="20"/>
              </w:rPr>
            </w:pPr>
            <w:r>
              <w:rPr>
                <w:rFonts w:ascii="Times New Roman" w:hAnsi="Times New Roman" w:cs="Times New Roman"/>
                <w:color w:val="000000" w:themeColor="text1"/>
                <w:sz w:val="20"/>
                <w:szCs w:val="20"/>
              </w:rPr>
              <w:t>Jos kriisinratkaisun laajuus poikkeaa vakavaraisuudesta, kriisinratkaisun kohteena olevan yhteisön puskurivaatimuksen arviointi kriisinratkaisun kohteena olevan konsernin konsolidoidulla tasolla noudattaa komission delegoidun asetuksen (EU) 2021/1118 3 artiklan 3 kohtaa,</w:t>
            </w:r>
            <w:r>
              <w:t xml:space="preserve"> </w:t>
            </w:r>
            <w:r>
              <w:rPr>
                <w:rFonts w:ascii="Times New Roman" w:hAnsi="Times New Roman" w:cs="Times New Roman"/>
                <w:color w:val="000000" w:themeColor="text1"/>
                <w:sz w:val="20"/>
                <w:szCs w:val="20"/>
              </w:rPr>
              <w:t xml:space="preserve">mutta raportoivan yhteisön olisi tehtävä se alustavasti. </w:t>
            </w:r>
          </w:p>
        </w:tc>
      </w:tr>
      <w:tr w:rsidR="00B81226" w14:paraId="7FE1B667" w14:textId="77777777">
        <w:tc>
          <w:tcPr>
            <w:tcW w:w="856" w:type="dxa"/>
            <w:tcBorders>
              <w:top w:val="single" w:sz="4" w:space="0" w:color="1A171C"/>
              <w:left w:val="nil"/>
              <w:bottom w:val="single" w:sz="4" w:space="0" w:color="1A171C"/>
              <w:right w:val="single" w:sz="4" w:space="0" w:color="1A171C"/>
            </w:tcBorders>
            <w:vAlign w:val="center"/>
          </w:tcPr>
          <w:p w14:paraId="7FE1B662" w14:textId="77777777" w:rsidR="00B81226" w:rsidRDefault="00B82AC2">
            <w:pPr>
              <w:pStyle w:val="P68B1DB1-TableParagraph13"/>
              <w:spacing w:before="106"/>
              <w:ind w:left="-1"/>
            </w:pPr>
            <w:r>
              <w:t>0460</w:t>
            </w:r>
          </w:p>
        </w:tc>
        <w:tc>
          <w:tcPr>
            <w:tcW w:w="8170" w:type="dxa"/>
            <w:tcBorders>
              <w:top w:val="single" w:sz="4" w:space="0" w:color="1A171C"/>
              <w:left w:val="single" w:sz="4" w:space="0" w:color="1A171C"/>
              <w:bottom w:val="single" w:sz="4" w:space="0" w:color="1A171C"/>
              <w:right w:val="nil"/>
            </w:tcBorders>
            <w:vAlign w:val="center"/>
          </w:tcPr>
          <w:p w14:paraId="7FE1B664" w14:textId="41571241" w:rsidR="00B81226" w:rsidRDefault="00B82AC2">
            <w:pPr>
              <w:pStyle w:val="P68B1DB1-TableParagraph13"/>
              <w:spacing w:before="108"/>
              <w:jc w:val="both"/>
            </w:pPr>
            <w:r>
              <w:rPr>
                <w:b/>
              </w:rPr>
              <w:t>Muut järjestelmän kannalta merkittävät laitokset</w:t>
            </w:r>
            <w:r>
              <w:t xml:space="preserve">, direktiivin 2013/36/EU 128 artiklan 4 kohta ja 131 artikla </w:t>
            </w:r>
          </w:p>
          <w:p w14:paraId="7FE1B665" w14:textId="77777777" w:rsidR="00B81226" w:rsidRDefault="00B82AC2">
            <w:pPr>
              <w:pStyle w:val="P68B1DB1-TableParagraph13"/>
              <w:spacing w:before="108"/>
              <w:jc w:val="both"/>
            </w:pPr>
            <w:r>
              <w:t xml:space="preserve">COREP (OF): МC 04.00;810;010 010 • </w:t>
            </w:r>
          </w:p>
          <w:p w14:paraId="7FE1B666" w14:textId="77777777" w:rsidR="00B81226" w:rsidRDefault="00B82AC2">
            <w:pPr>
              <w:pStyle w:val="P68B1DB1-TableParagraph13"/>
              <w:spacing w:before="108"/>
              <w:jc w:val="both"/>
              <w:rPr>
                <w:b/>
                <w:bCs/>
              </w:rPr>
            </w:pPr>
            <w:r>
              <w:t>Ilmoitettavan määrän on vastattava sitä omien varojen määrää, joka tarvitaan täyttämään asianomaiset pääomapuskurivaatimukset raportointipäivänä.</w:t>
            </w:r>
          </w:p>
        </w:tc>
      </w:tr>
      <w:tr w:rsidR="00B81226" w14:paraId="7FE1B670" w14:textId="77777777">
        <w:tc>
          <w:tcPr>
            <w:tcW w:w="856" w:type="dxa"/>
            <w:tcBorders>
              <w:top w:val="single" w:sz="4" w:space="0" w:color="1A171C"/>
              <w:left w:val="nil"/>
              <w:bottom w:val="single" w:sz="4" w:space="0" w:color="1A171C"/>
              <w:right w:val="single" w:sz="4" w:space="0" w:color="1A171C"/>
            </w:tcBorders>
            <w:vAlign w:val="center"/>
          </w:tcPr>
          <w:p w14:paraId="7FE1B668" w14:textId="77777777" w:rsidR="00B81226" w:rsidRDefault="00B82AC2">
            <w:pPr>
              <w:pStyle w:val="P68B1DB1-TableParagraph13"/>
              <w:spacing w:before="106"/>
              <w:ind w:left="-1"/>
            </w:pPr>
            <w:r>
              <w:t>0500</w:t>
            </w:r>
          </w:p>
        </w:tc>
        <w:tc>
          <w:tcPr>
            <w:tcW w:w="8170" w:type="dxa"/>
            <w:tcBorders>
              <w:top w:val="single" w:sz="4" w:space="0" w:color="1A171C"/>
              <w:left w:val="single" w:sz="4" w:space="0" w:color="1A171C"/>
              <w:bottom w:val="single" w:sz="4" w:space="0" w:color="1A171C"/>
              <w:right w:val="nil"/>
            </w:tcBorders>
            <w:vAlign w:val="center"/>
          </w:tcPr>
          <w:p w14:paraId="7FE1B669" w14:textId="77777777" w:rsidR="00B81226" w:rsidRDefault="00B82AC2">
            <w:pPr>
              <w:pStyle w:val="P68B1DB1-TableParagraph14"/>
              <w:spacing w:before="108"/>
              <w:jc w:val="both"/>
              <w:rPr>
                <w:bCs/>
              </w:rPr>
            </w:pPr>
            <w:r>
              <w:t xml:space="preserve">Yhteenlaskettua pääomavaatimusta (OCR) kuvaava suhde </w:t>
            </w:r>
          </w:p>
          <w:p w14:paraId="7FE1B66A" w14:textId="77777777" w:rsidR="00B81226" w:rsidRDefault="00B82AC2">
            <w:pPr>
              <w:pStyle w:val="P68B1DB1-TableParagraph13"/>
              <w:spacing w:before="108"/>
              <w:jc w:val="both"/>
            </w:pPr>
            <w:r>
              <w:t xml:space="preserve">COREP (OF): МC 03.00;160;010 010 010 • </w:t>
            </w:r>
          </w:p>
          <w:p w14:paraId="7FE1B66B" w14:textId="77777777" w:rsidR="00B81226" w:rsidRDefault="00B82AC2">
            <w:pPr>
              <w:pStyle w:val="P68B1DB1-TableParagraph13"/>
              <w:spacing w:before="108"/>
              <w:jc w:val="both"/>
            </w:pPr>
            <w:r>
              <w:t xml:space="preserve">Tällä tarkoitetaan jäljempänä olevien i ja ii alakohdan summaa: </w:t>
            </w:r>
          </w:p>
          <w:p w14:paraId="7FE1B66C" w14:textId="77777777" w:rsidR="00B81226" w:rsidRDefault="00B82AC2">
            <w:pPr>
              <w:pStyle w:val="P68B1DB1-TableParagraph13"/>
              <w:numPr>
                <w:ilvl w:val="3"/>
                <w:numId w:val="211"/>
              </w:numPr>
              <w:spacing w:before="108"/>
              <w:ind w:left="931" w:hanging="567"/>
              <w:jc w:val="both"/>
            </w:pPr>
            <w:r>
              <w:t xml:space="preserve">rivillä 0300 tarkoitettu TSCR-suhde; </w:t>
            </w:r>
          </w:p>
          <w:p w14:paraId="7FE1B66D" w14:textId="77777777" w:rsidR="00B81226" w:rsidRDefault="00B82AC2">
            <w:pPr>
              <w:pStyle w:val="P68B1DB1-TableParagraph13"/>
              <w:numPr>
                <w:ilvl w:val="3"/>
                <w:numId w:val="211"/>
              </w:numPr>
              <w:spacing w:before="108"/>
              <w:ind w:left="931" w:hanging="567"/>
              <w:jc w:val="both"/>
            </w:pPr>
            <w:r>
              <w:t xml:space="preserve">direktiivin 2013/36/EU 128 artiklan 6 kohdassa tarkoitettu yhteenlaskettua puskurivaatimusta kuvaava suhde, jos se on lain mukaan sovellettavissa. </w:t>
            </w:r>
          </w:p>
          <w:p w14:paraId="7FE1B66E" w14:textId="77777777" w:rsidR="00B81226" w:rsidRDefault="00B82AC2">
            <w:pPr>
              <w:pStyle w:val="P68B1DB1-TableParagraph13"/>
              <w:spacing w:before="108"/>
              <w:jc w:val="both"/>
            </w:pPr>
            <w:r>
              <w:t xml:space="preserve">Tässä kohdassa ilmoitetaan EPV:n SREP-ohjeiden 1.2 jaksossa määritelty yhteenlaskettua pääomavaatimusta (OCR) kuvaava suhde. </w:t>
            </w:r>
          </w:p>
          <w:p w14:paraId="7FE1B66F" w14:textId="77777777" w:rsidR="00B81226" w:rsidRDefault="00B82AC2">
            <w:pPr>
              <w:pStyle w:val="P68B1DB1-TableParagraph13"/>
              <w:spacing w:before="108"/>
              <w:jc w:val="both"/>
              <w:rPr>
                <w:b/>
                <w:bCs/>
              </w:rPr>
            </w:pPr>
            <w:r>
              <w:t>Jos puskurivaatimusta ei sovelleta, ilmoitetaan ainoastaan i alakohdan tiedot.</w:t>
            </w:r>
          </w:p>
        </w:tc>
      </w:tr>
    </w:tbl>
    <w:p w14:paraId="7FE1B712" w14:textId="77777777" w:rsidR="00B81226" w:rsidRDefault="00B81226">
      <w:pPr>
        <w:rPr>
          <w:rFonts w:ascii="Times New Roman" w:hAnsi="Times New Roman" w:cs="Times New Roman"/>
        </w:rPr>
      </w:pPr>
    </w:p>
    <w:p w14:paraId="7FE1B713" w14:textId="77777777" w:rsidR="00B81226" w:rsidRDefault="00B81226">
      <w:pPr>
        <w:rPr>
          <w:rFonts w:ascii="Times New Roman" w:hAnsi="Times New Roman" w:cs="Times New Roman"/>
        </w:rPr>
      </w:pPr>
    </w:p>
    <w:p w14:paraId="7FE1B714" w14:textId="77777777" w:rsidR="00B81226" w:rsidRDefault="00B82AC2">
      <w:pPr>
        <w:pStyle w:val="P68B1DB1-Instructionsberschrift25"/>
        <w:numPr>
          <w:ilvl w:val="1"/>
          <w:numId w:val="49"/>
        </w:numPr>
        <w:ind w:left="357" w:hanging="357"/>
      </w:pPr>
      <w:bookmarkStart w:id="61" w:name="_Toc208245437"/>
      <w:r>
        <w:lastRenderedPageBreak/>
        <w:t>Z 03.02 – Omien varojen vaatimukset – Pörssiyritykset (LIAB 3)</w:t>
      </w:r>
      <w:bookmarkEnd w:id="61"/>
    </w:p>
    <w:p w14:paraId="7FE1B715" w14:textId="77777777" w:rsidR="00B81226" w:rsidRDefault="00B82AC2">
      <w:pPr>
        <w:pStyle w:val="Instructionsberschrift3"/>
      </w:pPr>
      <w:r>
        <w:t>Yleiset huomautukset</w:t>
      </w:r>
    </w:p>
    <w:p w14:paraId="7FE1B716" w14:textId="77777777" w:rsidR="00B81226" w:rsidRDefault="00B82AC2">
      <w:pPr>
        <w:pStyle w:val="Instructionsberschrift3"/>
        <w:numPr>
          <w:ilvl w:val="4"/>
          <w:numId w:val="260"/>
        </w:numPr>
      </w:pPr>
      <w:r>
        <w:t>Tässä lomakkeessa kerätään tietoja yhteisön tai konsernin omien varojen vaatimuksista.</w:t>
      </w:r>
    </w:p>
    <w:p w14:paraId="7FE1B717" w14:textId="1213D388" w:rsidR="00B81226" w:rsidRDefault="00B82AC2">
      <w:pPr>
        <w:pStyle w:val="Instructionsberschrift3"/>
        <w:numPr>
          <w:ilvl w:val="4"/>
          <w:numId w:val="260"/>
        </w:numPr>
      </w:pPr>
      <w:r>
        <w:t>Kaikkien raportoitavien tietojen on vastattava omien varojen vaatimuksia, joita sovellettiin raportoinnin viitepäivämääränä.</w:t>
      </w:r>
    </w:p>
    <w:p w14:paraId="666AF7EE" w14:textId="2B6DCE12" w:rsidR="00B81226" w:rsidRDefault="00B82AC2">
      <w:pPr>
        <w:pStyle w:val="P68B1DB1-ListParagraph23"/>
        <w:numPr>
          <w:ilvl w:val="4"/>
          <w:numId w:val="260"/>
        </w:numPr>
      </w:pPr>
      <w:r>
        <w:t>Jos yhteisö on jo ilmoittanut nämä tietopisteet IFREP-tietokannassa saman viitepäivämäärän ja raportoinnin laajuuden osalta (ks. IFREP-viitteet ohjeissa), raportoivan yhteisön ei tarvitse ilmoittaa näitä tietopisteitä toista kertaa konsolidoidussa tai yksilöllisessä raportoinnissa. Tiedot on ilmoitettava vain, jos raportoiva yhteisö on vapautettu taloudellisista tai vakavaraisuutta koskevista raportointivelvoitteista, jolloin ainoa kriisinratkaisuviranomaisten tietolähde näiden tietopisteiden osalta on tämä</w:t>
      </w:r>
      <w:r>
        <w:t xml:space="preserve"> kertomus.</w:t>
      </w:r>
    </w:p>
    <w:p w14:paraId="1DA6CBB2" w14:textId="77777777" w:rsidR="00B81226" w:rsidRDefault="00B81226">
      <w:pPr>
        <w:pStyle w:val="Instructionsberschrift3"/>
        <w:numPr>
          <w:ilvl w:val="4"/>
          <w:numId w:val="260"/>
        </w:numPr>
      </w:pPr>
    </w:p>
    <w:p w14:paraId="7FE1B718" w14:textId="4C8CE473" w:rsidR="00B81226" w:rsidRDefault="00B81226">
      <w:pPr>
        <w:pStyle w:val="InstructionsText2"/>
        <w:numPr>
          <w:ilvl w:val="0"/>
          <w:numId w:val="0"/>
        </w:numPr>
        <w:spacing w:before="0"/>
        <w:ind w:left="1440"/>
        <w:rPr>
          <w:rFonts w:ascii="Times New Roman" w:hAnsi="Times New Roman" w:cs="Times New Roman"/>
          <w:sz w:val="20"/>
          <w:szCs w:val="20"/>
        </w:rPr>
      </w:pPr>
    </w:p>
    <w:p w14:paraId="7FE1B719" w14:textId="77777777" w:rsidR="00B81226" w:rsidRDefault="00B82AC2">
      <w:pPr>
        <w:pStyle w:val="Instructionsberschrift3"/>
      </w:pPr>
      <w:r>
        <w:t>Tiettyjä kohtia koskevat ohjeet</w:t>
      </w:r>
    </w:p>
    <w:p w14:paraId="7FE1B71A" w14:textId="77777777" w:rsidR="00B81226" w:rsidRDefault="00B81226">
      <w:pPr>
        <w:pStyle w:val="Instructionsberschrift3"/>
        <w:numPr>
          <w:ilvl w:val="0"/>
          <w:numId w:val="0"/>
        </w:numPr>
        <w:ind w:left="720" w:hanging="432"/>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B81226" w14:paraId="7FE1B71D"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71B" w14:textId="77777777" w:rsidR="00B81226" w:rsidRDefault="00B82AC2">
            <w:pPr>
              <w:pStyle w:val="P68B1DB1-TableParagraph13"/>
              <w:spacing w:before="66"/>
              <w:rPr>
                <w:rFonts w:eastAsia="Cambria"/>
              </w:rPr>
            </w:pPr>
            <w:r>
              <w:t>Rivit</w:t>
            </w:r>
          </w:p>
        </w:tc>
        <w:tc>
          <w:tcPr>
            <w:tcW w:w="8170" w:type="dxa"/>
            <w:tcBorders>
              <w:top w:val="single" w:sz="4" w:space="0" w:color="1A171C"/>
              <w:left w:val="single" w:sz="4" w:space="0" w:color="1A171C"/>
              <w:bottom w:val="single" w:sz="4" w:space="0" w:color="1A171C"/>
              <w:right w:val="nil"/>
            </w:tcBorders>
            <w:shd w:val="clear" w:color="auto" w:fill="E4E5E5"/>
          </w:tcPr>
          <w:p w14:paraId="7FE1B71C" w14:textId="77777777" w:rsidR="00B81226" w:rsidRDefault="00B82AC2">
            <w:pPr>
              <w:pStyle w:val="P68B1DB1-TableParagraph13"/>
              <w:spacing w:before="66"/>
              <w:ind w:right="1"/>
              <w:jc w:val="center"/>
              <w:rPr>
                <w:rFonts w:eastAsia="Cambria"/>
              </w:rPr>
            </w:pPr>
            <w:r>
              <w:t>Ohjeet</w:t>
            </w:r>
          </w:p>
        </w:tc>
      </w:tr>
      <w:tr w:rsidR="00B81226" w14:paraId="7FE1B722" w14:textId="77777777">
        <w:tc>
          <w:tcPr>
            <w:tcW w:w="856" w:type="dxa"/>
            <w:tcBorders>
              <w:top w:val="single" w:sz="4" w:space="0" w:color="1A171C"/>
              <w:left w:val="nil"/>
              <w:bottom w:val="single" w:sz="4" w:space="0" w:color="1A171C"/>
              <w:right w:val="single" w:sz="4" w:space="0" w:color="1A171C"/>
            </w:tcBorders>
            <w:vAlign w:val="center"/>
          </w:tcPr>
          <w:p w14:paraId="7FE1B71E" w14:textId="77777777" w:rsidR="00B81226" w:rsidRDefault="00B82AC2">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0E4C8C5E" w14:textId="5424F59B" w:rsidR="00B81226" w:rsidRDefault="00B82AC2">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 xml:space="preserve">Omien varojen vaatimus yhteensä </w:t>
            </w:r>
            <w:r>
              <w:rPr>
                <w:rStyle w:val="InstructionsTabelleberschrift"/>
                <w:rFonts w:ascii="Times New Roman" w:hAnsi="Times New Roman"/>
                <w:color w:val="000000" w:themeColor="text1"/>
                <w:szCs w:val="20"/>
              </w:rPr>
              <w:t>(IFREP I 02.01 r0130)</w:t>
            </w:r>
          </w:p>
          <w:p w14:paraId="29B1A135" w14:textId="77777777" w:rsidR="00B81226" w:rsidRDefault="00B81226">
            <w:pPr>
              <w:rPr>
                <w:rStyle w:val="InstructionsTabelleberschrift"/>
                <w:rFonts w:ascii="Times New Roman" w:hAnsi="Times New Roman"/>
                <w:color w:val="000000" w:themeColor="text1"/>
                <w:szCs w:val="20"/>
                <w:u w:val="none"/>
              </w:rPr>
            </w:pPr>
          </w:p>
          <w:p w14:paraId="4F8C79FA" w14:textId="210F9E6A" w:rsidR="00B81226" w:rsidRDefault="00B82AC2">
            <w:pPr>
              <w:pStyle w:val="P68B1DB1-TableParagraph17"/>
              <w:spacing w:before="108"/>
            </w:pPr>
            <w:r>
              <w:t>Sijoituspalveluyrityksen omien varojen kokonaisvaatimus koostuu sen viitepäivänä sovellettavien omien varojen vaatimusten, rivillä 0110 ilmoitettujen omien varojen lisävaatimusten ja rivillä 0120 ilmoitettujen täydentäviä omia varoja koskevien ohjeiden summasta.</w:t>
            </w:r>
          </w:p>
          <w:p w14:paraId="7FE1B721" w14:textId="77777777" w:rsidR="00B81226" w:rsidRDefault="00B81226">
            <w:pPr>
              <w:pStyle w:val="TableParagraph"/>
              <w:spacing w:before="108"/>
              <w:rPr>
                <w:rFonts w:ascii="Times New Roman" w:hAnsi="Times New Roman" w:cs="Times New Roman"/>
                <w:color w:val="000000" w:themeColor="text1"/>
                <w:sz w:val="20"/>
                <w:szCs w:val="20"/>
              </w:rPr>
            </w:pPr>
          </w:p>
        </w:tc>
      </w:tr>
      <w:tr w:rsidR="00B81226" w14:paraId="7FE1B728" w14:textId="77777777">
        <w:tc>
          <w:tcPr>
            <w:tcW w:w="856" w:type="dxa"/>
            <w:tcBorders>
              <w:top w:val="single" w:sz="4" w:space="0" w:color="1A171C"/>
              <w:left w:val="nil"/>
              <w:bottom w:val="single" w:sz="4" w:space="0" w:color="1A171C"/>
              <w:right w:val="single" w:sz="4" w:space="0" w:color="1A171C"/>
            </w:tcBorders>
            <w:vAlign w:val="center"/>
          </w:tcPr>
          <w:p w14:paraId="7FE1B723" w14:textId="6F3D19E1" w:rsidR="00B81226" w:rsidRDefault="00B82AC2">
            <w:pPr>
              <w:pStyle w:val="P68B1DB1-TableParagraph13"/>
              <w:spacing w:before="106"/>
              <w:ind w:left="-1"/>
            </w:pPr>
            <w:r>
              <w:t>0110</w:t>
            </w:r>
          </w:p>
        </w:tc>
        <w:tc>
          <w:tcPr>
            <w:tcW w:w="8170" w:type="dxa"/>
            <w:tcBorders>
              <w:top w:val="single" w:sz="4" w:space="0" w:color="1A171C"/>
              <w:left w:val="single" w:sz="4" w:space="0" w:color="1A171C"/>
              <w:bottom w:val="single" w:sz="4" w:space="0" w:color="1A171C"/>
              <w:right w:val="nil"/>
            </w:tcBorders>
            <w:vAlign w:val="center"/>
          </w:tcPr>
          <w:p w14:paraId="1CBC0494" w14:textId="1616B09F" w:rsidR="00B81226" w:rsidRDefault="00B82AC2">
            <w:pPr>
              <w:pStyle w:val="TableParagraph"/>
              <w:spacing w:before="108"/>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Omien varojen vaatimus </w:t>
            </w:r>
            <w:r>
              <w:rPr>
                <w:rStyle w:val="InstructionsTabelleberschrift"/>
                <w:rFonts w:ascii="Times New Roman" w:hAnsi="Times New Roman"/>
                <w:color w:val="000000" w:themeColor="text1"/>
                <w:szCs w:val="20"/>
              </w:rPr>
              <w:t>(IFREP I 02.01 r0010)</w:t>
            </w:r>
          </w:p>
          <w:p w14:paraId="74086713" w14:textId="7F827C2E" w:rsidR="00B81226" w:rsidRDefault="00B82AC2">
            <w:pPr>
              <w:pStyle w:val="P68B1DB1-TableParagraph17"/>
              <w:spacing w:before="108"/>
            </w:pPr>
            <w:r>
              <w:t>Asetus (EU) 2019/2033, 11 artiklan 1 kohta.</w:t>
            </w:r>
          </w:p>
          <w:p w14:paraId="016729EC" w14:textId="77777777" w:rsidR="00B81226" w:rsidRDefault="00B82AC2">
            <w:pPr>
              <w:pStyle w:val="P68B1DB1-TableParagraph17"/>
              <w:spacing w:before="108"/>
            </w:pPr>
            <w:r>
              <w:t>Määrä on se määrä, joka saadaan soveltamatta asetuksen (EU) 2019/2033 57 artiklan 3, 4 tai 6 kohtaa.</w:t>
            </w:r>
          </w:p>
          <w:p w14:paraId="7FE1B727" w14:textId="77777777" w:rsidR="00B81226" w:rsidRDefault="00B81226">
            <w:pPr>
              <w:pStyle w:val="TableParagraph"/>
              <w:spacing w:before="108"/>
              <w:jc w:val="both"/>
              <w:rPr>
                <w:rFonts w:ascii="Times New Roman" w:eastAsia="Cambria" w:hAnsi="Times New Roman" w:cs="Times New Roman"/>
                <w:color w:val="000000" w:themeColor="text1"/>
                <w:sz w:val="20"/>
                <w:szCs w:val="20"/>
              </w:rPr>
            </w:pPr>
          </w:p>
        </w:tc>
      </w:tr>
      <w:tr w:rsidR="00B81226" w14:paraId="7FE1B72F" w14:textId="77777777">
        <w:tc>
          <w:tcPr>
            <w:tcW w:w="856" w:type="dxa"/>
            <w:tcBorders>
              <w:top w:val="single" w:sz="4" w:space="0" w:color="1A171C"/>
              <w:left w:val="nil"/>
              <w:bottom w:val="single" w:sz="4" w:space="0" w:color="1A171C"/>
              <w:right w:val="single" w:sz="4" w:space="0" w:color="1A171C"/>
            </w:tcBorders>
            <w:vAlign w:val="center"/>
          </w:tcPr>
          <w:p w14:paraId="7FE1B729" w14:textId="4BE2E84C" w:rsidR="00B81226" w:rsidRDefault="00B82AC2">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694F6CD4" w14:textId="5AF6818D" w:rsidR="00B81226" w:rsidRDefault="00B82AC2">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Omien varojen lisävaatimus </w:t>
            </w:r>
            <w:r>
              <w:rPr>
                <w:rStyle w:val="InstructionsTabelleberschrift"/>
                <w:rFonts w:ascii="Times New Roman" w:hAnsi="Times New Roman"/>
                <w:color w:val="000000" w:themeColor="text1"/>
                <w:szCs w:val="20"/>
              </w:rPr>
              <w:t>(IFREP I 02.01 r0110)</w:t>
            </w:r>
          </w:p>
          <w:p w14:paraId="05BFD23E" w14:textId="06165C78" w:rsidR="00B81226" w:rsidRDefault="00B82AC2">
            <w:pPr>
              <w:pStyle w:val="P68B1DB1-TableParagraph17"/>
              <w:spacing w:before="108"/>
              <w:jc w:val="both"/>
            </w:pPr>
            <w:r>
              <w:t>Direktiivin (EU) 2019/2034 40 artikla.</w:t>
            </w:r>
          </w:p>
          <w:p w14:paraId="2AF15530" w14:textId="77777777" w:rsidR="00B81226" w:rsidRDefault="00B82AC2">
            <w:pPr>
              <w:pStyle w:val="P68B1DB1-TableParagraph13"/>
              <w:spacing w:before="108"/>
              <w:jc w:val="both"/>
            </w:pPr>
            <w:r>
              <w:t xml:space="preserve">Vakavaraisuuden arviointiprosessin jälkeen vaadittavat täydentävät omat varat. </w:t>
            </w:r>
          </w:p>
          <w:p w14:paraId="7FE1B72E" w14:textId="77777777" w:rsidR="00B81226" w:rsidRDefault="00B81226">
            <w:pPr>
              <w:pStyle w:val="TableParagraph"/>
              <w:spacing w:before="108"/>
              <w:rPr>
                <w:rFonts w:ascii="Times New Roman" w:eastAsia="Cambria" w:hAnsi="Times New Roman" w:cs="Times New Roman"/>
                <w:color w:val="000000" w:themeColor="text1"/>
                <w:sz w:val="20"/>
                <w:szCs w:val="20"/>
              </w:rPr>
            </w:pPr>
          </w:p>
        </w:tc>
      </w:tr>
      <w:tr w:rsidR="00B81226" w14:paraId="7FE1B738" w14:textId="77777777">
        <w:tc>
          <w:tcPr>
            <w:tcW w:w="856" w:type="dxa"/>
            <w:tcBorders>
              <w:top w:val="single" w:sz="4" w:space="0" w:color="1A171C"/>
              <w:left w:val="nil"/>
              <w:bottom w:val="single" w:sz="4" w:space="0" w:color="1A171C"/>
              <w:right w:val="single" w:sz="4" w:space="0" w:color="1A171C"/>
            </w:tcBorders>
            <w:vAlign w:val="center"/>
          </w:tcPr>
          <w:p w14:paraId="7FE1B730" w14:textId="22E6147A" w:rsidR="00B81226" w:rsidRDefault="00B82AC2">
            <w:pPr>
              <w:pStyle w:val="P68B1DB1-TableParagraph13"/>
              <w:spacing w:before="106"/>
              <w:ind w:left="-1"/>
            </w:pPr>
            <w:r>
              <w:t>0130</w:t>
            </w:r>
          </w:p>
        </w:tc>
        <w:tc>
          <w:tcPr>
            <w:tcW w:w="8170" w:type="dxa"/>
            <w:tcBorders>
              <w:top w:val="single" w:sz="4" w:space="0" w:color="1A171C"/>
              <w:left w:val="single" w:sz="4" w:space="0" w:color="1A171C"/>
              <w:bottom w:val="single" w:sz="4" w:space="0" w:color="1A171C"/>
              <w:right w:val="nil"/>
            </w:tcBorders>
            <w:vAlign w:val="center"/>
          </w:tcPr>
          <w:p w14:paraId="721CC100" w14:textId="6FAC5E97" w:rsidR="00B81226" w:rsidRDefault="00B82AC2">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Omia varoja koskeva lisäohjeistus </w:t>
            </w:r>
            <w:r>
              <w:rPr>
                <w:rStyle w:val="InstructionsTabelleberschrift"/>
                <w:rFonts w:ascii="Times New Roman" w:hAnsi="Times New Roman"/>
                <w:color w:val="000000" w:themeColor="text1"/>
                <w:szCs w:val="20"/>
              </w:rPr>
              <w:t>(IFREP I 02.01 r0120)</w:t>
            </w:r>
          </w:p>
          <w:p w14:paraId="4094919F" w14:textId="67C4E4FA" w:rsidR="00B81226" w:rsidRDefault="00B82AC2">
            <w:pPr>
              <w:pStyle w:val="P68B1DB1-TableParagraph17"/>
              <w:spacing w:before="108"/>
            </w:pPr>
            <w:r>
              <w:t>Direktiivin (EU) 2019/2034 41 artikla.</w:t>
            </w:r>
          </w:p>
          <w:p w14:paraId="1EA34579" w14:textId="77777777" w:rsidR="00B81226" w:rsidRDefault="00B82AC2">
            <w:pPr>
              <w:pStyle w:val="P68B1DB1-TableParagraph17"/>
              <w:spacing w:before="108"/>
            </w:pPr>
            <w:r>
              <w:t>Omien varojen lisävaatimuksia koskevien ohjeiden perusteella vaaditut täydentävät omat varat.</w:t>
            </w:r>
          </w:p>
          <w:p w14:paraId="7FE1B736" w14:textId="77777777" w:rsidR="00B81226" w:rsidRDefault="00B81226">
            <w:pPr>
              <w:pStyle w:val="TableParagraph"/>
              <w:spacing w:before="108"/>
              <w:jc w:val="both"/>
              <w:rPr>
                <w:rStyle w:val="InstructionsTabelleberschrift"/>
                <w:rFonts w:ascii="Times New Roman" w:eastAsia="Cambria" w:hAnsi="Times New Roman"/>
                <w:b w:val="0"/>
                <w:bCs w:val="0"/>
                <w:color w:val="000000" w:themeColor="text1"/>
                <w:szCs w:val="20"/>
                <w:u w:val="none"/>
              </w:rPr>
            </w:pPr>
          </w:p>
          <w:p w14:paraId="7FE1B737" w14:textId="77777777" w:rsidR="00B81226" w:rsidRDefault="00B81226">
            <w:pPr>
              <w:pStyle w:val="TableParagraph"/>
              <w:spacing w:before="108"/>
              <w:jc w:val="both"/>
              <w:rPr>
                <w:rFonts w:ascii="Times New Roman" w:hAnsi="Times New Roman" w:cs="Times New Roman"/>
                <w:b/>
                <w:bCs/>
                <w:color w:val="000000" w:themeColor="text1"/>
                <w:sz w:val="20"/>
                <w:szCs w:val="20"/>
              </w:rPr>
            </w:pPr>
          </w:p>
        </w:tc>
      </w:tr>
    </w:tbl>
    <w:p w14:paraId="7FE1B741" w14:textId="77777777" w:rsidR="00B81226" w:rsidRDefault="00B81226">
      <w:pPr>
        <w:pStyle w:val="Instructionsberschrift3"/>
        <w:numPr>
          <w:ilvl w:val="0"/>
          <w:numId w:val="0"/>
        </w:numPr>
        <w:ind w:left="720" w:hanging="432"/>
      </w:pPr>
    </w:p>
    <w:p w14:paraId="7FE1B742" w14:textId="77777777" w:rsidR="00B81226" w:rsidRDefault="00B81226">
      <w:pPr>
        <w:pStyle w:val="Instructionsberschrift3"/>
        <w:numPr>
          <w:ilvl w:val="0"/>
          <w:numId w:val="0"/>
        </w:numPr>
        <w:ind w:left="720" w:hanging="432"/>
      </w:pPr>
    </w:p>
    <w:p w14:paraId="7FE1B743" w14:textId="77777777" w:rsidR="00B81226" w:rsidRDefault="00B81226">
      <w:pPr>
        <w:pStyle w:val="Instructionsberschrift3"/>
        <w:numPr>
          <w:ilvl w:val="0"/>
          <w:numId w:val="0"/>
        </w:numPr>
        <w:ind w:left="720" w:hanging="432"/>
      </w:pPr>
    </w:p>
    <w:p w14:paraId="7FE1B744" w14:textId="49BA0C03" w:rsidR="00B81226" w:rsidRDefault="00B81226">
      <w:pPr>
        <w:rPr>
          <w:rFonts w:ascii="Times New Roman" w:hAnsi="Times New Roman" w:cs="Times New Roman"/>
          <w:color w:val="000000" w:themeColor="text1"/>
          <w:sz w:val="20"/>
          <w:szCs w:val="20"/>
        </w:rPr>
      </w:pPr>
    </w:p>
    <w:p w14:paraId="7FE1B745" w14:textId="016BA1E4" w:rsidR="00B81226" w:rsidRDefault="00B82AC2">
      <w:pPr>
        <w:pStyle w:val="P68B1DB1-Instructionsberschrift25"/>
        <w:numPr>
          <w:ilvl w:val="1"/>
          <w:numId w:val="49"/>
        </w:numPr>
        <w:ind w:left="357" w:hanging="357"/>
      </w:pPr>
      <w:bookmarkStart w:id="62" w:name="_Toc492542324"/>
      <w:bookmarkStart w:id="63" w:name="_Toc81454182"/>
      <w:bookmarkStart w:id="64" w:name="_Toc208245438"/>
      <w:r>
        <w:t>Z 04.00 – Konsernin sisäiset taloudelliset sidokset (LIAB 4)</w:t>
      </w:r>
      <w:bookmarkEnd w:id="62"/>
      <w:bookmarkEnd w:id="63"/>
      <w:bookmarkEnd w:id="64"/>
    </w:p>
    <w:p w14:paraId="7FE1B746" w14:textId="77777777" w:rsidR="00B81226" w:rsidRDefault="00B82AC2">
      <w:pPr>
        <w:pStyle w:val="Instructionsberschrift3"/>
      </w:pPr>
      <w:r>
        <w:t>Yleiset huomautukset</w:t>
      </w:r>
    </w:p>
    <w:p w14:paraId="7FE1B747" w14:textId="3BB98E0B" w:rsidR="00B81226" w:rsidRDefault="00B82AC2">
      <w:pPr>
        <w:pStyle w:val="P68B1DB1-InstructionsText26"/>
        <w:numPr>
          <w:ilvl w:val="0"/>
          <w:numId w:val="232"/>
        </w:numPr>
        <w:spacing w:before="0"/>
      </w:pPr>
      <w:r>
        <w:t xml:space="preserve">Tässä lomakkeessa edellytetään tietoja konsernin sisäisistä veloista, pääomainstrumenteista ja takauksista. </w:t>
      </w:r>
    </w:p>
    <w:p w14:paraId="7FE1B748" w14:textId="588B1EC0" w:rsidR="00B81226" w:rsidRDefault="00B82AC2">
      <w:pPr>
        <w:pStyle w:val="P68B1DB1-InstructionsText26"/>
        <w:numPr>
          <w:ilvl w:val="0"/>
          <w:numId w:val="232"/>
        </w:numPr>
        <w:spacing w:before="0"/>
      </w:pPr>
      <w:r>
        <w:t>Kaikki sellaisten merkityksellisten oikeushenkilöiden väliset taloudelliset sidokset, jotka sisältyvät konsernitilinpäätökseen, on ilmoitettava. Ilmoitetut määrät on laskettava yhteen, jos ne koskevat samoja vastapuolia (sekä liikkeeseenlaskija että taattava yhteisö sekä luotonantaja, haltija tai takauksen antaja) ja samantyyppisiä velkoja, pääomainstrumentteja tai takauksia.</w:t>
      </w:r>
    </w:p>
    <w:p w14:paraId="7FE1B749" w14:textId="77777777" w:rsidR="00B81226" w:rsidRDefault="00B82AC2">
      <w:pPr>
        <w:pStyle w:val="P68B1DB1-InstructionsText26"/>
        <w:numPr>
          <w:ilvl w:val="0"/>
          <w:numId w:val="232"/>
        </w:numPr>
        <w:spacing w:before="0"/>
      </w:pPr>
      <w:r>
        <w:t>Tämän lomakkeen sarakkeissa 0020, 0040 ja 0050 ilmoitetut arvot yhdessä muodostavat ensisijaisen avaimen, jonka on oltava yksilöllinen lomakkeen jokaiselle riville.</w:t>
      </w:r>
    </w:p>
    <w:p w14:paraId="7FE1B74A" w14:textId="77777777" w:rsidR="00B81226" w:rsidRDefault="00B82AC2">
      <w:pPr>
        <w:pStyle w:val="P68B1DB1-Instructionsberschrift312"/>
      </w:pPr>
      <w:r>
        <w:t>Tiettyjä kohtia koskevat ohjeet</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B81226" w14:paraId="7FE1B74D"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4B" w14:textId="77777777" w:rsidR="00B81226" w:rsidRDefault="00B82AC2">
            <w:pPr>
              <w:pStyle w:val="P68B1DB1-TableParagraph13"/>
              <w:spacing w:before="66"/>
              <w:rPr>
                <w:rFonts w:eastAsia="Cambria"/>
              </w:rPr>
            </w:pPr>
            <w:r>
              <w:t>Sarakkeet</w:t>
            </w:r>
          </w:p>
        </w:tc>
        <w:tc>
          <w:tcPr>
            <w:tcW w:w="8119" w:type="dxa"/>
            <w:tcBorders>
              <w:top w:val="single" w:sz="4" w:space="0" w:color="1A171C"/>
              <w:left w:val="single" w:sz="4" w:space="0" w:color="1A171C"/>
              <w:bottom w:val="single" w:sz="4" w:space="0" w:color="1A171C"/>
              <w:right w:val="nil"/>
            </w:tcBorders>
            <w:shd w:val="clear" w:color="auto" w:fill="E4E5E5"/>
          </w:tcPr>
          <w:p w14:paraId="7FE1B74C" w14:textId="77777777" w:rsidR="00B81226" w:rsidRDefault="00B82AC2">
            <w:pPr>
              <w:pStyle w:val="P68B1DB1-TableParagraph13"/>
              <w:spacing w:before="66"/>
              <w:ind w:right="1"/>
              <w:jc w:val="center"/>
              <w:rPr>
                <w:rFonts w:eastAsia="Cambria"/>
              </w:rPr>
            </w:pPr>
            <w:r>
              <w:t>Ohjeet</w:t>
            </w:r>
          </w:p>
        </w:tc>
      </w:tr>
      <w:tr w:rsidR="00B81226" w14:paraId="7FE1B751" w14:textId="77777777">
        <w:tc>
          <w:tcPr>
            <w:tcW w:w="907" w:type="dxa"/>
            <w:tcBorders>
              <w:top w:val="single" w:sz="4" w:space="0" w:color="1A171C"/>
              <w:left w:val="nil"/>
              <w:bottom w:val="single" w:sz="4" w:space="0" w:color="1A171C"/>
              <w:right w:val="single" w:sz="4" w:space="0" w:color="1A171C"/>
            </w:tcBorders>
            <w:vAlign w:val="center"/>
          </w:tcPr>
          <w:p w14:paraId="7FE1B74E" w14:textId="6C279506" w:rsidR="00B81226" w:rsidRDefault="00B82AC2">
            <w:pPr>
              <w:pStyle w:val="P68B1DB1-TableParagraph13"/>
              <w:spacing w:before="106"/>
              <w:ind w:left="-1"/>
            </w:pPr>
            <w:r>
              <w:t xml:space="preserve">0010–0025 </w:t>
            </w:r>
          </w:p>
        </w:tc>
        <w:tc>
          <w:tcPr>
            <w:tcW w:w="8119" w:type="dxa"/>
            <w:tcBorders>
              <w:top w:val="single" w:sz="4" w:space="0" w:color="1A171C"/>
              <w:left w:val="single" w:sz="4" w:space="0" w:color="1A171C"/>
              <w:bottom w:val="single" w:sz="4" w:space="0" w:color="1A171C"/>
              <w:right w:val="nil"/>
            </w:tcBorders>
            <w:vAlign w:val="center"/>
          </w:tcPr>
          <w:p w14:paraId="7FE1B74F" w14:textId="77777777" w:rsidR="00B81226" w:rsidRDefault="00B82AC2">
            <w:pPr>
              <w:pStyle w:val="P68B1DB1-TableParagraph14"/>
              <w:spacing w:before="108"/>
              <w:ind w:left="85"/>
              <w:jc w:val="both"/>
              <w:rPr>
                <w:bCs/>
              </w:rPr>
            </w:pPr>
            <w:r>
              <w:t>Liikkeeseenlaskija tai taattava yhteisö</w:t>
            </w:r>
          </w:p>
          <w:p w14:paraId="7FE1B750" w14:textId="77777777" w:rsidR="00B81226" w:rsidRDefault="00B82AC2">
            <w:pPr>
              <w:pStyle w:val="P68B1DB1-TableParagraph17"/>
              <w:spacing w:before="108"/>
              <w:ind w:left="85"/>
              <w:jc w:val="both"/>
            </w:pPr>
            <w:r>
              <w:t>Oikeushenkilö, joka laskee liikkeeseen vastuut tai pääomainstrumentin tai joka on takauksen kohteena oleva yhteisö.</w:t>
            </w:r>
          </w:p>
        </w:tc>
      </w:tr>
      <w:tr w:rsidR="00B81226" w14:paraId="7FE1B755" w14:textId="77777777">
        <w:tc>
          <w:tcPr>
            <w:tcW w:w="907" w:type="dxa"/>
            <w:tcBorders>
              <w:top w:val="single" w:sz="4" w:space="0" w:color="1A171C"/>
              <w:left w:val="nil"/>
              <w:bottom w:val="single" w:sz="4" w:space="0" w:color="1A171C"/>
              <w:right w:val="single" w:sz="4" w:space="0" w:color="1A171C"/>
            </w:tcBorders>
            <w:vAlign w:val="center"/>
          </w:tcPr>
          <w:p w14:paraId="7FE1B752" w14:textId="77777777" w:rsidR="00B81226" w:rsidRDefault="00B82AC2">
            <w:pPr>
              <w:pStyle w:val="P68B1DB1-TableParagraph13"/>
              <w:spacing w:before="106"/>
              <w:ind w:left="-1"/>
            </w:pPr>
            <w:r>
              <w:t xml:space="preserve">0010 </w:t>
            </w:r>
          </w:p>
        </w:tc>
        <w:tc>
          <w:tcPr>
            <w:tcW w:w="8119" w:type="dxa"/>
            <w:tcBorders>
              <w:top w:val="single" w:sz="4" w:space="0" w:color="1A171C"/>
              <w:left w:val="single" w:sz="4" w:space="0" w:color="1A171C"/>
              <w:bottom w:val="single" w:sz="4" w:space="0" w:color="1A171C"/>
              <w:right w:val="nil"/>
            </w:tcBorders>
            <w:vAlign w:val="center"/>
          </w:tcPr>
          <w:p w14:paraId="7FE1B753" w14:textId="77777777" w:rsidR="00B81226" w:rsidRDefault="00B82AC2">
            <w:pPr>
              <w:pStyle w:val="P68B1DB1-TableParagraph14"/>
              <w:spacing w:before="108"/>
              <w:ind w:left="85"/>
              <w:jc w:val="both"/>
              <w:rPr>
                <w:bCs/>
              </w:rPr>
            </w:pPr>
            <w:r>
              <w:t xml:space="preserve">Yhteisön nimi </w:t>
            </w:r>
          </w:p>
          <w:p w14:paraId="7FE1B754" w14:textId="77777777" w:rsidR="00B81226" w:rsidRDefault="00B82AC2">
            <w:pPr>
              <w:pStyle w:val="P68B1DB1-TableParagraph17"/>
              <w:spacing w:before="108"/>
              <w:ind w:left="85"/>
              <w:jc w:val="both"/>
            </w:pPr>
            <w:r>
              <w:t xml:space="preserve">Se ei saa olla sama kuin sarakkeessa 0030 ilmoitettu yhteisön nimi. </w:t>
            </w:r>
          </w:p>
        </w:tc>
      </w:tr>
      <w:tr w:rsidR="00B81226" w14:paraId="7FE1B75C" w14:textId="77777777">
        <w:tc>
          <w:tcPr>
            <w:tcW w:w="907" w:type="dxa"/>
            <w:tcBorders>
              <w:top w:val="single" w:sz="4" w:space="0" w:color="1A171C"/>
              <w:left w:val="nil"/>
              <w:bottom w:val="single" w:sz="4" w:space="0" w:color="1A171C"/>
              <w:right w:val="single" w:sz="4" w:space="0" w:color="1A171C"/>
            </w:tcBorders>
            <w:vAlign w:val="center"/>
          </w:tcPr>
          <w:p w14:paraId="7FE1B756" w14:textId="77777777" w:rsidR="00B81226" w:rsidRDefault="00B82AC2">
            <w:pPr>
              <w:pStyle w:val="P68B1DB1-TableParagraph13"/>
              <w:spacing w:before="106"/>
              <w:ind w:left="-1"/>
            </w:pPr>
            <w:r>
              <w:t xml:space="preserve">0020 </w:t>
            </w:r>
          </w:p>
        </w:tc>
        <w:tc>
          <w:tcPr>
            <w:tcW w:w="8119" w:type="dxa"/>
            <w:tcBorders>
              <w:top w:val="single" w:sz="4" w:space="0" w:color="1A171C"/>
              <w:left w:val="single" w:sz="4" w:space="0" w:color="1A171C"/>
              <w:bottom w:val="single" w:sz="4" w:space="0" w:color="1A171C"/>
              <w:right w:val="nil"/>
            </w:tcBorders>
            <w:vAlign w:val="center"/>
          </w:tcPr>
          <w:p w14:paraId="7FE1B757" w14:textId="77777777" w:rsidR="00B81226" w:rsidRDefault="00B82AC2">
            <w:pPr>
              <w:pStyle w:val="P68B1DB1-TableParagraph14"/>
              <w:spacing w:before="108"/>
              <w:ind w:left="85"/>
              <w:jc w:val="both"/>
              <w:rPr>
                <w:bCs/>
              </w:rPr>
            </w:pPr>
            <w:r>
              <w:t>Koodi</w:t>
            </w:r>
          </w:p>
          <w:p w14:paraId="22E99FB3" w14:textId="77777777" w:rsidR="00B81226" w:rsidRDefault="00B82AC2">
            <w:pPr>
              <w:pStyle w:val="P68B1DB1-TableParagraph17"/>
              <w:spacing w:before="108"/>
              <w:ind w:left="85"/>
              <w:jc w:val="both"/>
            </w:pPr>
            <w:r>
              <w:t xml:space="preserve">Liikkeeseenlaskijan tai takauksen saajan koodi. </w:t>
            </w:r>
          </w:p>
          <w:p w14:paraId="4BE5BA2E" w14:textId="5E7AE5A4" w:rsidR="00B81226" w:rsidRDefault="00B82AC2">
            <w:pPr>
              <w:pStyle w:val="P68B1DB1-TableParagraph17"/>
              <w:spacing w:before="108"/>
              <w:ind w:left="85"/>
              <w:jc w:val="both"/>
            </w:pPr>
            <w:r>
              <w:t>Laitoksista, joilla on oikeushenkilötunnus (LEI), 20-merkkinen aakkosnumeerinen LEI-tunnus;</w:t>
            </w:r>
          </w:p>
          <w:p w14:paraId="7FE1B758" w14:textId="458CE8E3" w:rsidR="00B81226" w:rsidRDefault="00B82AC2">
            <w:pPr>
              <w:pStyle w:val="P68B1DB1-TableParagraph17"/>
              <w:spacing w:before="108"/>
              <w:ind w:left="85"/>
              <w:jc w:val="both"/>
            </w:pPr>
            <w:r>
              <w:t>Jos sellaista ei ole, käytetään rahalaitoskoodia tai unionissa sovellettavan yhtenäisen koodin mukaista koodia.</w:t>
            </w:r>
          </w:p>
          <w:p w14:paraId="7FE1B759" w14:textId="77777777" w:rsidR="00B81226" w:rsidRDefault="00B82AC2">
            <w:pPr>
              <w:pStyle w:val="P68B1DB1-TableParagraph17"/>
              <w:spacing w:before="108"/>
              <w:ind w:left="85"/>
              <w:jc w:val="both"/>
            </w:pPr>
            <w:r>
              <w:t>Koodin on oltava yksilöllinen, ja sitä on käytettävä johdonmukaisesti lomakkeissa.</w:t>
            </w:r>
          </w:p>
          <w:p w14:paraId="7FE1B75A" w14:textId="77777777" w:rsidR="00B81226" w:rsidRDefault="00B82AC2">
            <w:pPr>
              <w:pStyle w:val="P68B1DB1-TableParagraph17"/>
              <w:spacing w:before="108"/>
              <w:ind w:left="85"/>
              <w:jc w:val="both"/>
            </w:pPr>
            <w:r>
              <w:t>Se ei saa olla sama kuin sarakkeessa 0040 ilmoitettu koodi.</w:t>
            </w:r>
          </w:p>
          <w:p w14:paraId="7FE1B75B" w14:textId="77777777" w:rsidR="00B81226" w:rsidRDefault="00B81226">
            <w:pPr>
              <w:pStyle w:val="TableParagraph"/>
              <w:spacing w:before="108"/>
              <w:ind w:left="85"/>
              <w:jc w:val="both"/>
              <w:rPr>
                <w:rFonts w:ascii="Times New Roman" w:eastAsia="Cambria" w:hAnsi="Times New Roman" w:cs="Times New Roman"/>
                <w:color w:val="000000" w:themeColor="text1"/>
                <w:sz w:val="20"/>
                <w:szCs w:val="20"/>
              </w:rPr>
            </w:pPr>
          </w:p>
        </w:tc>
      </w:tr>
      <w:tr w:rsidR="00B81226" w14:paraId="7FE1B763" w14:textId="77777777">
        <w:tc>
          <w:tcPr>
            <w:tcW w:w="907" w:type="dxa"/>
            <w:tcBorders>
              <w:top w:val="single" w:sz="4" w:space="0" w:color="1A171C"/>
              <w:left w:val="nil"/>
              <w:bottom w:val="single" w:sz="4" w:space="0" w:color="1A171C"/>
              <w:right w:val="single" w:sz="4" w:space="0" w:color="1A171C"/>
            </w:tcBorders>
            <w:vAlign w:val="center"/>
          </w:tcPr>
          <w:p w14:paraId="7FE1B75D" w14:textId="77777777" w:rsidR="00B81226" w:rsidRDefault="00B82AC2">
            <w:pPr>
              <w:pStyle w:val="P68B1DB1-TableParagraph13"/>
              <w:spacing w:before="106"/>
              <w:ind w:left="-1"/>
            </w:pPr>
            <w:r>
              <w:t>0025</w:t>
            </w:r>
          </w:p>
        </w:tc>
        <w:tc>
          <w:tcPr>
            <w:tcW w:w="8119" w:type="dxa"/>
            <w:tcBorders>
              <w:top w:val="single" w:sz="4" w:space="0" w:color="1A171C"/>
              <w:left w:val="single" w:sz="4" w:space="0" w:color="1A171C"/>
              <w:bottom w:val="single" w:sz="4" w:space="0" w:color="1A171C"/>
              <w:right w:val="nil"/>
            </w:tcBorders>
            <w:vAlign w:val="center"/>
          </w:tcPr>
          <w:p w14:paraId="7FE1B75E" w14:textId="77777777" w:rsidR="00B81226" w:rsidRDefault="00B82AC2">
            <w:pPr>
              <w:pStyle w:val="P68B1DB1-TableParagraph14"/>
              <w:spacing w:before="108"/>
              <w:ind w:left="85"/>
              <w:jc w:val="both"/>
              <w:rPr>
                <w:bCs/>
              </w:rPr>
            </w:pPr>
            <w:r>
              <w:t>Koodin tyyppi</w:t>
            </w:r>
          </w:p>
          <w:p w14:paraId="7FE1B75F" w14:textId="2A2E5952" w:rsidR="00B81226" w:rsidRDefault="00B82AC2">
            <w:pPr>
              <w:pStyle w:val="P68B1DB1-TableParagraph13"/>
              <w:spacing w:before="108"/>
              <w:ind w:left="85"/>
              <w:jc w:val="both"/>
              <w:rPr>
                <w:bCs/>
              </w:rPr>
            </w:pPr>
            <w:r>
              <w:t xml:space="preserve">Koodin on oltava sama kuin lomakkeessa Z 01.01 (ORG 1). </w:t>
            </w:r>
          </w:p>
          <w:p w14:paraId="7FE1B761" w14:textId="635A8A91" w:rsidR="00B81226" w:rsidRDefault="00B82AC2">
            <w:pPr>
              <w:pStyle w:val="P68B1DB1-TableParagraph13"/>
              <w:spacing w:before="108"/>
              <w:ind w:left="85"/>
              <w:jc w:val="both"/>
              <w:rPr>
                <w:bCs/>
              </w:rPr>
            </w:pPr>
            <w:r>
              <w:t>Tässä on valittava seuraavista vaihtoehdoista: LEI-tunnus, MFI-tunnus tai muu tunnisteen tyyppi kuin LEI- tai MFI-tunnus</w:t>
            </w:r>
          </w:p>
          <w:p w14:paraId="7FE1B762" w14:textId="77777777" w:rsidR="00B81226" w:rsidRDefault="00B82AC2">
            <w:pPr>
              <w:pStyle w:val="P68B1DB1-TableParagraph13"/>
              <w:spacing w:before="108"/>
              <w:ind w:left="85"/>
              <w:jc w:val="both"/>
              <w:rPr>
                <w:b/>
                <w:bCs/>
              </w:rPr>
            </w:pPr>
            <w:r>
              <w:t>Yhteisöjen tai sijoituskohteiden tunnistamiseksi on käytettävä koodi- ja tyyppiparia johdonmukaisesti kaikissa lomakkeissa.</w:t>
            </w:r>
          </w:p>
        </w:tc>
      </w:tr>
      <w:tr w:rsidR="00B81226" w14:paraId="7FE1B767" w14:textId="77777777">
        <w:tc>
          <w:tcPr>
            <w:tcW w:w="907" w:type="dxa"/>
            <w:tcBorders>
              <w:top w:val="single" w:sz="4" w:space="0" w:color="1A171C"/>
              <w:left w:val="nil"/>
              <w:bottom w:val="single" w:sz="4" w:space="0" w:color="1A171C"/>
              <w:right w:val="single" w:sz="4" w:space="0" w:color="1A171C"/>
            </w:tcBorders>
            <w:vAlign w:val="center"/>
          </w:tcPr>
          <w:p w14:paraId="7FE1B764" w14:textId="2382C727" w:rsidR="00B81226" w:rsidRDefault="00B82AC2">
            <w:pPr>
              <w:pStyle w:val="P68B1DB1-TableParagraph13"/>
              <w:spacing w:before="106"/>
              <w:ind w:left="-1"/>
            </w:pPr>
            <w:r>
              <w:t xml:space="preserve">0030–0045 </w:t>
            </w:r>
          </w:p>
        </w:tc>
        <w:tc>
          <w:tcPr>
            <w:tcW w:w="8119" w:type="dxa"/>
            <w:tcBorders>
              <w:top w:val="single" w:sz="4" w:space="0" w:color="1A171C"/>
              <w:left w:val="single" w:sz="4" w:space="0" w:color="1A171C"/>
              <w:bottom w:val="single" w:sz="4" w:space="0" w:color="1A171C"/>
              <w:right w:val="nil"/>
            </w:tcBorders>
            <w:vAlign w:val="center"/>
          </w:tcPr>
          <w:p w14:paraId="7FE1B765" w14:textId="77777777" w:rsidR="00B81226" w:rsidRDefault="00B82AC2">
            <w:pPr>
              <w:pStyle w:val="P68B1DB1-TableParagraph14"/>
              <w:spacing w:before="108"/>
              <w:ind w:left="85"/>
              <w:jc w:val="both"/>
              <w:rPr>
                <w:bCs/>
              </w:rPr>
            </w:pPr>
            <w:r>
              <w:t>Luotonantaja, haltija tai takauksen antaja</w:t>
            </w:r>
          </w:p>
          <w:p w14:paraId="7FE1B766" w14:textId="77777777" w:rsidR="00B81226" w:rsidRDefault="00B82AC2">
            <w:pPr>
              <w:pStyle w:val="P68B1DB1-TableParagraph17"/>
              <w:spacing w:before="108"/>
              <w:ind w:left="85"/>
              <w:jc w:val="both"/>
            </w:pPr>
            <w:r>
              <w:t>Oikeushenkilö, joka on velan velkoja, pääomainstrumentin haltija tai takauksen antaja.</w:t>
            </w:r>
          </w:p>
        </w:tc>
      </w:tr>
      <w:tr w:rsidR="00B81226" w14:paraId="7FE1B76B" w14:textId="77777777">
        <w:tc>
          <w:tcPr>
            <w:tcW w:w="907" w:type="dxa"/>
            <w:tcBorders>
              <w:top w:val="single" w:sz="4" w:space="0" w:color="1A171C"/>
              <w:left w:val="nil"/>
              <w:bottom w:val="single" w:sz="4" w:space="0" w:color="1A171C"/>
              <w:right w:val="single" w:sz="4" w:space="0" w:color="1A171C"/>
            </w:tcBorders>
            <w:vAlign w:val="center"/>
          </w:tcPr>
          <w:p w14:paraId="7FE1B768" w14:textId="77777777" w:rsidR="00B81226" w:rsidRDefault="00B82AC2">
            <w:pPr>
              <w:pStyle w:val="P68B1DB1-TableParagraph13"/>
              <w:spacing w:before="106"/>
              <w:ind w:left="-1"/>
            </w:pPr>
            <w:r>
              <w:t xml:space="preserve">0030 </w:t>
            </w:r>
          </w:p>
        </w:tc>
        <w:tc>
          <w:tcPr>
            <w:tcW w:w="8119" w:type="dxa"/>
            <w:tcBorders>
              <w:top w:val="single" w:sz="4" w:space="0" w:color="1A171C"/>
              <w:left w:val="single" w:sz="4" w:space="0" w:color="1A171C"/>
              <w:bottom w:val="single" w:sz="4" w:space="0" w:color="1A171C"/>
              <w:right w:val="nil"/>
            </w:tcBorders>
            <w:vAlign w:val="center"/>
          </w:tcPr>
          <w:p w14:paraId="7FE1B769" w14:textId="77777777" w:rsidR="00B81226" w:rsidRDefault="00B82AC2">
            <w:pPr>
              <w:pStyle w:val="P68B1DB1-TableParagraph14"/>
              <w:spacing w:before="108"/>
              <w:ind w:left="85"/>
              <w:jc w:val="both"/>
              <w:rPr>
                <w:bCs/>
              </w:rPr>
            </w:pPr>
            <w:r>
              <w:t xml:space="preserve">Yhteisön nimi </w:t>
            </w:r>
          </w:p>
          <w:p w14:paraId="7FE1B76A" w14:textId="77777777" w:rsidR="00B81226" w:rsidRDefault="00B82AC2">
            <w:pPr>
              <w:pStyle w:val="P68B1DB1-TableParagraph17"/>
              <w:spacing w:before="108"/>
              <w:ind w:left="85"/>
              <w:jc w:val="both"/>
            </w:pPr>
            <w:r>
              <w:t xml:space="preserve">Se ei saa olla sama kuin sarakkeessa 0010 ilmoitettu yhteisön nimi. </w:t>
            </w:r>
          </w:p>
        </w:tc>
      </w:tr>
      <w:tr w:rsidR="00B81226" w14:paraId="7FE1B771" w14:textId="77777777">
        <w:tc>
          <w:tcPr>
            <w:tcW w:w="907" w:type="dxa"/>
            <w:tcBorders>
              <w:top w:val="single" w:sz="4" w:space="0" w:color="1A171C"/>
              <w:left w:val="nil"/>
              <w:bottom w:val="single" w:sz="4" w:space="0" w:color="1A171C"/>
              <w:right w:val="single" w:sz="4" w:space="0" w:color="1A171C"/>
            </w:tcBorders>
            <w:vAlign w:val="center"/>
          </w:tcPr>
          <w:p w14:paraId="7FE1B76C" w14:textId="77777777" w:rsidR="00B81226" w:rsidRDefault="00B82AC2">
            <w:pPr>
              <w:pStyle w:val="P68B1DB1-TableParagraph13"/>
              <w:spacing w:before="106"/>
              <w:ind w:left="-1"/>
            </w:pPr>
            <w:r>
              <w:lastRenderedPageBreak/>
              <w:t xml:space="preserve">0040 </w:t>
            </w:r>
          </w:p>
        </w:tc>
        <w:tc>
          <w:tcPr>
            <w:tcW w:w="8119" w:type="dxa"/>
            <w:tcBorders>
              <w:top w:val="single" w:sz="4" w:space="0" w:color="1A171C"/>
              <w:left w:val="single" w:sz="4" w:space="0" w:color="1A171C"/>
              <w:bottom w:val="single" w:sz="4" w:space="0" w:color="1A171C"/>
              <w:right w:val="nil"/>
            </w:tcBorders>
            <w:vAlign w:val="center"/>
          </w:tcPr>
          <w:p w14:paraId="7FE1B76D" w14:textId="77777777" w:rsidR="00B81226" w:rsidRDefault="00B82AC2">
            <w:pPr>
              <w:pStyle w:val="P68B1DB1-TableParagraph14"/>
              <w:spacing w:before="108"/>
              <w:ind w:left="85"/>
              <w:jc w:val="both"/>
              <w:rPr>
                <w:bCs/>
              </w:rPr>
            </w:pPr>
            <w:r>
              <w:t>Koodi</w:t>
            </w:r>
          </w:p>
          <w:p w14:paraId="07AEB6DE" w14:textId="77777777" w:rsidR="00B81226" w:rsidRDefault="00B82AC2">
            <w:pPr>
              <w:pStyle w:val="P68B1DB1-TableParagraph17"/>
              <w:spacing w:before="108"/>
              <w:ind w:left="85"/>
              <w:jc w:val="both"/>
            </w:pPr>
            <w:r>
              <w:t xml:space="preserve">Velkojan, haltijan tai takauksen antajan koodi. </w:t>
            </w:r>
          </w:p>
          <w:p w14:paraId="706B20DB" w14:textId="77777777" w:rsidR="00B81226" w:rsidRDefault="00B82AC2">
            <w:pPr>
              <w:pStyle w:val="P68B1DB1-TableParagraph17"/>
              <w:spacing w:before="108"/>
              <w:ind w:left="85"/>
              <w:jc w:val="both"/>
            </w:pPr>
            <w:r>
              <w:t>Laitoksista, joilla on oikeushenkilötunnus (LEI), 20-merkkinen aakkosnumeerinen LEI-tunnus;</w:t>
            </w:r>
          </w:p>
          <w:p w14:paraId="69DCA339" w14:textId="67781040" w:rsidR="00B81226" w:rsidRDefault="00B82AC2">
            <w:pPr>
              <w:pStyle w:val="P68B1DB1-TableParagraph17"/>
              <w:spacing w:before="108"/>
              <w:ind w:left="85"/>
              <w:jc w:val="both"/>
            </w:pPr>
            <w:r>
              <w:t>Jos sellaista ei ole, käytetään rahalaitoskoodia tai unionissa sovellettavan yhtenäisen koodin mukaista koodia.</w:t>
            </w:r>
          </w:p>
          <w:p w14:paraId="7FE1B76F" w14:textId="02D6147D" w:rsidR="00B81226" w:rsidRDefault="00B82AC2">
            <w:pPr>
              <w:pStyle w:val="P68B1DB1-TableParagraph17"/>
              <w:spacing w:before="108"/>
              <w:ind w:left="85"/>
              <w:jc w:val="both"/>
            </w:pPr>
            <w:r>
              <w:t>Koodin on oltava yksilöllinen, ja sitä on käytettävä johdonmukaisesti lomakkeissa.</w:t>
            </w:r>
          </w:p>
          <w:p w14:paraId="1E86BFA0" w14:textId="77777777" w:rsidR="00B81226" w:rsidRDefault="00B82AC2">
            <w:pPr>
              <w:pStyle w:val="P68B1DB1-TableParagraph17"/>
              <w:spacing w:before="108"/>
              <w:ind w:left="85"/>
              <w:jc w:val="both"/>
            </w:pPr>
            <w:r>
              <w:t>Se ei saa olla sama kuin sarakkeessa 0020 ilmoitettu koodi.</w:t>
            </w:r>
          </w:p>
          <w:p w14:paraId="7FE1B770" w14:textId="276B100A" w:rsidR="00B81226" w:rsidRDefault="00B82AC2">
            <w:pPr>
              <w:pStyle w:val="P68B1DB1-TableParagraph13"/>
              <w:spacing w:before="108"/>
              <w:ind w:left="85"/>
              <w:jc w:val="both"/>
              <w:rPr>
                <w:rFonts w:eastAsia="Cambria"/>
              </w:rPr>
            </w:pPr>
            <w:r>
              <w:t>Jos velkojasta, haltijasta tai takausantajaa on konserniyhteisö, koodin on oltava sama kuin se, joka on ilmoitettu lomakkeessa Z 01.01 (ORG 1). Yhteisöjen tai sijoituskohteiden tunnistamiseksi on käytettävä koodi- ja tyyppiparia johdonmukaisesti kaikissa lomakkeissa.</w:t>
            </w:r>
          </w:p>
        </w:tc>
      </w:tr>
      <w:tr w:rsidR="00B81226" w14:paraId="7FE1B778" w14:textId="77777777">
        <w:tc>
          <w:tcPr>
            <w:tcW w:w="907" w:type="dxa"/>
            <w:tcBorders>
              <w:top w:val="single" w:sz="4" w:space="0" w:color="1A171C"/>
              <w:left w:val="nil"/>
              <w:bottom w:val="single" w:sz="4" w:space="0" w:color="1A171C"/>
              <w:right w:val="single" w:sz="4" w:space="0" w:color="1A171C"/>
            </w:tcBorders>
            <w:vAlign w:val="center"/>
          </w:tcPr>
          <w:p w14:paraId="7FE1B772" w14:textId="77777777" w:rsidR="00B81226" w:rsidRDefault="00B82AC2">
            <w:pPr>
              <w:pStyle w:val="P68B1DB1-TableParagraph13"/>
              <w:spacing w:before="106"/>
              <w:ind w:left="-1"/>
            </w:pPr>
            <w:r>
              <w:t>0045</w:t>
            </w:r>
          </w:p>
        </w:tc>
        <w:tc>
          <w:tcPr>
            <w:tcW w:w="8119" w:type="dxa"/>
            <w:tcBorders>
              <w:top w:val="single" w:sz="4" w:space="0" w:color="1A171C"/>
              <w:left w:val="single" w:sz="4" w:space="0" w:color="1A171C"/>
              <w:bottom w:val="single" w:sz="4" w:space="0" w:color="1A171C"/>
              <w:right w:val="nil"/>
            </w:tcBorders>
            <w:vAlign w:val="center"/>
          </w:tcPr>
          <w:p w14:paraId="7FE1B773" w14:textId="77777777" w:rsidR="00B81226" w:rsidRDefault="00B82AC2">
            <w:pPr>
              <w:pStyle w:val="P68B1DB1-TableParagraph14"/>
              <w:spacing w:before="108"/>
              <w:ind w:left="85"/>
              <w:jc w:val="both"/>
              <w:rPr>
                <w:bCs/>
              </w:rPr>
            </w:pPr>
            <w:r>
              <w:t>Koodin tyyppi</w:t>
            </w:r>
          </w:p>
          <w:p w14:paraId="00DFF190" w14:textId="04144C55" w:rsidR="00B81226" w:rsidRDefault="00B81226">
            <w:pPr>
              <w:pStyle w:val="TableParagraph"/>
              <w:spacing w:before="108"/>
              <w:ind w:left="85"/>
              <w:jc w:val="both"/>
              <w:rPr>
                <w:rFonts w:ascii="Times New Roman" w:hAnsi="Times New Roman" w:cs="Times New Roman"/>
                <w:bCs/>
                <w:color w:val="000000" w:themeColor="text1"/>
                <w:sz w:val="20"/>
                <w:szCs w:val="20"/>
              </w:rPr>
            </w:pPr>
          </w:p>
          <w:p w14:paraId="1CBCA0DC" w14:textId="04764F45" w:rsidR="00B81226" w:rsidRDefault="00B82AC2">
            <w:pPr>
              <w:pStyle w:val="P68B1DB1-TableParagraph13"/>
              <w:spacing w:before="108" w:line="276" w:lineRule="auto"/>
              <w:ind w:left="85"/>
              <w:jc w:val="both"/>
              <w:rPr>
                <w:color w:val="000000"/>
              </w:rPr>
            </w:pPr>
            <w:bookmarkStart w:id="65" w:name="_Hlk191377037"/>
            <w:r>
              <w:t>Tässä on valittava seuraavista vaihtoehdoista: LEI-tunnus, MFI-tunnus tai muu tunnisteen tyyppi kuin LEI- tai MFI-tunnus</w:t>
            </w:r>
            <w:bookmarkEnd w:id="65"/>
          </w:p>
          <w:p w14:paraId="072CFC22" w14:textId="7B94F65F" w:rsidR="00B81226" w:rsidRDefault="00B82AC2">
            <w:pPr>
              <w:pStyle w:val="P68B1DB1-TableParagraph13"/>
              <w:spacing w:before="108" w:line="276" w:lineRule="auto"/>
              <w:ind w:left="85"/>
              <w:jc w:val="both"/>
              <w:rPr>
                <w:color w:val="000000"/>
              </w:rPr>
            </w:pPr>
            <w:r>
              <w:t>Koodin tyyppi on aina ilmoitettava.</w:t>
            </w:r>
          </w:p>
          <w:p w14:paraId="63D16443" w14:textId="77777777" w:rsidR="00B81226" w:rsidRDefault="00B82AC2">
            <w:pPr>
              <w:pStyle w:val="P68B1DB1-TableParagraph13"/>
              <w:spacing w:before="108" w:line="276" w:lineRule="auto"/>
              <w:ind w:left="85"/>
              <w:jc w:val="both"/>
              <w:rPr>
                <w:color w:val="000000"/>
              </w:rPr>
            </w:pPr>
            <w:r>
              <w:t>Jos velkoja, haltija tai takuun antaja ei ole konserniyhteisö, koodin tyyppi on mieluiten LEI-tunnus.</w:t>
            </w:r>
          </w:p>
          <w:p w14:paraId="7FE1B777" w14:textId="69660BC3" w:rsidR="00B81226" w:rsidRDefault="00B81226">
            <w:pPr>
              <w:pStyle w:val="TableParagraph"/>
              <w:spacing w:before="108"/>
              <w:ind w:left="85"/>
              <w:jc w:val="both"/>
              <w:rPr>
                <w:rFonts w:ascii="Times New Roman" w:hAnsi="Times New Roman" w:cs="Times New Roman"/>
                <w:b/>
                <w:bCs/>
                <w:color w:val="000000" w:themeColor="text1"/>
                <w:sz w:val="20"/>
                <w:szCs w:val="20"/>
              </w:rPr>
            </w:pPr>
          </w:p>
        </w:tc>
      </w:tr>
      <w:tr w:rsidR="00B81226" w14:paraId="7FE1B77C" w14:textId="77777777">
        <w:tc>
          <w:tcPr>
            <w:tcW w:w="907" w:type="dxa"/>
            <w:tcBorders>
              <w:top w:val="single" w:sz="4" w:space="0" w:color="1A171C"/>
              <w:left w:val="nil"/>
              <w:bottom w:val="single" w:sz="4" w:space="0" w:color="1A171C"/>
              <w:right w:val="single" w:sz="4" w:space="0" w:color="1A171C"/>
            </w:tcBorders>
            <w:vAlign w:val="center"/>
          </w:tcPr>
          <w:p w14:paraId="7FE1B779" w14:textId="77777777" w:rsidR="00B81226" w:rsidRDefault="00B82AC2">
            <w:pPr>
              <w:pStyle w:val="P68B1DB1-TableParagraph13"/>
              <w:spacing w:before="106"/>
              <w:ind w:left="-1"/>
            </w:pPr>
            <w:r>
              <w:t xml:space="preserve">0050–0080 </w:t>
            </w:r>
          </w:p>
        </w:tc>
        <w:tc>
          <w:tcPr>
            <w:tcW w:w="8119" w:type="dxa"/>
            <w:tcBorders>
              <w:top w:val="single" w:sz="4" w:space="0" w:color="1A171C"/>
              <w:left w:val="single" w:sz="4" w:space="0" w:color="1A171C"/>
              <w:bottom w:val="single" w:sz="4" w:space="0" w:color="1A171C"/>
              <w:right w:val="nil"/>
            </w:tcBorders>
            <w:vAlign w:val="center"/>
          </w:tcPr>
          <w:p w14:paraId="7FE1B77A" w14:textId="77777777" w:rsidR="00B81226" w:rsidRDefault="00B82AC2">
            <w:pPr>
              <w:pStyle w:val="P68B1DB1-TableParagraph14"/>
              <w:spacing w:before="108"/>
              <w:ind w:left="85"/>
              <w:jc w:val="both"/>
              <w:rPr>
                <w:bCs/>
              </w:rPr>
            </w:pPr>
            <w:r>
              <w:t>Taloudellinen sidos</w:t>
            </w:r>
          </w:p>
          <w:p w14:paraId="7FE1B77B" w14:textId="079D8C41" w:rsidR="00B81226" w:rsidRDefault="00B82AC2">
            <w:pPr>
              <w:pStyle w:val="P68B1DB1-TableParagraph17"/>
              <w:spacing w:before="108"/>
              <w:ind w:left="85"/>
              <w:jc w:val="both"/>
            </w:pPr>
            <w:r>
              <w:t>Tässä kentässä kuvataan merkityksellisten oikeushenkilöiden välistä taloudellista sidoksia.</w:t>
            </w:r>
          </w:p>
        </w:tc>
      </w:tr>
      <w:tr w:rsidR="00B81226" w14:paraId="7FE1B7A9" w14:textId="77777777">
        <w:tc>
          <w:tcPr>
            <w:tcW w:w="907" w:type="dxa"/>
            <w:tcBorders>
              <w:top w:val="single" w:sz="4" w:space="0" w:color="1A171C"/>
              <w:left w:val="nil"/>
              <w:bottom w:val="single" w:sz="4" w:space="0" w:color="1A171C"/>
              <w:right w:val="single" w:sz="4" w:space="0" w:color="1A171C"/>
            </w:tcBorders>
            <w:vAlign w:val="center"/>
          </w:tcPr>
          <w:p w14:paraId="7FE1B77D" w14:textId="77777777" w:rsidR="00B81226" w:rsidRDefault="00B82AC2">
            <w:pPr>
              <w:pStyle w:val="P68B1DB1-TableParagraph13"/>
              <w:spacing w:before="106"/>
              <w:ind w:left="-1"/>
            </w:pPr>
            <w:r>
              <w:t xml:space="preserve">0050 </w:t>
            </w:r>
          </w:p>
        </w:tc>
        <w:tc>
          <w:tcPr>
            <w:tcW w:w="8119" w:type="dxa"/>
            <w:tcBorders>
              <w:top w:val="single" w:sz="4" w:space="0" w:color="1A171C"/>
              <w:left w:val="single" w:sz="4" w:space="0" w:color="1A171C"/>
              <w:bottom w:val="single" w:sz="4" w:space="0" w:color="1A171C"/>
              <w:right w:val="nil"/>
            </w:tcBorders>
            <w:vAlign w:val="center"/>
          </w:tcPr>
          <w:p w14:paraId="7FE1B77E" w14:textId="77777777" w:rsidR="00B81226" w:rsidRDefault="00B82AC2">
            <w:pPr>
              <w:pStyle w:val="P68B1DB1-TableParagraph14"/>
              <w:spacing w:before="108"/>
              <w:ind w:left="85"/>
              <w:jc w:val="both"/>
              <w:rPr>
                <w:bCs/>
              </w:rPr>
            </w:pPr>
            <w:r>
              <w:t>Tyyppi</w:t>
            </w:r>
          </w:p>
          <w:p w14:paraId="7FE1B77F" w14:textId="77777777" w:rsidR="00B81226" w:rsidRDefault="00B82AC2">
            <w:pPr>
              <w:pStyle w:val="P68B1DB1-TableParagraph17"/>
              <w:spacing w:before="108"/>
              <w:ind w:left="85"/>
              <w:jc w:val="both"/>
            </w:pPr>
            <w:r>
              <w:t>Valitaan jokin seuraavasta luettelosta:</w:t>
            </w:r>
          </w:p>
          <w:p w14:paraId="7FE1B780" w14:textId="77777777" w:rsidR="00B81226" w:rsidRDefault="00B82AC2">
            <w:pPr>
              <w:pStyle w:val="P68B1DB1-TableParagraph24"/>
              <w:spacing w:before="108"/>
              <w:ind w:left="85"/>
              <w:jc w:val="both"/>
            </w:pPr>
            <w:r>
              <w:t>Konsernin sisäiset velat</w:t>
            </w:r>
          </w:p>
          <w:p w14:paraId="7FE1B781" w14:textId="77777777" w:rsidR="00B81226" w:rsidRDefault="00B81226">
            <w:pPr>
              <w:pStyle w:val="TableParagraph"/>
              <w:spacing w:before="108"/>
              <w:ind w:left="85"/>
              <w:jc w:val="both"/>
              <w:rPr>
                <w:rFonts w:ascii="Times New Roman" w:eastAsia="Cambria" w:hAnsi="Times New Roman" w:cs="Times New Roman"/>
                <w:color w:val="000000" w:themeColor="text1"/>
                <w:sz w:val="20"/>
                <w:szCs w:val="20"/>
                <w:u w:val="single"/>
              </w:rPr>
            </w:pPr>
          </w:p>
          <w:p w14:paraId="7FE1B782" w14:textId="421A42AD" w:rsidR="00B81226" w:rsidRDefault="00B82AC2">
            <w:pPr>
              <w:pStyle w:val="P68B1DB1-ListParagraph25"/>
              <w:numPr>
                <w:ilvl w:val="0"/>
                <w:numId w:val="54"/>
              </w:numPr>
              <w:autoSpaceDE w:val="0"/>
              <w:autoSpaceDN w:val="0"/>
              <w:adjustRightInd w:val="0"/>
              <w:ind w:left="539" w:hanging="454"/>
              <w:contextualSpacing/>
              <w:jc w:val="both"/>
            </w:pPr>
            <w:r>
              <w:t xml:space="preserve">Velat, jotka jätetään velkakirjojen arvon alaskirjauksen tai omaksi pääomaksi muuntamisen ulkopuolelle </w:t>
            </w:r>
          </w:p>
          <w:p w14:paraId="7FE1B783" w14:textId="047CAF02" w:rsidR="00B81226" w:rsidRDefault="00B82AC2">
            <w:pPr>
              <w:pStyle w:val="P68B1DB1-ListParagraph25"/>
              <w:autoSpaceDE w:val="0"/>
              <w:autoSpaceDN w:val="0"/>
              <w:adjustRightInd w:val="0"/>
              <w:ind w:left="539"/>
              <w:contextualSpacing/>
              <w:jc w:val="both"/>
            </w:pPr>
            <w:r>
              <w:t>Sama määritelmä kuin Z 02.00 (LIAB 1), rivi 0100</w:t>
            </w:r>
          </w:p>
          <w:p w14:paraId="7FE1B784" w14:textId="77777777" w:rsidR="00B81226" w:rsidRDefault="00B82AC2">
            <w:pPr>
              <w:pStyle w:val="P68B1DB1-ListParagraph25"/>
              <w:numPr>
                <w:ilvl w:val="0"/>
                <w:numId w:val="54"/>
              </w:numPr>
              <w:autoSpaceDE w:val="0"/>
              <w:autoSpaceDN w:val="0"/>
              <w:adjustRightInd w:val="0"/>
              <w:ind w:left="539" w:hanging="454"/>
              <w:contextualSpacing/>
              <w:jc w:val="both"/>
            </w:pPr>
            <w:r>
              <w:t>Talletukset, joita ei ole suojattu mutta jotka ovat etuuskohteluun oikeutettuja</w:t>
            </w:r>
          </w:p>
          <w:p w14:paraId="7FE1B785" w14:textId="69E9007C" w:rsidR="00B81226" w:rsidRDefault="00B82AC2">
            <w:pPr>
              <w:pStyle w:val="P68B1DB1-ListParagraph25"/>
              <w:autoSpaceDE w:val="0"/>
              <w:autoSpaceDN w:val="0"/>
              <w:adjustRightInd w:val="0"/>
              <w:ind w:left="539"/>
              <w:jc w:val="both"/>
            </w:pPr>
            <w:r>
              <w:t>Sama määritelmä kuin Z 02.00 (LIAB 1), rivi 0310</w:t>
            </w:r>
          </w:p>
          <w:p w14:paraId="7FE1B786" w14:textId="77777777" w:rsidR="00B81226" w:rsidRDefault="00B82AC2">
            <w:pPr>
              <w:pStyle w:val="P68B1DB1-ListParagraph25"/>
              <w:numPr>
                <w:ilvl w:val="0"/>
                <w:numId w:val="54"/>
              </w:numPr>
              <w:autoSpaceDE w:val="0"/>
              <w:autoSpaceDN w:val="0"/>
              <w:adjustRightInd w:val="0"/>
              <w:ind w:left="539" w:hanging="454"/>
              <w:contextualSpacing/>
              <w:jc w:val="both"/>
            </w:pPr>
            <w:r>
              <w:t>Talletukset, joita ei ole suojattu ja jotka eivät ole etuuskohteluun oikeutettuja</w:t>
            </w:r>
          </w:p>
          <w:p w14:paraId="7FE1B787" w14:textId="4FA7AC10" w:rsidR="00B81226" w:rsidRDefault="00B82AC2">
            <w:pPr>
              <w:pStyle w:val="P68B1DB1-ListParagraph25"/>
              <w:autoSpaceDE w:val="0"/>
              <w:autoSpaceDN w:val="0"/>
              <w:adjustRightInd w:val="0"/>
              <w:ind w:left="539"/>
              <w:jc w:val="both"/>
            </w:pPr>
            <w:r>
              <w:t>Sama määritelmä kuin Z 02.00 (LIAB 1), rivi 0320</w:t>
            </w:r>
          </w:p>
          <w:p w14:paraId="7FE1B788" w14:textId="77777777" w:rsidR="00B81226" w:rsidRDefault="00B82AC2">
            <w:pPr>
              <w:pStyle w:val="P68B1DB1-ListParagraph25"/>
              <w:numPr>
                <w:ilvl w:val="0"/>
                <w:numId w:val="54"/>
              </w:numPr>
              <w:autoSpaceDE w:val="0"/>
              <w:autoSpaceDN w:val="0"/>
              <w:adjustRightInd w:val="0"/>
              <w:ind w:left="539" w:hanging="454"/>
              <w:contextualSpacing/>
              <w:jc w:val="both"/>
            </w:pPr>
            <w:r>
              <w:t>Johdannaisista johtuvat velat (sulkeutumismäärät)</w:t>
            </w:r>
          </w:p>
          <w:p w14:paraId="7FE1B789" w14:textId="5DAB7051" w:rsidR="00B81226" w:rsidRDefault="00B82AC2">
            <w:pPr>
              <w:pStyle w:val="P68B1DB1-ListParagraph25"/>
              <w:autoSpaceDE w:val="0"/>
              <w:autoSpaceDN w:val="0"/>
              <w:adjustRightInd w:val="0"/>
              <w:ind w:left="539"/>
              <w:jc w:val="both"/>
            </w:pPr>
            <w:r>
              <w:t>Sama määritelmä kuin Z 02.00 (LIAB 1), rivi 0330</w:t>
            </w:r>
          </w:p>
          <w:p w14:paraId="7FE1B78A" w14:textId="77777777" w:rsidR="00B81226" w:rsidRDefault="00B82AC2">
            <w:pPr>
              <w:pStyle w:val="P68B1DB1-ListParagraph25"/>
              <w:numPr>
                <w:ilvl w:val="0"/>
                <w:numId w:val="54"/>
              </w:numPr>
              <w:autoSpaceDE w:val="0"/>
              <w:autoSpaceDN w:val="0"/>
              <w:adjustRightInd w:val="0"/>
              <w:ind w:left="539" w:hanging="454"/>
              <w:contextualSpacing/>
              <w:jc w:val="both"/>
            </w:pPr>
            <w:r>
              <w:t>Alivakuudelliset velat (”uncollateralised secured liabilities”)</w:t>
            </w:r>
          </w:p>
          <w:p w14:paraId="7FE1B78B" w14:textId="5B0021F4" w:rsidR="00B81226" w:rsidRDefault="00B82AC2">
            <w:pPr>
              <w:pStyle w:val="P68B1DB1-ListParagraph25"/>
              <w:autoSpaceDE w:val="0"/>
              <w:autoSpaceDN w:val="0"/>
              <w:adjustRightInd w:val="0"/>
              <w:ind w:left="539"/>
              <w:jc w:val="both"/>
            </w:pPr>
            <w:r>
              <w:t>Sama määritelmä kuin Z 02.00 (LIAB 1), rivi 0340</w:t>
            </w:r>
          </w:p>
          <w:p w14:paraId="7FE1B78C" w14:textId="77777777" w:rsidR="00B81226" w:rsidRDefault="00B82AC2">
            <w:pPr>
              <w:pStyle w:val="P68B1DB1-ListParagraph25"/>
              <w:numPr>
                <w:ilvl w:val="0"/>
                <w:numId w:val="54"/>
              </w:numPr>
              <w:autoSpaceDE w:val="0"/>
              <w:autoSpaceDN w:val="0"/>
              <w:adjustRightInd w:val="0"/>
              <w:ind w:left="539" w:hanging="454"/>
              <w:contextualSpacing/>
              <w:jc w:val="both"/>
            </w:pPr>
            <w:r>
              <w:t>Strukturoidut velkakirjat</w:t>
            </w:r>
          </w:p>
          <w:p w14:paraId="7FE1B78D" w14:textId="7DF4D7F4" w:rsidR="00B81226" w:rsidRDefault="00B82AC2">
            <w:pPr>
              <w:pStyle w:val="P68B1DB1-ListParagraph25"/>
              <w:autoSpaceDE w:val="0"/>
              <w:autoSpaceDN w:val="0"/>
              <w:adjustRightInd w:val="0"/>
              <w:ind w:left="539"/>
              <w:jc w:val="both"/>
            </w:pPr>
            <w:r>
              <w:t>Sama määritelmä kuin Z 02.00 (LIAB 1), rivi 0350</w:t>
            </w:r>
          </w:p>
          <w:p w14:paraId="7FE1B78E" w14:textId="77777777" w:rsidR="00B81226" w:rsidRDefault="00B82AC2">
            <w:pPr>
              <w:pStyle w:val="P68B1DB1-ListParagraph25"/>
              <w:numPr>
                <w:ilvl w:val="0"/>
                <w:numId w:val="54"/>
              </w:numPr>
              <w:autoSpaceDE w:val="0"/>
              <w:autoSpaceDN w:val="0"/>
              <w:adjustRightInd w:val="0"/>
              <w:ind w:left="539" w:hanging="454"/>
              <w:contextualSpacing/>
              <w:jc w:val="both"/>
            </w:pPr>
            <w:r>
              <w:t>Etuoikeutettuihin saamisiin kuuluvat vakuudettomat velat</w:t>
            </w:r>
          </w:p>
          <w:p w14:paraId="7FE1B78F" w14:textId="67CE577E" w:rsidR="00B81226" w:rsidRDefault="00B82AC2">
            <w:pPr>
              <w:pStyle w:val="P68B1DB1-ListParagraph25"/>
              <w:autoSpaceDE w:val="0"/>
              <w:autoSpaceDN w:val="0"/>
              <w:adjustRightInd w:val="0"/>
              <w:ind w:left="539"/>
              <w:jc w:val="both"/>
            </w:pPr>
            <w:r>
              <w:t>Sama määritelmä kuin Z 02.00 (LIAB 1), rivi 0360</w:t>
            </w:r>
          </w:p>
          <w:p w14:paraId="7FE1B790" w14:textId="77777777" w:rsidR="00B81226" w:rsidRDefault="00B82AC2">
            <w:pPr>
              <w:pStyle w:val="P68B1DB1-ListParagraph25"/>
              <w:numPr>
                <w:ilvl w:val="0"/>
                <w:numId w:val="54"/>
              </w:numPr>
              <w:autoSpaceDE w:val="0"/>
              <w:autoSpaceDN w:val="0"/>
              <w:adjustRightInd w:val="0"/>
              <w:ind w:left="539" w:hanging="454"/>
              <w:contextualSpacing/>
              <w:jc w:val="both"/>
            </w:pPr>
            <w:r>
              <w:t>Etuoikeutettuihin saataviin kuuluvat huonomman etuoikeudet velat eli SNP-velat (”senior non-preferred”)</w:t>
            </w:r>
          </w:p>
          <w:p w14:paraId="7FE1B791" w14:textId="6BECB3BB" w:rsidR="00B81226" w:rsidRDefault="00B82AC2">
            <w:pPr>
              <w:pStyle w:val="P68B1DB1-ListParagraph25"/>
              <w:autoSpaceDE w:val="0"/>
              <w:autoSpaceDN w:val="0"/>
              <w:adjustRightInd w:val="0"/>
              <w:ind w:left="539"/>
              <w:contextualSpacing/>
              <w:jc w:val="both"/>
            </w:pPr>
            <w:r>
              <w:t>Sama määritelmä kuin Z 02.00 (LIAB 1), rivi 0365</w:t>
            </w:r>
          </w:p>
          <w:p w14:paraId="7FE1B792" w14:textId="77777777" w:rsidR="00B81226" w:rsidRDefault="00B82AC2">
            <w:pPr>
              <w:pStyle w:val="P68B1DB1-ListParagraph25"/>
              <w:numPr>
                <w:ilvl w:val="0"/>
                <w:numId w:val="54"/>
              </w:numPr>
              <w:autoSpaceDE w:val="0"/>
              <w:autoSpaceDN w:val="0"/>
              <w:adjustRightInd w:val="0"/>
              <w:ind w:left="539" w:hanging="454"/>
              <w:contextualSpacing/>
              <w:jc w:val="both"/>
            </w:pPr>
            <w:r>
              <w:t>Etuoikeudeltaan huonommat velat</w:t>
            </w:r>
          </w:p>
          <w:p w14:paraId="7FE1B793" w14:textId="1719A947" w:rsidR="00B81226" w:rsidRDefault="00B82AC2">
            <w:pPr>
              <w:pStyle w:val="P68B1DB1-ListParagraph25"/>
              <w:autoSpaceDE w:val="0"/>
              <w:autoSpaceDN w:val="0"/>
              <w:adjustRightInd w:val="0"/>
              <w:ind w:left="539"/>
              <w:jc w:val="both"/>
            </w:pPr>
            <w:r>
              <w:t>Sama määritelmä kuin Z 02.00 (LIAB 1), rivi 0370</w:t>
            </w:r>
          </w:p>
          <w:p w14:paraId="7FE1B794" w14:textId="77777777" w:rsidR="00B81226" w:rsidRDefault="00B82AC2">
            <w:pPr>
              <w:pStyle w:val="P68B1DB1-ListParagraph25"/>
              <w:numPr>
                <w:ilvl w:val="0"/>
                <w:numId w:val="54"/>
              </w:numPr>
              <w:autoSpaceDE w:val="0"/>
              <w:autoSpaceDN w:val="0"/>
              <w:adjustRightInd w:val="0"/>
              <w:ind w:left="539" w:hanging="454"/>
              <w:contextualSpacing/>
              <w:jc w:val="both"/>
            </w:pPr>
            <w:r>
              <w:t>Muut MREL-hyväksyttävät velat</w:t>
            </w:r>
          </w:p>
          <w:p w14:paraId="7FE1B795" w14:textId="18D60D2B" w:rsidR="00B81226" w:rsidRDefault="00B82AC2">
            <w:pPr>
              <w:pStyle w:val="P68B1DB1-ListParagraph25"/>
              <w:autoSpaceDE w:val="0"/>
              <w:autoSpaceDN w:val="0"/>
              <w:adjustRightInd w:val="0"/>
              <w:ind w:left="539"/>
              <w:jc w:val="both"/>
            </w:pPr>
            <w:r>
              <w:t>Sama määritelmä kuin Z 02.00 (LIAB 1), rivi 0380</w:t>
            </w:r>
          </w:p>
          <w:p w14:paraId="7FE1B796" w14:textId="77777777" w:rsidR="00B81226" w:rsidRDefault="00B82AC2">
            <w:pPr>
              <w:pStyle w:val="P68B1DB1-ListParagraph25"/>
              <w:numPr>
                <w:ilvl w:val="0"/>
                <w:numId w:val="54"/>
              </w:numPr>
              <w:autoSpaceDE w:val="0"/>
              <w:autoSpaceDN w:val="0"/>
              <w:adjustRightInd w:val="0"/>
              <w:ind w:left="539" w:hanging="454"/>
              <w:contextualSpacing/>
              <w:jc w:val="both"/>
            </w:pPr>
            <w:r>
              <w:lastRenderedPageBreak/>
              <w:t>Rahoitusvaroihin kuulumattomat velat</w:t>
            </w:r>
          </w:p>
          <w:p w14:paraId="7FE1B797" w14:textId="03D8AF00" w:rsidR="00B81226" w:rsidRDefault="00B82AC2">
            <w:pPr>
              <w:pStyle w:val="P68B1DB1-ListParagraph25"/>
              <w:autoSpaceDE w:val="0"/>
              <w:autoSpaceDN w:val="0"/>
              <w:adjustRightInd w:val="0"/>
              <w:ind w:left="539"/>
              <w:jc w:val="both"/>
            </w:pPr>
            <w:r>
              <w:t>Sama määritelmä kuin Z 02.00 (LIAB 1), rivi 0390</w:t>
            </w:r>
          </w:p>
          <w:p w14:paraId="7FE1B798" w14:textId="77777777" w:rsidR="00B81226" w:rsidRDefault="00B82AC2">
            <w:pPr>
              <w:pStyle w:val="P68B1DB1-ListParagraph25"/>
              <w:numPr>
                <w:ilvl w:val="0"/>
                <w:numId w:val="54"/>
              </w:numPr>
              <w:autoSpaceDE w:val="0"/>
              <w:autoSpaceDN w:val="0"/>
              <w:adjustRightInd w:val="0"/>
              <w:ind w:left="539" w:hanging="454"/>
              <w:contextualSpacing/>
              <w:jc w:val="both"/>
            </w:pPr>
            <w:r>
              <w:t>Muut velat</w:t>
            </w:r>
          </w:p>
          <w:p w14:paraId="7FE1B799" w14:textId="5E01E641" w:rsidR="00B81226" w:rsidRDefault="00B82AC2">
            <w:pPr>
              <w:pStyle w:val="P68B1DB1-ListParagraph25"/>
              <w:autoSpaceDE w:val="0"/>
              <w:autoSpaceDN w:val="0"/>
              <w:adjustRightInd w:val="0"/>
              <w:ind w:left="539"/>
              <w:jc w:val="both"/>
            </w:pPr>
            <w:r>
              <w:t>Sama määritelmä kuin Z 02.00 (LIAB 1), rivi 0400. Velat, jotka eivät kuulu edellä mainittuihin eriin.</w:t>
            </w:r>
          </w:p>
          <w:p w14:paraId="7FE1B79A" w14:textId="77777777" w:rsidR="00B81226" w:rsidRDefault="00B82AC2">
            <w:pPr>
              <w:pStyle w:val="P68B1DB1-ListParagraph25"/>
              <w:numPr>
                <w:ilvl w:val="0"/>
                <w:numId w:val="54"/>
              </w:numPr>
              <w:autoSpaceDE w:val="0"/>
              <w:autoSpaceDN w:val="0"/>
              <w:adjustRightInd w:val="0"/>
              <w:ind w:left="539" w:hanging="454"/>
              <w:contextualSpacing/>
              <w:jc w:val="both"/>
            </w:pPr>
            <w:r>
              <w:t>Toissijainen pääoma (T2)</w:t>
            </w:r>
          </w:p>
          <w:p w14:paraId="7FE1B79B" w14:textId="1DC09C8A" w:rsidR="00B81226" w:rsidRDefault="00B82AC2">
            <w:pPr>
              <w:pStyle w:val="P68B1DB1-ListParagraph25"/>
              <w:autoSpaceDE w:val="0"/>
              <w:autoSpaceDN w:val="0"/>
              <w:adjustRightInd w:val="0"/>
              <w:ind w:left="539"/>
              <w:jc w:val="both"/>
            </w:pPr>
            <w:r>
              <w:t>Sama määritelmä kuin Z 02.00 (LIAB 1), rivi 0530</w:t>
            </w:r>
          </w:p>
          <w:p w14:paraId="7FE1B79C" w14:textId="77777777" w:rsidR="00B81226" w:rsidRDefault="00B82AC2">
            <w:pPr>
              <w:pStyle w:val="P68B1DB1-ListParagraph25"/>
              <w:numPr>
                <w:ilvl w:val="0"/>
                <w:numId w:val="54"/>
              </w:numPr>
              <w:autoSpaceDE w:val="0"/>
              <w:autoSpaceDN w:val="0"/>
              <w:adjustRightInd w:val="0"/>
              <w:ind w:left="539" w:hanging="454"/>
              <w:contextualSpacing/>
              <w:jc w:val="both"/>
            </w:pPr>
            <w:r>
              <w:t>Ensisijainen lisäpääoma (AT1)</w:t>
            </w:r>
          </w:p>
          <w:p w14:paraId="7FE1B79D" w14:textId="5EB7A3D7" w:rsidR="00B81226" w:rsidRDefault="00B82AC2">
            <w:pPr>
              <w:pStyle w:val="P68B1DB1-ListParagraph25"/>
              <w:autoSpaceDE w:val="0"/>
              <w:autoSpaceDN w:val="0"/>
              <w:adjustRightInd w:val="0"/>
              <w:ind w:left="539"/>
              <w:jc w:val="both"/>
            </w:pPr>
            <w:r>
              <w:t>Sama määritelmä kuin Z 02.00 (LIAB 1), rivi 0520</w:t>
            </w:r>
          </w:p>
          <w:p w14:paraId="7FE1B79E" w14:textId="77777777" w:rsidR="00B81226" w:rsidRDefault="00B82AC2">
            <w:pPr>
              <w:pStyle w:val="P68B1DB1-ListParagraph25"/>
              <w:numPr>
                <w:ilvl w:val="0"/>
                <w:numId w:val="54"/>
              </w:numPr>
              <w:autoSpaceDE w:val="0"/>
              <w:autoSpaceDN w:val="0"/>
              <w:adjustRightInd w:val="0"/>
              <w:ind w:left="539" w:hanging="454"/>
              <w:contextualSpacing/>
              <w:jc w:val="both"/>
            </w:pPr>
            <w:r>
              <w:t>Ydinpääoma (CET1)</w:t>
            </w:r>
          </w:p>
          <w:p w14:paraId="7FE1B79F" w14:textId="3DF796DF" w:rsidR="00B81226" w:rsidRDefault="00B82AC2">
            <w:pPr>
              <w:pStyle w:val="P68B1DB1-ListParagraph25"/>
              <w:autoSpaceDE w:val="0"/>
              <w:autoSpaceDN w:val="0"/>
              <w:adjustRightInd w:val="0"/>
              <w:ind w:left="539"/>
              <w:jc w:val="both"/>
            </w:pPr>
            <w:r>
              <w:t>Sama määritelmä kuin Z 02.00 (LIAB 1), rivi 0510</w:t>
            </w:r>
          </w:p>
          <w:p w14:paraId="7FE1B7A0" w14:textId="77777777" w:rsidR="00B81226" w:rsidRDefault="00B82AC2">
            <w:pPr>
              <w:pStyle w:val="P68B1DB1-TableParagraph24"/>
              <w:spacing w:before="108"/>
              <w:ind w:left="85"/>
              <w:jc w:val="both"/>
            </w:pPr>
            <w:r>
              <w:t>Konsernin sisäiset takaukset</w:t>
            </w:r>
          </w:p>
          <w:p w14:paraId="7FE1B7A1" w14:textId="426DD2CE" w:rsidR="00B81226" w:rsidRDefault="00B82AC2">
            <w:pPr>
              <w:pStyle w:val="P68B1DB1-ListParagraph25"/>
              <w:numPr>
                <w:ilvl w:val="0"/>
                <w:numId w:val="55"/>
              </w:numPr>
              <w:autoSpaceDE w:val="0"/>
              <w:autoSpaceDN w:val="0"/>
              <w:adjustRightInd w:val="0"/>
              <w:ind w:left="539" w:hanging="454"/>
              <w:contextualSpacing/>
              <w:jc w:val="both"/>
            </w:pPr>
            <w:r>
              <w:t>Liikkeeseenlaskutakuut</w:t>
            </w:r>
          </w:p>
          <w:p w14:paraId="7FE1B7A2" w14:textId="77777777" w:rsidR="00B81226" w:rsidRDefault="00B82AC2">
            <w:pPr>
              <w:pStyle w:val="P68B1DB1-ListParagraph25"/>
              <w:autoSpaceDE w:val="0"/>
              <w:autoSpaceDN w:val="0"/>
              <w:adjustRightInd w:val="0"/>
              <w:ind w:left="539"/>
              <w:jc w:val="both"/>
            </w:pPr>
            <w:r>
              <w:t>Takaukset tietyille liikkeeseen lasketuille instrumenteille/veloille</w:t>
            </w:r>
          </w:p>
          <w:p w14:paraId="7FE1B7A3" w14:textId="71CD6004" w:rsidR="00B81226" w:rsidRDefault="00B82AC2">
            <w:pPr>
              <w:pStyle w:val="P68B1DB1-ListParagraph25"/>
              <w:numPr>
                <w:ilvl w:val="0"/>
                <w:numId w:val="55"/>
              </w:numPr>
              <w:autoSpaceDE w:val="0"/>
              <w:autoSpaceDN w:val="0"/>
              <w:adjustRightInd w:val="0"/>
              <w:ind w:left="539" w:hanging="454"/>
              <w:contextualSpacing/>
              <w:jc w:val="both"/>
            </w:pPr>
            <w:r>
              <w:t>Vastapuolten takaukset</w:t>
            </w:r>
          </w:p>
          <w:p w14:paraId="7FE1B7A4" w14:textId="77777777" w:rsidR="00B81226" w:rsidRDefault="00B82AC2">
            <w:pPr>
              <w:pStyle w:val="P68B1DB1-ListParagraph25"/>
              <w:autoSpaceDE w:val="0"/>
              <w:autoSpaceDN w:val="0"/>
              <w:adjustRightInd w:val="0"/>
              <w:ind w:left="539"/>
              <w:jc w:val="both"/>
            </w:pPr>
            <w:r>
              <w:t>Laitoksen tietylle vastapuolelle myönnetyt takaukset</w:t>
            </w:r>
          </w:p>
          <w:p w14:paraId="7FE1B7A5" w14:textId="50A984E1" w:rsidR="00B81226" w:rsidRDefault="00B82AC2">
            <w:pPr>
              <w:pStyle w:val="P68B1DB1-ListParagraph25"/>
              <w:numPr>
                <w:ilvl w:val="0"/>
                <w:numId w:val="55"/>
              </w:numPr>
              <w:autoSpaceDE w:val="0"/>
              <w:autoSpaceDN w:val="0"/>
              <w:adjustRightInd w:val="0"/>
              <w:ind w:left="539" w:hanging="454"/>
              <w:contextualSpacing/>
              <w:jc w:val="both"/>
            </w:pPr>
            <w:r>
              <w:t>Rajoittamattomat takaukset</w:t>
            </w:r>
          </w:p>
          <w:p w14:paraId="7FE1B7A6" w14:textId="77777777" w:rsidR="00B81226" w:rsidRDefault="00B82AC2">
            <w:pPr>
              <w:pStyle w:val="P68B1DB1-ListParagraph25"/>
              <w:autoSpaceDE w:val="0"/>
              <w:autoSpaceDN w:val="0"/>
              <w:adjustRightInd w:val="0"/>
              <w:ind w:left="539"/>
              <w:jc w:val="both"/>
            </w:pPr>
            <w:r>
              <w:t xml:space="preserve">Yleiset takaukset, joita ei ole rajoitettu kiinteään määrään </w:t>
            </w:r>
          </w:p>
          <w:p w14:paraId="7FE1B7A7" w14:textId="391BAF8D" w:rsidR="00B81226" w:rsidRDefault="00B82AC2">
            <w:pPr>
              <w:pStyle w:val="P68B1DB1-ListParagraph25"/>
              <w:numPr>
                <w:ilvl w:val="0"/>
                <w:numId w:val="55"/>
              </w:numPr>
              <w:autoSpaceDE w:val="0"/>
              <w:autoSpaceDN w:val="0"/>
              <w:adjustRightInd w:val="0"/>
              <w:ind w:left="539" w:hanging="454"/>
              <w:contextualSpacing/>
              <w:jc w:val="both"/>
            </w:pPr>
            <w:r>
              <w:t>Muut vakuudet</w:t>
            </w:r>
          </w:p>
          <w:p w14:paraId="7FE1B7A8" w14:textId="77777777" w:rsidR="00B81226" w:rsidRDefault="00B82AC2">
            <w:pPr>
              <w:pStyle w:val="P68B1DB1-ListParagraph25"/>
              <w:autoSpaceDE w:val="0"/>
              <w:autoSpaceDN w:val="0"/>
              <w:adjustRightInd w:val="0"/>
              <w:ind w:left="539"/>
              <w:jc w:val="both"/>
            </w:pPr>
            <w:r>
              <w:t xml:space="preserve">Minkä tahansa tyyppinen takaus, joka ei kuulu mihinkään edellä mainituista tyypeistä. </w:t>
            </w:r>
          </w:p>
        </w:tc>
      </w:tr>
      <w:tr w:rsidR="00B81226" w14:paraId="7FE1B7AE" w14:textId="77777777">
        <w:tc>
          <w:tcPr>
            <w:tcW w:w="907" w:type="dxa"/>
            <w:tcBorders>
              <w:top w:val="single" w:sz="4" w:space="0" w:color="1A171C"/>
              <w:left w:val="nil"/>
              <w:bottom w:val="single" w:sz="4" w:space="0" w:color="1A171C"/>
              <w:right w:val="single" w:sz="4" w:space="0" w:color="1A171C"/>
            </w:tcBorders>
            <w:vAlign w:val="center"/>
          </w:tcPr>
          <w:p w14:paraId="7FE1B7AA" w14:textId="0E2AA2E7" w:rsidR="00B81226" w:rsidRDefault="00B82AC2">
            <w:pPr>
              <w:pStyle w:val="P68B1DB1-TableParagraph13"/>
              <w:spacing w:before="106"/>
              <w:ind w:left="-1"/>
            </w:pPr>
            <w:r>
              <w:lastRenderedPageBreak/>
              <w:t>0060–0080</w:t>
            </w:r>
          </w:p>
        </w:tc>
        <w:tc>
          <w:tcPr>
            <w:tcW w:w="8119" w:type="dxa"/>
            <w:tcBorders>
              <w:top w:val="single" w:sz="4" w:space="0" w:color="1A171C"/>
              <w:left w:val="single" w:sz="4" w:space="0" w:color="1A171C"/>
              <w:bottom w:val="single" w:sz="4" w:space="0" w:color="1A171C"/>
              <w:right w:val="nil"/>
            </w:tcBorders>
            <w:vAlign w:val="center"/>
          </w:tcPr>
          <w:p w14:paraId="7FE1B7AB" w14:textId="77777777" w:rsidR="00B81226" w:rsidRDefault="00B82AC2">
            <w:pPr>
              <w:pStyle w:val="P68B1DB1-TableParagraph14"/>
              <w:spacing w:before="108"/>
              <w:ind w:left="85"/>
              <w:jc w:val="both"/>
              <w:rPr>
                <w:bCs/>
              </w:rPr>
            </w:pPr>
            <w:r>
              <w:t>Jäljellä oleva määrä</w:t>
            </w:r>
          </w:p>
          <w:p w14:paraId="7FE1B7AC" w14:textId="0BB5F57D" w:rsidR="00B81226" w:rsidRDefault="00B82AC2">
            <w:pPr>
              <w:pStyle w:val="P68B1DB1-TableParagraph17"/>
              <w:spacing w:before="108"/>
              <w:ind w:left="85"/>
              <w:jc w:val="both"/>
            </w:pPr>
            <w:r>
              <w:t>Sarakkeessa 0050 ilmoitettujen velkojen osalta konsernin sisäisten velkojen jäljellä oleva määrä; johdannaisista aiheutuvien velkojen osalta (tyyppi L.3) sulkeutumismäärät, kuten ne on määritelty lomakkeen Z 02.00 (LIAB 1) riviä 0333 varten.</w:t>
            </w:r>
          </w:p>
          <w:p w14:paraId="7FE1B7AD" w14:textId="75442B42" w:rsidR="00B81226" w:rsidRDefault="00B82AC2">
            <w:pPr>
              <w:pStyle w:val="P68B1DB1-TableParagraph17"/>
              <w:spacing w:before="108"/>
              <w:ind w:left="85"/>
              <w:jc w:val="both"/>
            </w:pPr>
            <w:r>
              <w:t xml:space="preserve">Sarakkeessa 0050 olevien vakuuksien osalta vakuuden perusteella tulevaisuudessa suoritettavien maksujen mahdollinen enimmäismäärä. </w:t>
            </w:r>
          </w:p>
        </w:tc>
      </w:tr>
      <w:tr w:rsidR="00B81226" w14:paraId="7FE1B7B2" w14:textId="77777777">
        <w:tc>
          <w:tcPr>
            <w:tcW w:w="907" w:type="dxa"/>
            <w:tcBorders>
              <w:top w:val="single" w:sz="4" w:space="0" w:color="1A171C"/>
              <w:left w:val="nil"/>
              <w:bottom w:val="single" w:sz="4" w:space="0" w:color="1A171C"/>
              <w:right w:val="single" w:sz="4" w:space="0" w:color="1A171C"/>
            </w:tcBorders>
            <w:vAlign w:val="center"/>
          </w:tcPr>
          <w:p w14:paraId="7FE1B7AF" w14:textId="77777777" w:rsidR="00B81226" w:rsidRDefault="00B82AC2">
            <w:pPr>
              <w:pStyle w:val="P68B1DB1-TableParagraph13"/>
              <w:spacing w:before="106"/>
              <w:ind w:left="-1"/>
            </w:pPr>
            <w:r>
              <w:t>0070</w:t>
            </w:r>
          </w:p>
        </w:tc>
        <w:tc>
          <w:tcPr>
            <w:tcW w:w="8119" w:type="dxa"/>
            <w:tcBorders>
              <w:top w:val="single" w:sz="4" w:space="0" w:color="1A171C"/>
              <w:left w:val="single" w:sz="4" w:space="0" w:color="1A171C"/>
              <w:bottom w:val="single" w:sz="4" w:space="0" w:color="1A171C"/>
              <w:right w:val="nil"/>
            </w:tcBorders>
            <w:vAlign w:val="center"/>
          </w:tcPr>
          <w:p w14:paraId="7FE1B7B0" w14:textId="77777777" w:rsidR="00B81226" w:rsidRDefault="00B82AC2">
            <w:pPr>
              <w:pStyle w:val="P68B1DB1-TableParagraph14"/>
              <w:spacing w:before="108"/>
              <w:ind w:left="85"/>
              <w:jc w:val="both"/>
              <w:rPr>
                <w:bCs/>
              </w:rPr>
            </w:pPr>
            <w:r>
              <w:t>josta myönnetty kolmannen maan lainsäädännön mukaisesti</w:t>
            </w:r>
          </w:p>
          <w:p w14:paraId="7FE1B7B1" w14:textId="77777777" w:rsidR="00B81226" w:rsidRDefault="00B82AC2">
            <w:pPr>
              <w:pStyle w:val="P68B1DB1-TableParagraph13"/>
              <w:spacing w:before="108"/>
              <w:ind w:left="85"/>
              <w:jc w:val="both"/>
              <w:rPr>
                <w:bCs/>
              </w:rPr>
            </w:pPr>
            <w:r>
              <w:t>Kolmannen maan lainsäädännön alainen osuus jäljellä olevasta määrästä rahamääränä.</w:t>
            </w:r>
          </w:p>
        </w:tc>
      </w:tr>
      <w:tr w:rsidR="00B81226" w14:paraId="7FE1B7B6" w14:textId="77777777">
        <w:tc>
          <w:tcPr>
            <w:tcW w:w="907" w:type="dxa"/>
            <w:tcBorders>
              <w:top w:val="single" w:sz="4" w:space="0" w:color="1A171C"/>
              <w:left w:val="nil"/>
              <w:bottom w:val="single" w:sz="4" w:space="0" w:color="1A171C"/>
              <w:right w:val="single" w:sz="4" w:space="0" w:color="1A171C"/>
            </w:tcBorders>
            <w:vAlign w:val="center"/>
          </w:tcPr>
          <w:p w14:paraId="7FE1B7B3" w14:textId="77777777" w:rsidR="00B81226" w:rsidRDefault="00B82AC2">
            <w:pPr>
              <w:pStyle w:val="P68B1DB1-TableParagraph13"/>
              <w:spacing w:before="106"/>
              <w:ind w:left="-1"/>
            </w:pPr>
            <w:r>
              <w:t>0080</w:t>
            </w:r>
          </w:p>
        </w:tc>
        <w:tc>
          <w:tcPr>
            <w:tcW w:w="8119" w:type="dxa"/>
            <w:tcBorders>
              <w:top w:val="single" w:sz="4" w:space="0" w:color="1A171C"/>
              <w:left w:val="single" w:sz="4" w:space="0" w:color="1A171C"/>
              <w:bottom w:val="single" w:sz="4" w:space="0" w:color="1A171C"/>
              <w:right w:val="nil"/>
            </w:tcBorders>
            <w:vAlign w:val="center"/>
          </w:tcPr>
          <w:p w14:paraId="7FE1B7B4" w14:textId="77777777" w:rsidR="00B81226" w:rsidRDefault="00B82AC2">
            <w:pPr>
              <w:pStyle w:val="P68B1DB1-TableParagraph14"/>
              <w:spacing w:before="108"/>
              <w:ind w:left="85"/>
              <w:jc w:val="both"/>
              <w:rPr>
                <w:rFonts w:eastAsia="Cambria"/>
              </w:rPr>
            </w:pPr>
            <w:r>
              <w:t>josta: MREL-hyväksyttäviä</w:t>
            </w:r>
          </w:p>
          <w:p w14:paraId="7FE1B7B5" w14:textId="77777777" w:rsidR="00B81226" w:rsidRDefault="00B82AC2">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Omat varat ja velat, jotka hyväksytään täytettäessä direktiivin 2014/59/EU 45 artiklan vaatimuksia kyseisen direktiivin 45 e tai 45 f artiklan mukaisesti.</w:t>
            </w:r>
            <w:r>
              <w:rPr>
                <w:rFonts w:ascii="Times New Roman" w:hAnsi="Times New Roman" w:cs="Times New Roman"/>
              </w:rPr>
              <w:t xml:space="preserve"> </w:t>
            </w:r>
            <w:r>
              <w:rPr>
                <w:rFonts w:ascii="Times New Roman" w:eastAsia="Cambria" w:hAnsi="Times New Roman" w:cs="Times New Roman"/>
                <w:color w:val="000000" w:themeColor="text1"/>
                <w:sz w:val="20"/>
                <w:szCs w:val="20"/>
              </w:rPr>
              <w:t>Tässä ilmoitetaan ainoastaan ne omat varat ja velat, jotka täyttävät tapauksen mukaan direktiivin 2014/59/EU 45 b artiklan tai 45 f artiklan 2 kohdan kriteerit, ottaen tarvittaessa huomioon pankkien elvytys- ja kriisinratkaisudirektiivin 89 artiklan 2 kohta ja pankkien elvytys- ja kriisinratkaisudirektiivin 55 artikla.</w:t>
            </w:r>
          </w:p>
        </w:tc>
      </w:tr>
    </w:tbl>
    <w:p w14:paraId="7FE1B7B7" w14:textId="77777777" w:rsidR="00B81226" w:rsidRDefault="00B81226">
      <w:pPr>
        <w:jc w:val="both"/>
        <w:rPr>
          <w:rFonts w:ascii="Times New Roman" w:hAnsi="Times New Roman" w:cs="Times New Roman"/>
          <w:color w:val="000000" w:themeColor="text1"/>
          <w:sz w:val="20"/>
          <w:szCs w:val="20"/>
        </w:rPr>
      </w:pPr>
    </w:p>
    <w:p w14:paraId="7FE1B7B8" w14:textId="548121DF" w:rsidR="00B81226" w:rsidRDefault="00B82AC2">
      <w:pPr>
        <w:pStyle w:val="P68B1DB1-Instructionsberschrift25"/>
        <w:numPr>
          <w:ilvl w:val="1"/>
          <w:numId w:val="49"/>
        </w:numPr>
        <w:ind w:left="357" w:hanging="357"/>
      </w:pPr>
      <w:bookmarkStart w:id="66" w:name="_Toc492542325"/>
      <w:bookmarkStart w:id="67" w:name="_Toc81454183"/>
      <w:bookmarkStart w:id="68" w:name="_Toc208245439"/>
      <w:r>
        <w:t>Tärkeimmät vastapuolet (LIAB 5 ja 6)</w:t>
      </w:r>
      <w:bookmarkEnd w:id="66"/>
      <w:bookmarkEnd w:id="67"/>
      <w:bookmarkEnd w:id="68"/>
    </w:p>
    <w:p w14:paraId="7FE1B7B9" w14:textId="77777777" w:rsidR="00B81226" w:rsidRDefault="00B82AC2">
      <w:pPr>
        <w:pStyle w:val="Instructionsberschrift3"/>
      </w:pPr>
      <w:r>
        <w:t>Yleiset huomautukset</w:t>
      </w:r>
    </w:p>
    <w:p w14:paraId="7FE1B7BA" w14:textId="77777777" w:rsidR="00B81226" w:rsidRDefault="00B82AC2">
      <w:pPr>
        <w:pStyle w:val="P68B1DB1-InstructionsText26"/>
        <w:numPr>
          <w:ilvl w:val="0"/>
          <w:numId w:val="232"/>
        </w:numPr>
        <w:spacing w:before="0"/>
      </w:pPr>
      <w:r>
        <w:t>Näissä lomakkeissa kerätään tietoja suurimmille vastapuolille olevista veloista (Z 05.01) ja suurimmilta vastapuolilta saaduista taseen ulkopuolisista eristä (Z 05.02). Ilmoitetut määrät on laskettava yhteen, jos ne koskevat samaa vastapuolta ja samantyyppisiä velkoja tai taseen ulkopuolisia eriä.</w:t>
      </w:r>
    </w:p>
    <w:p w14:paraId="7FE1B7BB" w14:textId="77777777" w:rsidR="00B81226" w:rsidRDefault="00B82AC2">
      <w:pPr>
        <w:pStyle w:val="P68B1DB1-InstructionsText26"/>
        <w:numPr>
          <w:ilvl w:val="0"/>
          <w:numId w:val="232"/>
        </w:numPr>
        <w:spacing w:before="0"/>
      </w:pPr>
      <w:r>
        <w:t>Näissä lomakkeissa ei ilmoiteta velkoja ja taseen ulkopuolisia eriä, joiden osalta vastapuolta ei voida määrittää. Velkoja ja taseen ulkopuolisia eriä, joissa vastapuolena on konsernitilinpäätökseen sisältyvä yhteisö, ei ilmoiteta.</w:t>
      </w:r>
    </w:p>
    <w:p w14:paraId="7FE1B7BC" w14:textId="04BE316A" w:rsidR="00B81226" w:rsidRDefault="00B81226">
      <w:pPr>
        <w:pStyle w:val="InstructionsText2"/>
        <w:numPr>
          <w:ilvl w:val="0"/>
          <w:numId w:val="0"/>
        </w:numPr>
        <w:spacing w:before="0"/>
        <w:ind w:left="753" w:hanging="720"/>
        <w:rPr>
          <w:rFonts w:ascii="Times New Roman" w:hAnsi="Times New Roman" w:cs="Times New Roman"/>
          <w:sz w:val="20"/>
          <w:szCs w:val="20"/>
        </w:rPr>
      </w:pPr>
    </w:p>
    <w:p w14:paraId="7FE1B7BD" w14:textId="77777777" w:rsidR="00B81226" w:rsidRDefault="00B82AC2">
      <w:pPr>
        <w:pStyle w:val="P68B1DB1-Instructionsberschrift25"/>
        <w:numPr>
          <w:ilvl w:val="1"/>
          <w:numId w:val="49"/>
        </w:numPr>
        <w:ind w:left="357" w:hanging="357"/>
      </w:pPr>
      <w:bookmarkStart w:id="69" w:name="_Toc81454184"/>
      <w:bookmarkStart w:id="70" w:name="_Toc208245440"/>
      <w:r>
        <w:lastRenderedPageBreak/>
        <w:t>Z 05.01 – Suurimmat vastapuolet (velat) (MCP 1)</w:t>
      </w:r>
      <w:bookmarkEnd w:id="70"/>
    </w:p>
    <w:p w14:paraId="7FE1B7BE" w14:textId="0F7A6C34" w:rsidR="00B81226" w:rsidRDefault="00B82AC2">
      <w:pPr>
        <w:pStyle w:val="P68B1DB1-body26"/>
      </w:pPr>
      <w:r>
        <w:t>Tiettyjä kohtia koskevat ohjeet</w:t>
      </w:r>
      <w:bookmarkEnd w:id="69"/>
    </w:p>
    <w:p w14:paraId="7FE1B7BF" w14:textId="77777777" w:rsidR="00B81226" w:rsidRDefault="00B82AC2">
      <w:pPr>
        <w:pStyle w:val="P68B1DB1-InstructionsText26"/>
        <w:numPr>
          <w:ilvl w:val="0"/>
          <w:numId w:val="232"/>
        </w:numPr>
        <w:spacing w:before="0"/>
      </w:pPr>
      <w:r>
        <w:t>Tämän lomakkeen sarakkeissa 0020 ja 0060 ilmoitetut arvot yhdessä muodostavat ensisijaisen avaimen, jonka on oltava yksilöllinen lomakkeen jokaiselle riville.</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B81226" w14:paraId="7FE1B7C2"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C0" w14:textId="77777777" w:rsidR="00B81226" w:rsidRDefault="00B82AC2">
            <w:pPr>
              <w:pStyle w:val="P68B1DB1-TableParagraph13"/>
              <w:spacing w:before="66"/>
              <w:rPr>
                <w:rFonts w:eastAsia="Cambria"/>
              </w:rPr>
            </w:pPr>
            <w:r>
              <w:t>Sarakkeet</w:t>
            </w:r>
          </w:p>
        </w:tc>
        <w:tc>
          <w:tcPr>
            <w:tcW w:w="8119" w:type="dxa"/>
            <w:tcBorders>
              <w:top w:val="single" w:sz="4" w:space="0" w:color="1A171C"/>
              <w:left w:val="single" w:sz="4" w:space="0" w:color="1A171C"/>
              <w:bottom w:val="single" w:sz="4" w:space="0" w:color="1A171C"/>
              <w:right w:val="nil"/>
            </w:tcBorders>
            <w:shd w:val="clear" w:color="auto" w:fill="E4E5E5"/>
          </w:tcPr>
          <w:p w14:paraId="7FE1B7C1" w14:textId="77777777" w:rsidR="00B81226" w:rsidRDefault="00B82AC2">
            <w:pPr>
              <w:pStyle w:val="P68B1DB1-TableParagraph13"/>
              <w:spacing w:before="66"/>
              <w:ind w:right="1"/>
              <w:jc w:val="center"/>
              <w:rPr>
                <w:rFonts w:eastAsia="Cambria"/>
              </w:rPr>
            </w:pPr>
            <w:r>
              <w:t>Ohjeet</w:t>
            </w:r>
          </w:p>
        </w:tc>
      </w:tr>
      <w:tr w:rsidR="00B81226" w14:paraId="7FE1B7CC" w14:textId="77777777">
        <w:tc>
          <w:tcPr>
            <w:tcW w:w="907" w:type="dxa"/>
            <w:tcBorders>
              <w:top w:val="single" w:sz="4" w:space="0" w:color="1A171C"/>
              <w:left w:val="nil"/>
              <w:bottom w:val="single" w:sz="4" w:space="0" w:color="1A171C"/>
              <w:right w:val="single" w:sz="4" w:space="0" w:color="1A171C"/>
            </w:tcBorders>
            <w:vAlign w:val="center"/>
          </w:tcPr>
          <w:p w14:paraId="7FE1B7C3" w14:textId="77777777" w:rsidR="00B81226" w:rsidRDefault="00B82AC2">
            <w:pPr>
              <w:pStyle w:val="P68B1DB1-TableParagraph17"/>
              <w:spacing w:before="108"/>
              <w:ind w:left="85"/>
              <w:jc w:val="both"/>
            </w:pPr>
            <w:r>
              <w:t>0010–0050</w:t>
            </w:r>
          </w:p>
        </w:tc>
        <w:tc>
          <w:tcPr>
            <w:tcW w:w="8119" w:type="dxa"/>
            <w:tcBorders>
              <w:top w:val="single" w:sz="4" w:space="0" w:color="1A171C"/>
              <w:left w:val="single" w:sz="4" w:space="0" w:color="1A171C"/>
              <w:bottom w:val="single" w:sz="4" w:space="0" w:color="1A171C"/>
              <w:right w:val="nil"/>
            </w:tcBorders>
            <w:vAlign w:val="center"/>
          </w:tcPr>
          <w:p w14:paraId="7FE1B7C4" w14:textId="77777777" w:rsidR="00B81226" w:rsidRDefault="00B82AC2">
            <w:pPr>
              <w:pStyle w:val="P68B1DB1-TableParagraph14"/>
              <w:spacing w:before="108"/>
              <w:ind w:left="85"/>
              <w:jc w:val="both"/>
              <w:rPr>
                <w:bCs/>
              </w:rPr>
            </w:pPr>
            <w:r>
              <w:t>Vastapuoli</w:t>
            </w:r>
          </w:p>
          <w:p w14:paraId="7FE1B7C5" w14:textId="77777777" w:rsidR="00B81226" w:rsidRDefault="00B82AC2">
            <w:pPr>
              <w:pStyle w:val="P68B1DB1-TableParagraph17"/>
              <w:spacing w:before="108"/>
              <w:ind w:left="85"/>
              <w:jc w:val="both"/>
            </w:pPr>
            <w:r>
              <w:t xml:space="preserve">Tiedot suuresta vastapuolesta, jolle velka on. </w:t>
            </w:r>
          </w:p>
          <w:p w14:paraId="7FE1B7C6" w14:textId="77777777" w:rsidR="00B81226" w:rsidRDefault="00B82AC2">
            <w:pPr>
              <w:pStyle w:val="P68B1DB1-TableParagraph17"/>
              <w:spacing w:before="108"/>
              <w:ind w:left="85"/>
              <w:jc w:val="both"/>
            </w:pPr>
            <w:r>
              <w:t>Suurimmat vastapuolet on määritettävä laskemalla yhteen raportoinnin kohteena olevalla yhteisöllä tai konsernilla jokaiselle vastapuolelle tai asiakaskokonaisuudelle olevien kaikkien velkojen jäljellä olevat määrät, lukuun ottamatta velkoja konsernitilinpäätökseen sisältyville yhteisöille.</w:t>
            </w:r>
          </w:p>
          <w:p w14:paraId="7FE1B7C7" w14:textId="77777777" w:rsidR="00B81226" w:rsidRDefault="00B82AC2">
            <w:pPr>
              <w:pStyle w:val="P68B1DB1-TableParagraph17"/>
              <w:spacing w:before="108"/>
              <w:ind w:left="85"/>
              <w:jc w:val="both"/>
            </w:pPr>
            <w:r>
              <w:t>Vastapuolet ja toisiinsa yhteydessä olevien vastapuolten ryhmät asetetaan tämän jälkeen järjestykseen yhteenlasketun jäljellä olevan määrän perusteella, jotta voidaan määrittää 10 suurinta vastapuolta, joista tässä lomakkeessa on annettava tiedot.</w:t>
            </w:r>
          </w:p>
          <w:p w14:paraId="7FE1B7CB" w14:textId="1879B990" w:rsidR="00B81226" w:rsidRDefault="00B82AC2">
            <w:pPr>
              <w:pStyle w:val="P68B1DB1-TableParagraph17"/>
              <w:spacing w:before="108"/>
              <w:ind w:left="85"/>
              <w:jc w:val="both"/>
              <w:rPr>
                <w:b/>
                <w:bCs/>
              </w:rPr>
            </w:pPr>
            <w:r>
              <w:t xml:space="preserve">”Toisiinsa yhteydessä olevien vastapuolten ryhmän” määritelmä noudattaa asetuksen (EU) N:o 575/2013 4 artiklan 1 kohdan 39 alakohdassa esitettyä ”asiakaskokonaisuuden” määritelmää. </w:t>
            </w:r>
          </w:p>
        </w:tc>
      </w:tr>
      <w:tr w:rsidR="00B81226" w14:paraId="7FE1B7D1" w14:textId="77777777">
        <w:tc>
          <w:tcPr>
            <w:tcW w:w="907" w:type="dxa"/>
            <w:tcBorders>
              <w:top w:val="single" w:sz="4" w:space="0" w:color="1A171C"/>
              <w:left w:val="nil"/>
              <w:bottom w:val="single" w:sz="4" w:space="0" w:color="1A171C"/>
              <w:right w:val="single" w:sz="4" w:space="0" w:color="1A171C"/>
            </w:tcBorders>
            <w:vAlign w:val="center"/>
          </w:tcPr>
          <w:p w14:paraId="7FE1B7CD" w14:textId="77777777" w:rsidR="00B81226" w:rsidRDefault="00B82AC2">
            <w:pPr>
              <w:pStyle w:val="P68B1DB1-TableParagraph17"/>
              <w:spacing w:before="108"/>
              <w:ind w:left="85"/>
              <w:jc w:val="both"/>
            </w:pPr>
            <w:r>
              <w:t>0010</w:t>
            </w:r>
          </w:p>
        </w:tc>
        <w:tc>
          <w:tcPr>
            <w:tcW w:w="8119" w:type="dxa"/>
            <w:tcBorders>
              <w:top w:val="single" w:sz="4" w:space="0" w:color="1A171C"/>
              <w:left w:val="single" w:sz="4" w:space="0" w:color="1A171C"/>
              <w:bottom w:val="single" w:sz="4" w:space="0" w:color="1A171C"/>
              <w:right w:val="nil"/>
            </w:tcBorders>
            <w:vAlign w:val="center"/>
          </w:tcPr>
          <w:p w14:paraId="7FE1B7CE" w14:textId="77777777" w:rsidR="00B81226" w:rsidRDefault="00B82AC2">
            <w:pPr>
              <w:pStyle w:val="P68B1DB1-TableParagraph14"/>
              <w:spacing w:before="108"/>
              <w:ind w:left="85"/>
              <w:jc w:val="both"/>
              <w:rPr>
                <w:bCs/>
              </w:rPr>
            </w:pPr>
            <w:r>
              <w:t>Yhteisön nimi</w:t>
            </w:r>
          </w:p>
          <w:p w14:paraId="7FE1B7CF" w14:textId="77777777" w:rsidR="00B81226" w:rsidRDefault="00B82AC2">
            <w:pPr>
              <w:pStyle w:val="P68B1DB1-Normal18"/>
              <w:spacing w:before="108"/>
              <w:ind w:left="85"/>
              <w:jc w:val="both"/>
            </w:pPr>
            <w:r>
              <w:t>Suuren vastapuolen nimi taikka tapauksen mukaan asiakaskokonaisuuden nimi.</w:t>
            </w:r>
          </w:p>
          <w:p w14:paraId="7FE1B7D0" w14:textId="77777777" w:rsidR="00B81226" w:rsidRDefault="00B82AC2">
            <w:pPr>
              <w:pStyle w:val="P68B1DB1-TableParagraph17"/>
              <w:spacing w:before="108"/>
              <w:ind w:left="85"/>
              <w:jc w:val="both"/>
            </w:pPr>
            <w:r>
              <w:t>Asiakaskokonaisuuden nimi on emoyhtiön nimi tai, jos asiakaskokonaisuudella ei ole emoyhtiötä, konsernin kaupallinen nimi.</w:t>
            </w:r>
          </w:p>
        </w:tc>
      </w:tr>
      <w:tr w:rsidR="00B81226" w14:paraId="7FE1B7D6" w14:textId="77777777">
        <w:tc>
          <w:tcPr>
            <w:tcW w:w="907" w:type="dxa"/>
            <w:tcBorders>
              <w:top w:val="single" w:sz="4" w:space="0" w:color="1A171C"/>
              <w:left w:val="nil"/>
              <w:bottom w:val="single" w:sz="4" w:space="0" w:color="1A171C"/>
              <w:right w:val="single" w:sz="4" w:space="0" w:color="1A171C"/>
            </w:tcBorders>
            <w:vAlign w:val="center"/>
          </w:tcPr>
          <w:p w14:paraId="7FE1B7D2" w14:textId="77777777" w:rsidR="00B81226" w:rsidRDefault="00B82AC2">
            <w:pPr>
              <w:pStyle w:val="P68B1DB1-TableParagraph17"/>
              <w:spacing w:before="108"/>
              <w:ind w:left="85"/>
              <w:jc w:val="both"/>
            </w:pPr>
            <w:r>
              <w:t>0020</w:t>
            </w:r>
          </w:p>
        </w:tc>
        <w:tc>
          <w:tcPr>
            <w:tcW w:w="8119" w:type="dxa"/>
            <w:tcBorders>
              <w:top w:val="single" w:sz="4" w:space="0" w:color="1A171C"/>
              <w:left w:val="single" w:sz="4" w:space="0" w:color="1A171C"/>
              <w:bottom w:val="single" w:sz="4" w:space="0" w:color="1A171C"/>
              <w:right w:val="nil"/>
            </w:tcBorders>
            <w:vAlign w:val="center"/>
          </w:tcPr>
          <w:p w14:paraId="7FE1B7D3" w14:textId="77777777" w:rsidR="00B81226" w:rsidRDefault="00B82AC2">
            <w:pPr>
              <w:pStyle w:val="P68B1DB1-TableParagraph14"/>
              <w:spacing w:before="108"/>
              <w:ind w:left="85"/>
              <w:jc w:val="both"/>
              <w:rPr>
                <w:bCs/>
              </w:rPr>
            </w:pPr>
            <w:r>
              <w:t>Koodi</w:t>
            </w:r>
          </w:p>
          <w:p w14:paraId="188AB748" w14:textId="77777777" w:rsidR="00B81226" w:rsidRDefault="00B82AC2">
            <w:pPr>
              <w:pStyle w:val="P68B1DB1-TableParagraph17"/>
              <w:spacing w:before="108"/>
            </w:pPr>
            <w:r>
              <w:t xml:space="preserve">Suuren vastapuolen taikka asiakaskokonaisuuden koodi. </w:t>
            </w:r>
          </w:p>
          <w:p w14:paraId="0DD02B7A" w14:textId="4FE17D24" w:rsidR="00B81226" w:rsidRDefault="00B82AC2">
            <w:pPr>
              <w:pStyle w:val="P68B1DB1-TableParagraph13"/>
              <w:spacing w:before="108"/>
              <w:rPr>
                <w:bCs/>
              </w:rPr>
            </w:pPr>
            <w:r>
              <w:t>Laitoksista, joilla on oikeushenkilötunnus (LEI), 20-merkkinen aakkosnumeerinen LEI-tunnus;</w:t>
            </w:r>
          </w:p>
          <w:p w14:paraId="7FE1B7D4" w14:textId="10D08A5A" w:rsidR="00B81226" w:rsidRDefault="00B82AC2">
            <w:pPr>
              <w:pStyle w:val="P68B1DB1-TableParagraph13"/>
              <w:spacing w:before="108"/>
              <w:jc w:val="both"/>
              <w:rPr>
                <w:rFonts w:eastAsia="Cambria"/>
              </w:rPr>
            </w:pPr>
            <w:r>
              <w:t>Jos sellaista ei ole, käytetään rahalaitoskoodia tai unionissa sovellettavan yhtenäisen koodin mukaista koodia.</w:t>
            </w:r>
          </w:p>
          <w:p w14:paraId="7FE1B7D5" w14:textId="77777777" w:rsidR="00B81226" w:rsidRDefault="00B82AC2">
            <w:pPr>
              <w:pStyle w:val="P68B1DB1-TableParagraph17"/>
              <w:spacing w:before="108"/>
              <w:ind w:left="85"/>
              <w:jc w:val="both"/>
            </w:pPr>
            <w:r>
              <w:t>Koodin on oltava yksilöllinen, ja sitä on käytettävä johdonmukaisesti lomakkeissa.</w:t>
            </w:r>
          </w:p>
        </w:tc>
      </w:tr>
      <w:tr w:rsidR="00B81226" w14:paraId="7FE1B7DB" w14:textId="77777777">
        <w:tc>
          <w:tcPr>
            <w:tcW w:w="907" w:type="dxa"/>
            <w:tcBorders>
              <w:top w:val="single" w:sz="4" w:space="0" w:color="1A171C"/>
              <w:left w:val="nil"/>
              <w:bottom w:val="single" w:sz="4" w:space="0" w:color="1A171C"/>
              <w:right w:val="single" w:sz="4" w:space="0" w:color="1A171C"/>
            </w:tcBorders>
            <w:vAlign w:val="center"/>
          </w:tcPr>
          <w:p w14:paraId="7FE1B7D7" w14:textId="77777777" w:rsidR="00B81226" w:rsidRDefault="00B82AC2">
            <w:pPr>
              <w:pStyle w:val="P68B1DB1-TableParagraph17"/>
              <w:spacing w:before="108"/>
              <w:ind w:left="85"/>
              <w:jc w:val="both"/>
            </w:pPr>
            <w:r>
              <w:t>0025</w:t>
            </w:r>
          </w:p>
        </w:tc>
        <w:tc>
          <w:tcPr>
            <w:tcW w:w="8119" w:type="dxa"/>
            <w:tcBorders>
              <w:top w:val="single" w:sz="4" w:space="0" w:color="1A171C"/>
              <w:left w:val="single" w:sz="4" w:space="0" w:color="1A171C"/>
              <w:bottom w:val="single" w:sz="4" w:space="0" w:color="1A171C"/>
              <w:right w:val="nil"/>
            </w:tcBorders>
            <w:vAlign w:val="center"/>
          </w:tcPr>
          <w:p w14:paraId="7FE1B7D8" w14:textId="77777777" w:rsidR="00B81226" w:rsidRDefault="00B82AC2">
            <w:pPr>
              <w:pStyle w:val="P68B1DB1-TableParagraph14"/>
              <w:spacing w:before="108"/>
              <w:ind w:left="85"/>
              <w:jc w:val="both"/>
              <w:rPr>
                <w:bCs/>
              </w:rPr>
            </w:pPr>
            <w:r>
              <w:t>Koodin tyyppi</w:t>
            </w:r>
          </w:p>
          <w:p w14:paraId="2BEBBD8E" w14:textId="55A001F3" w:rsidR="00B81226" w:rsidRDefault="00B82AC2">
            <w:pPr>
              <w:pStyle w:val="P68B1DB1-TableParagraph13"/>
              <w:spacing w:before="108"/>
              <w:rPr>
                <w:bCs/>
              </w:rPr>
            </w:pPr>
            <w:r>
              <w:t>Tässä on valittava seuraavista vaihtoehdoista: LEI-tunnus, MFI-tunnus tai muu tunnisteen tyyppi kuin LEI- tai MFI-tunnus</w:t>
            </w:r>
          </w:p>
          <w:p w14:paraId="5CA49443" w14:textId="30D8A3AF" w:rsidR="00B81226" w:rsidRDefault="00B82AC2">
            <w:pPr>
              <w:pStyle w:val="P68B1DB1-TableParagraph13"/>
              <w:spacing w:before="108" w:line="276" w:lineRule="auto"/>
              <w:ind w:left="85"/>
              <w:jc w:val="both"/>
              <w:rPr>
                <w:color w:val="000000"/>
              </w:rPr>
            </w:pPr>
            <w:r>
              <w:t>Yhteisöt on yksilöitävä johdonmukaisesti kaikissa lomakkeissa.</w:t>
            </w:r>
          </w:p>
          <w:p w14:paraId="7FE1B7DA" w14:textId="4204707F" w:rsidR="00B81226" w:rsidRDefault="00B81226">
            <w:pPr>
              <w:pStyle w:val="TableParagraph"/>
              <w:spacing w:before="108"/>
              <w:rPr>
                <w:rFonts w:ascii="Times New Roman" w:hAnsi="Times New Roman" w:cs="Times New Roman"/>
                <w:color w:val="000000" w:themeColor="text1"/>
                <w:sz w:val="20"/>
                <w:szCs w:val="20"/>
              </w:rPr>
            </w:pPr>
          </w:p>
        </w:tc>
      </w:tr>
      <w:tr w:rsidR="00B81226" w14:paraId="7FE1B7DF" w14:textId="77777777">
        <w:tc>
          <w:tcPr>
            <w:tcW w:w="907" w:type="dxa"/>
            <w:tcBorders>
              <w:top w:val="single" w:sz="4" w:space="0" w:color="1A171C"/>
              <w:left w:val="nil"/>
              <w:bottom w:val="single" w:sz="4" w:space="0" w:color="1A171C"/>
              <w:right w:val="single" w:sz="4" w:space="0" w:color="1A171C"/>
            </w:tcBorders>
            <w:vAlign w:val="center"/>
          </w:tcPr>
          <w:p w14:paraId="7FE1B7DC" w14:textId="77777777" w:rsidR="00B81226" w:rsidRDefault="00B82AC2">
            <w:pPr>
              <w:pStyle w:val="P68B1DB1-TableParagraph17"/>
              <w:spacing w:before="108"/>
              <w:ind w:left="85"/>
              <w:jc w:val="both"/>
            </w:pPr>
            <w:r>
              <w:t>0030</w:t>
            </w:r>
          </w:p>
        </w:tc>
        <w:tc>
          <w:tcPr>
            <w:tcW w:w="8119" w:type="dxa"/>
            <w:tcBorders>
              <w:top w:val="single" w:sz="4" w:space="0" w:color="1A171C"/>
              <w:left w:val="single" w:sz="4" w:space="0" w:color="1A171C"/>
              <w:bottom w:val="single" w:sz="4" w:space="0" w:color="1A171C"/>
              <w:right w:val="nil"/>
            </w:tcBorders>
            <w:vAlign w:val="center"/>
          </w:tcPr>
          <w:p w14:paraId="7FE1B7DD" w14:textId="77777777" w:rsidR="00B81226" w:rsidRDefault="00B82AC2">
            <w:pPr>
              <w:pStyle w:val="P68B1DB1-TableParagraph14"/>
              <w:spacing w:before="108"/>
              <w:ind w:left="85"/>
              <w:jc w:val="both"/>
              <w:rPr>
                <w:bCs/>
              </w:rPr>
            </w:pPr>
            <w:r>
              <w:t>Konserni tai yksittäinen asiakas</w:t>
            </w:r>
          </w:p>
          <w:p w14:paraId="4E4D0057" w14:textId="77777777" w:rsidR="00B81226" w:rsidRDefault="00B82AC2">
            <w:pPr>
              <w:pStyle w:val="P68B1DB1-Normal18"/>
              <w:ind w:left="85"/>
            </w:pPr>
            <w:r>
              <w:t>Laitoksen on ilmoitettava</w:t>
            </w:r>
          </w:p>
          <w:p w14:paraId="0242F822" w14:textId="5242FFA2" w:rsidR="00B81226" w:rsidRDefault="00B82AC2">
            <w:pPr>
              <w:pStyle w:val="P68B1DB1-ListParagraph25"/>
              <w:numPr>
                <w:ilvl w:val="0"/>
                <w:numId w:val="297"/>
              </w:numPr>
            </w:pPr>
            <w:r>
              <w:t>Yksittäiset vastapuolet;</w:t>
            </w:r>
          </w:p>
          <w:p w14:paraId="7FE1B7DE" w14:textId="6F55D54C" w:rsidR="00B81226" w:rsidRDefault="00B82AC2">
            <w:pPr>
              <w:pStyle w:val="P68B1DB1-ListParagraph25"/>
              <w:numPr>
                <w:ilvl w:val="0"/>
                <w:numId w:val="297"/>
              </w:numPr>
            </w:pPr>
            <w:r>
              <w:t>Asiakaskokonaisuudet.</w:t>
            </w:r>
          </w:p>
        </w:tc>
      </w:tr>
      <w:tr w:rsidR="00B81226" w14:paraId="7FE1B7E4" w14:textId="77777777">
        <w:tc>
          <w:tcPr>
            <w:tcW w:w="907" w:type="dxa"/>
            <w:tcBorders>
              <w:top w:val="single" w:sz="4" w:space="0" w:color="1A171C"/>
              <w:left w:val="nil"/>
              <w:bottom w:val="single" w:sz="4" w:space="0" w:color="1A171C"/>
              <w:right w:val="single" w:sz="4" w:space="0" w:color="1A171C"/>
            </w:tcBorders>
            <w:vAlign w:val="center"/>
          </w:tcPr>
          <w:p w14:paraId="7FE1B7E0" w14:textId="77777777" w:rsidR="00B81226" w:rsidRDefault="00B82AC2">
            <w:pPr>
              <w:pStyle w:val="P68B1DB1-TableParagraph17"/>
              <w:spacing w:before="108"/>
              <w:ind w:left="85"/>
              <w:jc w:val="both"/>
            </w:pPr>
            <w:r>
              <w:t>0040</w:t>
            </w:r>
          </w:p>
        </w:tc>
        <w:tc>
          <w:tcPr>
            <w:tcW w:w="8119" w:type="dxa"/>
            <w:tcBorders>
              <w:top w:val="single" w:sz="4" w:space="0" w:color="1A171C"/>
              <w:left w:val="single" w:sz="4" w:space="0" w:color="1A171C"/>
              <w:bottom w:val="single" w:sz="4" w:space="0" w:color="1A171C"/>
              <w:right w:val="nil"/>
            </w:tcBorders>
            <w:vAlign w:val="center"/>
          </w:tcPr>
          <w:p w14:paraId="7FE1B7E1" w14:textId="77777777" w:rsidR="00B81226" w:rsidRDefault="00B82AC2">
            <w:pPr>
              <w:pStyle w:val="P68B1DB1-TableParagraph14"/>
              <w:spacing w:before="108"/>
              <w:ind w:left="85"/>
              <w:jc w:val="both"/>
              <w:rPr>
                <w:bCs/>
              </w:rPr>
            </w:pPr>
            <w:r>
              <w:t>Maa</w:t>
            </w:r>
          </w:p>
          <w:p w14:paraId="7FE1B7E2" w14:textId="77777777" w:rsidR="00B81226" w:rsidRDefault="00B82AC2">
            <w:pPr>
              <w:pStyle w:val="P68B1DB1-Normal18"/>
              <w:spacing w:before="108"/>
              <w:ind w:left="85"/>
              <w:contextualSpacing/>
              <w:jc w:val="both"/>
            </w:pPr>
            <w:r>
              <w:t xml:space="preserve">Vastapuolen rekisteröintimaan ISO 3166–1-alpha-2-koodi. Tähän sisältyvät kansainvälisten järjestöjen ISO-pseudokoodit, jotka ovat saatavissa Eurostatin maksutasekäsikirjan ”Balance of Payments Vademecum” viimeisimmässä painoksessa. </w:t>
            </w:r>
          </w:p>
          <w:p w14:paraId="7FE1B7E3" w14:textId="77777777" w:rsidR="00B81226" w:rsidRDefault="00B82AC2">
            <w:pPr>
              <w:pStyle w:val="P68B1DB1-TableParagraph17"/>
              <w:spacing w:before="108"/>
              <w:ind w:left="85"/>
              <w:jc w:val="both"/>
            </w:pPr>
            <w:r>
              <w:t xml:space="preserve">Maa määritetään vastapuolen sääntömääräisen kotipaikan mukaan. Asiakaskokonaisuuksien osalta emoyhtiön perustamismaa. </w:t>
            </w:r>
          </w:p>
        </w:tc>
      </w:tr>
      <w:tr w:rsidR="00B81226" w14:paraId="7FE1B7EF" w14:textId="77777777">
        <w:tc>
          <w:tcPr>
            <w:tcW w:w="907" w:type="dxa"/>
            <w:tcBorders>
              <w:top w:val="single" w:sz="4" w:space="0" w:color="1A171C"/>
              <w:left w:val="nil"/>
              <w:bottom w:val="single" w:sz="4" w:space="0" w:color="1A171C"/>
              <w:right w:val="single" w:sz="4" w:space="0" w:color="1A171C"/>
            </w:tcBorders>
            <w:vAlign w:val="center"/>
          </w:tcPr>
          <w:p w14:paraId="7FE1B7E5" w14:textId="77777777" w:rsidR="00B81226" w:rsidRDefault="00B82AC2">
            <w:pPr>
              <w:pStyle w:val="P68B1DB1-TableParagraph17"/>
              <w:spacing w:before="108"/>
              <w:ind w:left="85"/>
              <w:jc w:val="both"/>
            </w:pPr>
            <w:r>
              <w:t>0050</w:t>
            </w:r>
          </w:p>
        </w:tc>
        <w:tc>
          <w:tcPr>
            <w:tcW w:w="8119" w:type="dxa"/>
            <w:tcBorders>
              <w:top w:val="single" w:sz="4" w:space="0" w:color="1A171C"/>
              <w:left w:val="single" w:sz="4" w:space="0" w:color="1A171C"/>
              <w:bottom w:val="single" w:sz="4" w:space="0" w:color="1A171C"/>
              <w:right w:val="nil"/>
            </w:tcBorders>
            <w:vAlign w:val="center"/>
          </w:tcPr>
          <w:p w14:paraId="7FE1B7E6" w14:textId="77777777" w:rsidR="00B81226" w:rsidRDefault="00B82AC2">
            <w:pPr>
              <w:pStyle w:val="P68B1DB1-TableParagraph14"/>
              <w:spacing w:before="108"/>
              <w:ind w:left="85"/>
              <w:jc w:val="both"/>
              <w:rPr>
                <w:bCs/>
              </w:rPr>
            </w:pPr>
            <w:r>
              <w:t>Ala</w:t>
            </w:r>
          </w:p>
          <w:p w14:paraId="7FE1B7E7" w14:textId="77777777" w:rsidR="00B81226" w:rsidRDefault="00B82AC2">
            <w:pPr>
              <w:pStyle w:val="P68B1DB1-TableParagraph17"/>
              <w:spacing w:before="108"/>
              <w:ind w:left="85"/>
              <w:jc w:val="both"/>
            </w:pPr>
            <w:r>
              <w:lastRenderedPageBreak/>
              <w:t>Kullekin vastapuolelle valitaan yksi ala talouden alaa koskevasta FINREP-luokituksesta (FINREP-raportoinnin liitteessä V olevan 1 osan 6 luku):</w:t>
            </w:r>
          </w:p>
          <w:p w14:paraId="7FE1B7E8" w14:textId="77777777" w:rsidR="00B81226" w:rsidRDefault="00B82AC2">
            <w:pPr>
              <w:pStyle w:val="P68B1DB1-List127"/>
              <w:numPr>
                <w:ilvl w:val="0"/>
                <w:numId w:val="64"/>
              </w:numPr>
            </w:pPr>
            <w:r>
              <w:t>Keskuspankit</w:t>
            </w:r>
          </w:p>
          <w:p w14:paraId="7FE1B7E9" w14:textId="77777777" w:rsidR="00B81226" w:rsidRDefault="00B82AC2">
            <w:pPr>
              <w:pStyle w:val="P68B1DB1-List127"/>
              <w:numPr>
                <w:ilvl w:val="0"/>
                <w:numId w:val="64"/>
              </w:numPr>
            </w:pPr>
            <w:r>
              <w:t>Keskushallinnot</w:t>
            </w:r>
          </w:p>
          <w:p w14:paraId="7FE1B7EA" w14:textId="77777777" w:rsidR="00B81226" w:rsidRDefault="00B82AC2">
            <w:pPr>
              <w:pStyle w:val="P68B1DB1-List127"/>
              <w:numPr>
                <w:ilvl w:val="0"/>
                <w:numId w:val="64"/>
              </w:numPr>
            </w:pPr>
            <w:r>
              <w:t xml:space="preserve">Luottolaitokset: </w:t>
            </w:r>
          </w:p>
          <w:p w14:paraId="7FE1B7EB" w14:textId="77777777" w:rsidR="00B81226" w:rsidRDefault="00B82AC2">
            <w:pPr>
              <w:pStyle w:val="P68B1DB1-List127"/>
              <w:numPr>
                <w:ilvl w:val="0"/>
                <w:numId w:val="64"/>
              </w:numPr>
            </w:pPr>
            <w:r>
              <w:t>Muut rahoituslaitokset</w:t>
            </w:r>
          </w:p>
          <w:p w14:paraId="7FE1B7EC" w14:textId="77777777" w:rsidR="00B81226" w:rsidRDefault="00B82AC2">
            <w:pPr>
              <w:pStyle w:val="P68B1DB1-List127"/>
              <w:numPr>
                <w:ilvl w:val="0"/>
                <w:numId w:val="64"/>
              </w:numPr>
            </w:pPr>
            <w:r>
              <w:t>Rahoitusalan ulkopuoliset yritykset</w:t>
            </w:r>
          </w:p>
          <w:p w14:paraId="7FE1B7ED" w14:textId="77777777" w:rsidR="00B81226" w:rsidRDefault="00B82AC2">
            <w:pPr>
              <w:pStyle w:val="P68B1DB1-List127"/>
              <w:numPr>
                <w:ilvl w:val="0"/>
                <w:numId w:val="64"/>
              </w:numPr>
            </w:pPr>
            <w:r>
              <w:t>Kotitaloudet</w:t>
            </w:r>
          </w:p>
          <w:p w14:paraId="7FE1B7EE" w14:textId="77777777" w:rsidR="00B81226" w:rsidRDefault="00B82AC2">
            <w:pPr>
              <w:pStyle w:val="P68B1DB1-TableParagraph17"/>
              <w:spacing w:before="108"/>
              <w:ind w:left="85"/>
              <w:jc w:val="both"/>
            </w:pPr>
            <w:r>
              <w:t>Asiakaskokonaisuuksista ei raportoida alaa.</w:t>
            </w:r>
          </w:p>
        </w:tc>
      </w:tr>
      <w:tr w:rsidR="00B81226" w14:paraId="7FE1B800" w14:textId="77777777">
        <w:tc>
          <w:tcPr>
            <w:tcW w:w="907" w:type="dxa"/>
            <w:tcBorders>
              <w:top w:val="single" w:sz="4" w:space="0" w:color="1A171C"/>
              <w:left w:val="nil"/>
              <w:bottom w:val="single" w:sz="4" w:space="0" w:color="1A171C"/>
              <w:right w:val="single" w:sz="4" w:space="0" w:color="1A171C"/>
            </w:tcBorders>
            <w:vAlign w:val="center"/>
          </w:tcPr>
          <w:p w14:paraId="7FE1B7F0" w14:textId="77777777" w:rsidR="00B81226" w:rsidRDefault="00B82AC2">
            <w:pPr>
              <w:pStyle w:val="P68B1DB1-TableParagraph17"/>
              <w:spacing w:before="108"/>
              <w:ind w:left="85"/>
              <w:jc w:val="both"/>
            </w:pPr>
            <w:r>
              <w:lastRenderedPageBreak/>
              <w:t>0060</w:t>
            </w:r>
          </w:p>
        </w:tc>
        <w:tc>
          <w:tcPr>
            <w:tcW w:w="8119" w:type="dxa"/>
            <w:tcBorders>
              <w:top w:val="single" w:sz="4" w:space="0" w:color="1A171C"/>
              <w:left w:val="single" w:sz="4" w:space="0" w:color="1A171C"/>
              <w:bottom w:val="single" w:sz="4" w:space="0" w:color="1A171C"/>
              <w:right w:val="nil"/>
            </w:tcBorders>
            <w:vAlign w:val="center"/>
          </w:tcPr>
          <w:p w14:paraId="7FE1B7F1" w14:textId="77777777" w:rsidR="00B81226" w:rsidRDefault="00B82AC2">
            <w:pPr>
              <w:pStyle w:val="P68B1DB1-TableParagraph14"/>
              <w:spacing w:before="108"/>
              <w:ind w:left="85"/>
              <w:jc w:val="both"/>
              <w:rPr>
                <w:bCs/>
              </w:rPr>
            </w:pPr>
            <w:r>
              <w:t>Tyyppi</w:t>
            </w:r>
          </w:p>
          <w:p w14:paraId="7FE1B7F2" w14:textId="43CE2DD3" w:rsidR="00B81226" w:rsidRDefault="00B82AC2">
            <w:pPr>
              <w:pStyle w:val="P68B1DB1-Normal18"/>
              <w:spacing w:before="108"/>
              <w:ind w:left="85"/>
              <w:jc w:val="both"/>
            </w:pPr>
            <w:r>
              <w:t>Velan tyypin on oltava jokin lomakkeessa Z 02.00 – Vastuiden rakenne luetelluista velan tyypeistä:</w:t>
            </w:r>
          </w:p>
          <w:p w14:paraId="7FE1B7F3" w14:textId="4AE4B095" w:rsidR="00B81226" w:rsidRDefault="00B82AC2">
            <w:pPr>
              <w:pStyle w:val="P68B1DB1-ListParagraph25"/>
              <w:numPr>
                <w:ilvl w:val="0"/>
                <w:numId w:val="298"/>
              </w:numPr>
              <w:spacing w:before="108"/>
              <w:jc w:val="both"/>
            </w:pPr>
            <w:r>
              <w:t>Velat, jotka jätetään velkakirjojen arvon alaskirjauksen tai omaksi pääomaksi muuntamisen ulkopuolelle</w:t>
            </w:r>
          </w:p>
          <w:p w14:paraId="7FE1B7F4" w14:textId="4257143A" w:rsidR="00B81226" w:rsidRDefault="00B82AC2">
            <w:pPr>
              <w:pStyle w:val="P68B1DB1-ListParagraph25"/>
              <w:numPr>
                <w:ilvl w:val="0"/>
                <w:numId w:val="298"/>
              </w:numPr>
              <w:spacing w:before="108"/>
              <w:jc w:val="both"/>
            </w:pPr>
            <w:r>
              <w:t>Talletukset, joita ei ole suojattu mutta jotka ovat etuuskohteluun oikeutettuja</w:t>
            </w:r>
          </w:p>
          <w:p w14:paraId="7FE1B7F5" w14:textId="21AFD595" w:rsidR="00B81226" w:rsidRDefault="00B82AC2">
            <w:pPr>
              <w:pStyle w:val="P68B1DB1-ListParagraph25"/>
              <w:numPr>
                <w:ilvl w:val="0"/>
                <w:numId w:val="298"/>
              </w:numPr>
              <w:spacing w:before="108"/>
              <w:jc w:val="both"/>
            </w:pPr>
            <w:r>
              <w:t>Talletukset, joita ei ole suojattu ja jotka eivät ole etuuskohteluun oikeutettuja</w:t>
            </w:r>
          </w:p>
          <w:p w14:paraId="7FE1B7F6" w14:textId="71A166CE" w:rsidR="00B81226" w:rsidRDefault="00B82AC2">
            <w:pPr>
              <w:pStyle w:val="P68B1DB1-ListParagraph25"/>
              <w:numPr>
                <w:ilvl w:val="0"/>
                <w:numId w:val="298"/>
              </w:numPr>
              <w:spacing w:before="108"/>
              <w:jc w:val="both"/>
            </w:pPr>
            <w:r>
              <w:t>Johdannaisista aiheutuvat velat</w:t>
            </w:r>
          </w:p>
          <w:p w14:paraId="7FE1B7F7" w14:textId="57F1D715" w:rsidR="00B81226" w:rsidRDefault="00B82AC2">
            <w:pPr>
              <w:pStyle w:val="P68B1DB1-ListParagraph25"/>
              <w:numPr>
                <w:ilvl w:val="0"/>
                <w:numId w:val="298"/>
              </w:numPr>
              <w:spacing w:before="108"/>
              <w:jc w:val="both"/>
            </w:pPr>
            <w:r>
              <w:t>Alivakuudelliset velat (”uncollateralised secured liabilities”)</w:t>
            </w:r>
          </w:p>
          <w:p w14:paraId="7FE1B7F8" w14:textId="73D53058" w:rsidR="00B81226" w:rsidRDefault="00B82AC2">
            <w:pPr>
              <w:pStyle w:val="P68B1DB1-ListParagraph25"/>
              <w:numPr>
                <w:ilvl w:val="0"/>
                <w:numId w:val="298"/>
              </w:numPr>
              <w:spacing w:before="108"/>
              <w:jc w:val="both"/>
            </w:pPr>
            <w:r>
              <w:t>Strukturoidut velkakirjat</w:t>
            </w:r>
          </w:p>
          <w:p w14:paraId="7FE1B7F9" w14:textId="54AC9980" w:rsidR="00B81226" w:rsidRDefault="00B82AC2">
            <w:pPr>
              <w:pStyle w:val="P68B1DB1-ListParagraph25"/>
              <w:numPr>
                <w:ilvl w:val="0"/>
                <w:numId w:val="298"/>
              </w:numPr>
              <w:spacing w:before="108"/>
              <w:jc w:val="both"/>
            </w:pPr>
            <w:r>
              <w:t>Etuoikeutettuihin saamisiin kuuluvat vakuudettomat velat</w:t>
            </w:r>
          </w:p>
          <w:p w14:paraId="7FE1B7FA" w14:textId="7C89B550" w:rsidR="00B81226" w:rsidRDefault="00B82AC2">
            <w:pPr>
              <w:pStyle w:val="P68B1DB1-ListParagraph25"/>
              <w:numPr>
                <w:ilvl w:val="0"/>
                <w:numId w:val="298"/>
              </w:numPr>
              <w:spacing w:before="108"/>
              <w:jc w:val="both"/>
            </w:pPr>
            <w:r>
              <w:t>Etuoikeutettuihin saataviin kuuluvat huonomman etuoikeudet velat (SNP-velat)</w:t>
            </w:r>
          </w:p>
          <w:p w14:paraId="7FE1B7FB" w14:textId="49FDBAE5" w:rsidR="00B81226" w:rsidRDefault="00B82AC2">
            <w:pPr>
              <w:pStyle w:val="P68B1DB1-ListParagraph25"/>
              <w:numPr>
                <w:ilvl w:val="0"/>
                <w:numId w:val="298"/>
              </w:numPr>
              <w:spacing w:before="108"/>
              <w:jc w:val="both"/>
            </w:pPr>
            <w:r>
              <w:t>Etuoikeudeltaan huonommat velat (muut kuin omat varat)</w:t>
            </w:r>
          </w:p>
          <w:p w14:paraId="7FE1B7FC" w14:textId="25F7AE59" w:rsidR="00B81226" w:rsidRDefault="00B82AC2">
            <w:pPr>
              <w:pStyle w:val="P68B1DB1-ListParagraph25"/>
              <w:numPr>
                <w:ilvl w:val="0"/>
                <w:numId w:val="298"/>
              </w:numPr>
              <w:spacing w:before="108"/>
              <w:jc w:val="both"/>
            </w:pPr>
            <w:r>
              <w:t>Muut MREL-hyväksyttävät velat</w:t>
            </w:r>
          </w:p>
          <w:p w14:paraId="7FE1B7FD" w14:textId="29E846ED" w:rsidR="00B81226" w:rsidRDefault="00B82AC2">
            <w:pPr>
              <w:pStyle w:val="P68B1DB1-ListParagraph25"/>
              <w:numPr>
                <w:ilvl w:val="0"/>
                <w:numId w:val="298"/>
              </w:numPr>
              <w:spacing w:before="108"/>
              <w:jc w:val="both"/>
            </w:pPr>
            <w:r>
              <w:t>Rahoitusvaroihin kuulumattomat velat</w:t>
            </w:r>
          </w:p>
          <w:p w14:paraId="7FE1B7FE" w14:textId="4EF5CD96" w:rsidR="00B81226" w:rsidRDefault="00B82AC2">
            <w:pPr>
              <w:pStyle w:val="P68B1DB1-ListParagraph25"/>
              <w:numPr>
                <w:ilvl w:val="0"/>
                <w:numId w:val="298"/>
              </w:numPr>
              <w:spacing w:before="108"/>
              <w:jc w:val="both"/>
            </w:pPr>
            <w:r>
              <w:t>Muut velat</w:t>
            </w:r>
          </w:p>
          <w:p w14:paraId="7FE1B7FF" w14:textId="77777777" w:rsidR="00B81226" w:rsidRDefault="00B82AC2">
            <w:pPr>
              <w:pStyle w:val="P68B1DB1-TableParagraph17"/>
              <w:spacing w:before="108"/>
              <w:ind w:left="85"/>
              <w:jc w:val="both"/>
            </w:pPr>
            <w:r>
              <w:t>Jos suurelle vastapuolelle olevat velat koostuvat useammasta kuin yhdestä edellä mainitusta tyypistä, kaikki velan tyypit on ilmoitettava erillisellä rivillä.</w:t>
            </w:r>
          </w:p>
        </w:tc>
      </w:tr>
      <w:tr w:rsidR="00B81226" w14:paraId="7FE1B804" w14:textId="77777777">
        <w:tc>
          <w:tcPr>
            <w:tcW w:w="907" w:type="dxa"/>
            <w:tcBorders>
              <w:top w:val="single" w:sz="4" w:space="0" w:color="1A171C"/>
              <w:left w:val="nil"/>
              <w:bottom w:val="single" w:sz="4" w:space="0" w:color="1A171C"/>
              <w:right w:val="single" w:sz="4" w:space="0" w:color="1A171C"/>
            </w:tcBorders>
            <w:vAlign w:val="center"/>
          </w:tcPr>
          <w:p w14:paraId="7FE1B801" w14:textId="77777777" w:rsidR="00B81226" w:rsidRDefault="00B82AC2">
            <w:pPr>
              <w:pStyle w:val="P68B1DB1-TableParagraph17"/>
              <w:spacing w:before="108"/>
              <w:ind w:left="85"/>
              <w:jc w:val="both"/>
            </w:pPr>
            <w:r>
              <w:t>0070</w:t>
            </w:r>
          </w:p>
        </w:tc>
        <w:tc>
          <w:tcPr>
            <w:tcW w:w="8119" w:type="dxa"/>
            <w:tcBorders>
              <w:top w:val="single" w:sz="4" w:space="0" w:color="1A171C"/>
              <w:left w:val="single" w:sz="4" w:space="0" w:color="1A171C"/>
              <w:bottom w:val="single" w:sz="4" w:space="0" w:color="1A171C"/>
              <w:right w:val="nil"/>
            </w:tcBorders>
            <w:vAlign w:val="center"/>
          </w:tcPr>
          <w:p w14:paraId="7FE1B802" w14:textId="77777777" w:rsidR="00B81226" w:rsidRDefault="00B82AC2">
            <w:pPr>
              <w:pStyle w:val="P68B1DB1-TableParagraph14"/>
              <w:spacing w:before="108"/>
              <w:ind w:left="85"/>
              <w:jc w:val="both"/>
              <w:rPr>
                <w:bCs/>
              </w:rPr>
            </w:pPr>
            <w:r>
              <w:t>Määrä</w:t>
            </w:r>
          </w:p>
          <w:p w14:paraId="7FE1B803" w14:textId="46DCC504" w:rsidR="00B81226" w:rsidRDefault="00B82AC2">
            <w:pPr>
              <w:pStyle w:val="P68B1DB1-TableParagraph17"/>
              <w:spacing w:before="108"/>
              <w:ind w:left="85"/>
              <w:jc w:val="both"/>
            </w:pPr>
            <w:r>
              <w:t>Määrän on vastattava lomakkeessa Z 02.00 – ”Vastuiden rakenne” määriteltyä ”jäljellä olevaa määrää”. Jos kyseessä ovat johdannaisista aiheutuvat velat (tyyppi L.3), ilmoitetaan sulkeutumismäärät, kuten ne on määritelty lomakkeen Z 02.00 riviä 0333 varten.</w:t>
            </w:r>
          </w:p>
        </w:tc>
      </w:tr>
    </w:tbl>
    <w:p w14:paraId="7FE1B805" w14:textId="77777777" w:rsidR="00B81226" w:rsidRDefault="00B81226">
      <w:pPr>
        <w:pStyle w:val="body"/>
        <w:rPr>
          <w:rFonts w:ascii="Times New Roman" w:hAnsi="Times New Roman" w:cs="Times New Roman"/>
          <w:color w:val="000000" w:themeColor="text1"/>
          <w:sz w:val="20"/>
          <w:szCs w:val="20"/>
        </w:rPr>
      </w:pPr>
    </w:p>
    <w:p w14:paraId="7FE1B806" w14:textId="1E7EF5E9" w:rsidR="00B81226" w:rsidRDefault="00B82AC2">
      <w:pPr>
        <w:pStyle w:val="P68B1DB1-Instructionsberschrift25"/>
        <w:numPr>
          <w:ilvl w:val="1"/>
          <w:numId w:val="49"/>
        </w:numPr>
        <w:ind w:left="357" w:hanging="357"/>
      </w:pPr>
      <w:bookmarkStart w:id="71" w:name="_Toc81454185"/>
      <w:bookmarkStart w:id="72" w:name="_Toc208245441"/>
      <w:r>
        <w:t>Z 05.02 – Suurimmat vastapuolet (taseen ulkopuoliset erät) (LIAB 6)</w:t>
      </w:r>
      <w:bookmarkEnd w:id="72"/>
    </w:p>
    <w:p w14:paraId="7FE1B807" w14:textId="77777777" w:rsidR="00B81226" w:rsidRDefault="00B82AC2">
      <w:pPr>
        <w:pStyle w:val="P68B1DB1-body26"/>
      </w:pPr>
      <w:r>
        <w:t>Tiettyjä kohtia koskevat ohjeet</w:t>
      </w:r>
      <w:bookmarkEnd w:id="71"/>
    </w:p>
    <w:p w14:paraId="7FE1B808" w14:textId="77777777" w:rsidR="00B81226" w:rsidRDefault="00B82AC2">
      <w:pPr>
        <w:pStyle w:val="P68B1DB1-InstructionsText26"/>
        <w:numPr>
          <w:ilvl w:val="0"/>
          <w:numId w:val="232"/>
        </w:numPr>
        <w:spacing w:before="0"/>
      </w:pPr>
      <w:r>
        <w:t>Tämän lomakkeen sarakkeissa 0020 ja 0060 ilmoitetut arvot yhdessä muodostavat ensisijaisen avaimen, jonka on oltava yksilöllinen lomakkeen jokaiselle riville.</w:t>
      </w:r>
    </w:p>
    <w:tbl>
      <w:tblPr>
        <w:tblW w:w="0" w:type="auto"/>
        <w:tblCellMar>
          <w:top w:w="57" w:type="dxa"/>
          <w:left w:w="57" w:type="dxa"/>
          <w:bottom w:w="57" w:type="dxa"/>
          <w:right w:w="0" w:type="dxa"/>
        </w:tblCellMar>
        <w:tblLook w:val="01E0" w:firstRow="1" w:lastRow="1" w:firstColumn="1" w:lastColumn="1" w:noHBand="0" w:noVBand="0"/>
      </w:tblPr>
      <w:tblGrid>
        <w:gridCol w:w="931"/>
        <w:gridCol w:w="8095"/>
      </w:tblGrid>
      <w:tr w:rsidR="00B81226" w14:paraId="7FE1B80B" w14:textId="77777777">
        <w:trPr>
          <w:tblHeader/>
        </w:trPr>
        <w:tc>
          <w:tcPr>
            <w:tcW w:w="909" w:type="dxa"/>
            <w:tcBorders>
              <w:top w:val="single" w:sz="4" w:space="0" w:color="1A171C"/>
              <w:left w:val="nil"/>
              <w:bottom w:val="single" w:sz="4" w:space="0" w:color="1A171C"/>
              <w:right w:val="single" w:sz="4" w:space="0" w:color="1A171C"/>
            </w:tcBorders>
            <w:shd w:val="clear" w:color="auto" w:fill="E4E5E5"/>
          </w:tcPr>
          <w:p w14:paraId="7FE1B809" w14:textId="77777777" w:rsidR="00B81226" w:rsidRDefault="00B82AC2">
            <w:pPr>
              <w:pStyle w:val="P68B1DB1-TableParagraph17"/>
              <w:spacing w:before="108"/>
              <w:ind w:left="85"/>
              <w:jc w:val="both"/>
            </w:pPr>
            <w:r>
              <w:t>Sarakkeet</w:t>
            </w:r>
          </w:p>
        </w:tc>
        <w:tc>
          <w:tcPr>
            <w:tcW w:w="8174" w:type="dxa"/>
            <w:tcBorders>
              <w:top w:val="single" w:sz="4" w:space="0" w:color="1A171C"/>
              <w:left w:val="single" w:sz="4" w:space="0" w:color="1A171C"/>
              <w:bottom w:val="single" w:sz="4" w:space="0" w:color="1A171C"/>
              <w:right w:val="nil"/>
            </w:tcBorders>
            <w:shd w:val="clear" w:color="auto" w:fill="E4E5E5"/>
          </w:tcPr>
          <w:p w14:paraId="7FE1B80A" w14:textId="77777777" w:rsidR="00B81226" w:rsidRDefault="00B82AC2">
            <w:pPr>
              <w:pStyle w:val="P68B1DB1-TableParagraph17"/>
              <w:spacing w:before="108"/>
              <w:ind w:left="85" w:right="1"/>
              <w:jc w:val="both"/>
            </w:pPr>
            <w:r>
              <w:t>Ohjeet</w:t>
            </w:r>
          </w:p>
        </w:tc>
      </w:tr>
      <w:tr w:rsidR="00B81226" w14:paraId="7FE1B813" w14:textId="77777777">
        <w:tc>
          <w:tcPr>
            <w:tcW w:w="909" w:type="dxa"/>
            <w:tcBorders>
              <w:top w:val="single" w:sz="4" w:space="0" w:color="1A171C"/>
              <w:left w:val="nil"/>
              <w:bottom w:val="single" w:sz="4" w:space="0" w:color="1A171C"/>
              <w:right w:val="single" w:sz="4" w:space="0" w:color="1A171C"/>
            </w:tcBorders>
            <w:vAlign w:val="center"/>
          </w:tcPr>
          <w:p w14:paraId="7FE1B80C" w14:textId="77777777" w:rsidR="00B81226" w:rsidRDefault="00B82AC2">
            <w:pPr>
              <w:pStyle w:val="P68B1DB1-TableParagraph17"/>
              <w:spacing w:before="108"/>
              <w:ind w:left="85"/>
              <w:jc w:val="both"/>
            </w:pPr>
            <w:r>
              <w:t>0010–0050</w:t>
            </w:r>
          </w:p>
        </w:tc>
        <w:tc>
          <w:tcPr>
            <w:tcW w:w="8174" w:type="dxa"/>
            <w:tcBorders>
              <w:top w:val="single" w:sz="4" w:space="0" w:color="1A171C"/>
              <w:left w:val="single" w:sz="4" w:space="0" w:color="1A171C"/>
              <w:bottom w:val="single" w:sz="4" w:space="0" w:color="1A171C"/>
              <w:right w:val="nil"/>
            </w:tcBorders>
            <w:vAlign w:val="center"/>
          </w:tcPr>
          <w:p w14:paraId="7FE1B80D" w14:textId="58163846" w:rsidR="00B81226" w:rsidRDefault="00B82AC2">
            <w:pPr>
              <w:pStyle w:val="P68B1DB1-TableParagraph14"/>
              <w:spacing w:before="108"/>
              <w:ind w:left="85"/>
              <w:jc w:val="both"/>
              <w:rPr>
                <w:bCs/>
              </w:rPr>
            </w:pPr>
            <w:r>
              <w:t>Vastapuoli</w:t>
            </w:r>
          </w:p>
          <w:p w14:paraId="7FE1B80E" w14:textId="77777777" w:rsidR="00B81226" w:rsidRDefault="00B82AC2">
            <w:pPr>
              <w:pStyle w:val="P68B1DB1-TableParagraph17"/>
              <w:spacing w:before="108"/>
              <w:ind w:left="85"/>
              <w:jc w:val="both"/>
            </w:pPr>
            <w:r>
              <w:t>Tiedot suurimmista vastapuolista (taseen ulkopuoliset erät).</w:t>
            </w:r>
          </w:p>
          <w:p w14:paraId="7FE1B80F" w14:textId="77777777" w:rsidR="00B81226" w:rsidRDefault="00B82AC2">
            <w:pPr>
              <w:pStyle w:val="P68B1DB1-TableParagraph17"/>
              <w:spacing w:before="108"/>
              <w:ind w:left="85"/>
              <w:jc w:val="both"/>
            </w:pPr>
            <w:r>
              <w:lastRenderedPageBreak/>
              <w:t xml:space="preserve">Suurimmat taseen ulkopuoliset vastapuolet määritetään laskemalla yhteen niiden sitoumusten ja takausten (FINREP-lomakkeen F 09 mukainen) kokonaisnimellisarvo, jotka raportoinnin kohteena oleva yhteisö tai olevat konserniyhteisöt ovat saaneet vastapuolilta tai asiakaskokonaisuudelta. Suurimpiin taseen ulkopuolisiin vastapuoliin ei sisällytetä konsernin konsernitilinpäätökseen sisältyviä yhteisöjä. Vastapuolet ja asiakaskokonaisuudet asetetaan tämän jälkeen järjestykseen yhteenlasketun jäljellä olevan määrän </w:t>
            </w:r>
            <w:r>
              <w:t>perusteella, jotta voidaan määrittää 10 suurinta taseen ulkopuolista vastapuolta, joista tässä lomakkeessa on annettava tiedot.</w:t>
            </w:r>
          </w:p>
          <w:p w14:paraId="7FE1B810" w14:textId="0F5F36E1" w:rsidR="00B81226" w:rsidRDefault="00B82AC2">
            <w:pPr>
              <w:pStyle w:val="P68B1DB1-Normal18"/>
              <w:spacing w:line="257" w:lineRule="auto"/>
              <w:ind w:left="25"/>
              <w:jc w:val="both"/>
            </w:pPr>
            <w:r>
              <w:t>Johdannaisia ei sisällytetä edellä kuvattuun kymmeneen parhaaseen luokkaan: ilmoita tässä erillinen luettelo viidestä taseen ulkopuolisesta suurimmasta vastapuolesta, jotta voidaan välttää se, että Z 05.02-raportti sisältää ainoastaan johdannaissaldot.</w:t>
            </w:r>
          </w:p>
          <w:p w14:paraId="7FE1B812" w14:textId="5E923404" w:rsidR="00B81226" w:rsidRDefault="00B81226">
            <w:pPr>
              <w:pStyle w:val="TableParagraph"/>
              <w:spacing w:before="108"/>
              <w:jc w:val="both"/>
              <w:rPr>
                <w:rFonts w:ascii="Times New Roman" w:eastAsia="Cambria" w:hAnsi="Times New Roman" w:cs="Times New Roman"/>
                <w:color w:val="000000" w:themeColor="text1"/>
                <w:sz w:val="20"/>
                <w:szCs w:val="20"/>
              </w:rPr>
            </w:pPr>
          </w:p>
        </w:tc>
      </w:tr>
      <w:tr w:rsidR="00B81226" w14:paraId="7FE1B818" w14:textId="77777777">
        <w:tc>
          <w:tcPr>
            <w:tcW w:w="909" w:type="dxa"/>
            <w:tcBorders>
              <w:top w:val="single" w:sz="4" w:space="0" w:color="1A171C"/>
              <w:left w:val="nil"/>
              <w:bottom w:val="single" w:sz="4" w:space="0" w:color="1A171C"/>
              <w:right w:val="single" w:sz="4" w:space="0" w:color="1A171C"/>
            </w:tcBorders>
            <w:vAlign w:val="center"/>
          </w:tcPr>
          <w:p w14:paraId="7FE1B814" w14:textId="77777777" w:rsidR="00B81226" w:rsidRDefault="00B82AC2">
            <w:pPr>
              <w:pStyle w:val="P68B1DB1-TableParagraph17"/>
              <w:spacing w:before="108"/>
              <w:ind w:left="85"/>
              <w:jc w:val="both"/>
            </w:pPr>
            <w:r>
              <w:lastRenderedPageBreak/>
              <w:t>0010</w:t>
            </w:r>
          </w:p>
        </w:tc>
        <w:tc>
          <w:tcPr>
            <w:tcW w:w="8174" w:type="dxa"/>
            <w:tcBorders>
              <w:top w:val="single" w:sz="4" w:space="0" w:color="1A171C"/>
              <w:left w:val="single" w:sz="4" w:space="0" w:color="1A171C"/>
              <w:bottom w:val="single" w:sz="4" w:space="0" w:color="1A171C"/>
              <w:right w:val="nil"/>
            </w:tcBorders>
            <w:vAlign w:val="center"/>
          </w:tcPr>
          <w:p w14:paraId="7FE1B815" w14:textId="77777777" w:rsidR="00B81226" w:rsidRDefault="00B82AC2">
            <w:pPr>
              <w:pStyle w:val="P68B1DB1-TableParagraph14"/>
              <w:spacing w:before="108"/>
              <w:ind w:left="85"/>
              <w:jc w:val="both"/>
              <w:rPr>
                <w:bCs/>
              </w:rPr>
            </w:pPr>
            <w:r>
              <w:t>Yhteisön nimi</w:t>
            </w:r>
          </w:p>
          <w:p w14:paraId="7FE1B816" w14:textId="77777777" w:rsidR="00B81226" w:rsidRDefault="00B82AC2">
            <w:pPr>
              <w:pStyle w:val="P68B1DB1-Normal18"/>
              <w:spacing w:before="108"/>
              <w:ind w:left="85"/>
              <w:jc w:val="both"/>
            </w:pPr>
            <w:r>
              <w:t>Suuren vastapuolen nimi taikka tapauksen mukaan asiakaskokonaisuuden nimi.</w:t>
            </w:r>
          </w:p>
          <w:p w14:paraId="7FE1B817" w14:textId="29E2618F" w:rsidR="00B81226" w:rsidRDefault="00B82AC2">
            <w:pPr>
              <w:pStyle w:val="P68B1DB1-TableParagraph17"/>
              <w:spacing w:before="108"/>
              <w:ind w:left="85"/>
              <w:jc w:val="both"/>
            </w:pPr>
            <w:r>
              <w:t>Asiakaskokonaisuuden nimi on emoyhtiön nimi tai, jos asiakaskokonaisuudella ei ole emoyhtiötä, konsernin kaupallinen nimi.</w:t>
            </w:r>
          </w:p>
        </w:tc>
      </w:tr>
      <w:tr w:rsidR="00B81226" w14:paraId="7FE1B81D" w14:textId="77777777">
        <w:tc>
          <w:tcPr>
            <w:tcW w:w="909" w:type="dxa"/>
            <w:tcBorders>
              <w:top w:val="single" w:sz="4" w:space="0" w:color="1A171C"/>
              <w:left w:val="nil"/>
              <w:bottom w:val="single" w:sz="4" w:space="0" w:color="1A171C"/>
              <w:right w:val="single" w:sz="4" w:space="0" w:color="1A171C"/>
            </w:tcBorders>
            <w:vAlign w:val="center"/>
          </w:tcPr>
          <w:p w14:paraId="7FE1B819" w14:textId="77777777" w:rsidR="00B81226" w:rsidRDefault="00B82AC2">
            <w:pPr>
              <w:pStyle w:val="P68B1DB1-TableParagraph17"/>
              <w:spacing w:before="108"/>
              <w:ind w:left="85"/>
              <w:jc w:val="both"/>
            </w:pPr>
            <w:r>
              <w:t>0020</w:t>
            </w:r>
          </w:p>
        </w:tc>
        <w:tc>
          <w:tcPr>
            <w:tcW w:w="8174" w:type="dxa"/>
            <w:tcBorders>
              <w:top w:val="single" w:sz="4" w:space="0" w:color="1A171C"/>
              <w:left w:val="single" w:sz="4" w:space="0" w:color="1A171C"/>
              <w:bottom w:val="single" w:sz="4" w:space="0" w:color="1A171C"/>
              <w:right w:val="nil"/>
            </w:tcBorders>
            <w:vAlign w:val="center"/>
          </w:tcPr>
          <w:p w14:paraId="7FE1B81A" w14:textId="77777777" w:rsidR="00B81226" w:rsidRDefault="00B82AC2">
            <w:pPr>
              <w:pStyle w:val="P68B1DB1-TableParagraph14"/>
              <w:spacing w:before="108"/>
              <w:ind w:left="85"/>
              <w:jc w:val="both"/>
              <w:rPr>
                <w:bCs/>
              </w:rPr>
            </w:pPr>
            <w:r>
              <w:t>Koodi</w:t>
            </w:r>
          </w:p>
          <w:p w14:paraId="7FE1B81B" w14:textId="77777777" w:rsidR="00B81226" w:rsidRDefault="00B82AC2">
            <w:pPr>
              <w:pStyle w:val="P68B1DB1-TableParagraph17"/>
              <w:spacing w:before="108"/>
              <w:ind w:left="85"/>
              <w:jc w:val="both"/>
            </w:pPr>
            <w:r>
              <w:t>Suuren vastapuolen taikka asiakaskokonaisuuden koodi. Laitosten osalta koodin on oltava 20-numeroinen, aakkosnumeerinen LEI-tunnus. Muiden yhteisöjen osalta koodin on oltava 20-numeroinen, aakkosnumeerinen LEI-tunnus tai, jos sitä ei ole käytettävissä, unionin yhdenmukaisen kodifioinnin mukainen koodi tai, jos sitä ei ole käytettävissä, kansallinen koodi.</w:t>
            </w:r>
          </w:p>
          <w:p w14:paraId="7FE1B81C" w14:textId="6CC57833" w:rsidR="00B81226" w:rsidRDefault="00B82AC2">
            <w:pPr>
              <w:pStyle w:val="P68B1DB1-TableParagraph17"/>
              <w:spacing w:before="108"/>
              <w:ind w:left="85"/>
              <w:jc w:val="both"/>
            </w:pPr>
            <w:r>
              <w:t>Koodin on oltava yksilöllinen, ja sitä on käytettävä johdonmukaisesti lomakkeissa.</w:t>
            </w:r>
          </w:p>
        </w:tc>
      </w:tr>
      <w:tr w:rsidR="00B81226" w14:paraId="7FE1B823" w14:textId="77777777">
        <w:tc>
          <w:tcPr>
            <w:tcW w:w="909" w:type="dxa"/>
            <w:tcBorders>
              <w:top w:val="single" w:sz="4" w:space="0" w:color="1A171C"/>
              <w:left w:val="nil"/>
              <w:bottom w:val="single" w:sz="4" w:space="0" w:color="1A171C"/>
              <w:right w:val="single" w:sz="4" w:space="0" w:color="1A171C"/>
            </w:tcBorders>
            <w:vAlign w:val="center"/>
          </w:tcPr>
          <w:p w14:paraId="7FE1B81E" w14:textId="77777777" w:rsidR="00B81226" w:rsidRDefault="00B82AC2">
            <w:pPr>
              <w:pStyle w:val="P68B1DB1-TableParagraph17"/>
              <w:spacing w:before="108"/>
              <w:ind w:left="85"/>
              <w:jc w:val="both"/>
            </w:pPr>
            <w:r>
              <w:t>0025</w:t>
            </w:r>
          </w:p>
        </w:tc>
        <w:tc>
          <w:tcPr>
            <w:tcW w:w="8174" w:type="dxa"/>
            <w:tcBorders>
              <w:top w:val="single" w:sz="4" w:space="0" w:color="1A171C"/>
              <w:left w:val="single" w:sz="4" w:space="0" w:color="1A171C"/>
              <w:bottom w:val="single" w:sz="4" w:space="0" w:color="1A171C"/>
              <w:right w:val="nil"/>
            </w:tcBorders>
            <w:vAlign w:val="center"/>
          </w:tcPr>
          <w:p w14:paraId="7FE1B81F" w14:textId="77777777" w:rsidR="00B81226" w:rsidRDefault="00B82AC2">
            <w:pPr>
              <w:pStyle w:val="P68B1DB1-TableParagraph14"/>
              <w:spacing w:before="108"/>
              <w:ind w:left="85"/>
              <w:jc w:val="both"/>
              <w:rPr>
                <w:bCs/>
              </w:rPr>
            </w:pPr>
            <w:r>
              <w:t>Koodin tyyppi</w:t>
            </w:r>
          </w:p>
          <w:p w14:paraId="7FE1B821" w14:textId="6020ACA4" w:rsidR="00B81226" w:rsidRDefault="00B82AC2">
            <w:pPr>
              <w:pStyle w:val="P68B1DB1-TableParagraph13"/>
              <w:spacing w:before="108"/>
            </w:pPr>
            <w:r>
              <w:t>Tässä on valittava seuraavista vaihtoehdoista: LEI-tunnus, MFI-tunnus tai muu tunnisteen tyyppi kuin LEI- tai MFI-tunnus.</w:t>
            </w:r>
          </w:p>
          <w:p w14:paraId="7FE1B822" w14:textId="77777777" w:rsidR="00B81226" w:rsidRDefault="00B82AC2">
            <w:pPr>
              <w:pStyle w:val="P68B1DB1-TableParagraph13"/>
              <w:spacing w:before="108"/>
              <w:ind w:left="85"/>
              <w:jc w:val="both"/>
              <w:rPr>
                <w:b/>
                <w:bCs/>
              </w:rPr>
            </w:pPr>
            <w:r>
              <w:t>Yhteisöt on yksilöitävä johdonmukaisesti kaikissa lomakkeissa.</w:t>
            </w:r>
          </w:p>
        </w:tc>
      </w:tr>
      <w:tr w:rsidR="00B81226" w14:paraId="7FE1B827" w14:textId="77777777">
        <w:tc>
          <w:tcPr>
            <w:tcW w:w="909" w:type="dxa"/>
            <w:tcBorders>
              <w:top w:val="single" w:sz="4" w:space="0" w:color="1A171C"/>
              <w:left w:val="nil"/>
              <w:bottom w:val="single" w:sz="4" w:space="0" w:color="1A171C"/>
              <w:right w:val="single" w:sz="4" w:space="0" w:color="1A171C"/>
            </w:tcBorders>
            <w:vAlign w:val="center"/>
          </w:tcPr>
          <w:p w14:paraId="7FE1B824" w14:textId="77777777" w:rsidR="00B81226" w:rsidRDefault="00B82AC2">
            <w:pPr>
              <w:pStyle w:val="P68B1DB1-TableParagraph17"/>
              <w:spacing w:before="108"/>
              <w:ind w:left="85"/>
              <w:jc w:val="both"/>
            </w:pPr>
            <w:r>
              <w:t>0030</w:t>
            </w:r>
          </w:p>
        </w:tc>
        <w:tc>
          <w:tcPr>
            <w:tcW w:w="8174" w:type="dxa"/>
            <w:tcBorders>
              <w:top w:val="single" w:sz="4" w:space="0" w:color="1A171C"/>
              <w:left w:val="single" w:sz="4" w:space="0" w:color="1A171C"/>
              <w:bottom w:val="single" w:sz="4" w:space="0" w:color="1A171C"/>
              <w:right w:val="nil"/>
            </w:tcBorders>
            <w:vAlign w:val="center"/>
          </w:tcPr>
          <w:p w14:paraId="7FE1B825" w14:textId="77777777" w:rsidR="00B81226" w:rsidRDefault="00B82AC2">
            <w:pPr>
              <w:pStyle w:val="P68B1DB1-TableParagraph14"/>
              <w:spacing w:before="108"/>
              <w:ind w:left="85"/>
              <w:jc w:val="both"/>
              <w:rPr>
                <w:bCs/>
              </w:rPr>
            </w:pPr>
            <w:r>
              <w:t>Konserni tai yksittäinen asiakas</w:t>
            </w:r>
          </w:p>
          <w:p w14:paraId="2E0A09DE" w14:textId="77777777" w:rsidR="00B81226" w:rsidRDefault="00B82AC2">
            <w:pPr>
              <w:pStyle w:val="P68B1DB1-Normal18"/>
              <w:ind w:left="85"/>
            </w:pPr>
            <w:r>
              <w:t>Laitoksen on ilmoitettava</w:t>
            </w:r>
          </w:p>
          <w:p w14:paraId="52295733" w14:textId="77777777" w:rsidR="00B81226" w:rsidRDefault="00B82AC2">
            <w:pPr>
              <w:pStyle w:val="P68B1DB1-ListParagraph25"/>
              <w:numPr>
                <w:ilvl w:val="0"/>
                <w:numId w:val="297"/>
              </w:numPr>
            </w:pPr>
            <w:r>
              <w:t>Yksittäiset vastapuolet;</w:t>
            </w:r>
          </w:p>
          <w:p w14:paraId="7FE1B826" w14:textId="76B98F2C" w:rsidR="00B81226" w:rsidRDefault="00B82AC2">
            <w:pPr>
              <w:pStyle w:val="P68B1DB1-TableParagraph17"/>
              <w:numPr>
                <w:ilvl w:val="0"/>
                <w:numId w:val="297"/>
              </w:numPr>
              <w:spacing w:before="108"/>
              <w:jc w:val="both"/>
            </w:pPr>
            <w:r>
              <w:t>Asiakaskokonaisuudet.</w:t>
            </w:r>
          </w:p>
        </w:tc>
      </w:tr>
      <w:tr w:rsidR="00B81226" w14:paraId="7FE1B82C" w14:textId="77777777">
        <w:tc>
          <w:tcPr>
            <w:tcW w:w="909" w:type="dxa"/>
            <w:tcBorders>
              <w:top w:val="single" w:sz="4" w:space="0" w:color="1A171C"/>
              <w:left w:val="nil"/>
              <w:bottom w:val="single" w:sz="4" w:space="0" w:color="1A171C"/>
              <w:right w:val="single" w:sz="4" w:space="0" w:color="1A171C"/>
            </w:tcBorders>
            <w:vAlign w:val="center"/>
          </w:tcPr>
          <w:p w14:paraId="7FE1B828" w14:textId="77777777" w:rsidR="00B81226" w:rsidRDefault="00B82AC2">
            <w:pPr>
              <w:pStyle w:val="P68B1DB1-TableParagraph17"/>
              <w:spacing w:before="108"/>
              <w:ind w:left="85"/>
              <w:jc w:val="both"/>
            </w:pPr>
            <w:r>
              <w:t>0040</w:t>
            </w:r>
          </w:p>
        </w:tc>
        <w:tc>
          <w:tcPr>
            <w:tcW w:w="8174" w:type="dxa"/>
            <w:tcBorders>
              <w:top w:val="single" w:sz="4" w:space="0" w:color="1A171C"/>
              <w:left w:val="single" w:sz="4" w:space="0" w:color="1A171C"/>
              <w:bottom w:val="single" w:sz="4" w:space="0" w:color="1A171C"/>
              <w:right w:val="nil"/>
            </w:tcBorders>
            <w:vAlign w:val="center"/>
          </w:tcPr>
          <w:p w14:paraId="7FE1B829" w14:textId="77777777" w:rsidR="00B81226" w:rsidRDefault="00B82AC2">
            <w:pPr>
              <w:pStyle w:val="P68B1DB1-TableParagraph14"/>
              <w:spacing w:before="108"/>
              <w:ind w:left="85"/>
              <w:jc w:val="both"/>
              <w:rPr>
                <w:bCs/>
              </w:rPr>
            </w:pPr>
            <w:r>
              <w:t>Maa</w:t>
            </w:r>
          </w:p>
          <w:p w14:paraId="7FE1B82A" w14:textId="77777777" w:rsidR="00B81226" w:rsidRDefault="00B82AC2">
            <w:pPr>
              <w:pStyle w:val="P68B1DB1-Normal18"/>
              <w:spacing w:before="108"/>
              <w:ind w:left="85"/>
              <w:contextualSpacing/>
              <w:jc w:val="both"/>
            </w:pPr>
            <w:r>
              <w:t xml:space="preserve">Vastapuolen rekisteröintimaan ISO 3166–1-alpha-2-koodi. Tähän sisältyvät kansainvälisten järjestöjen ISO-pseudokoodit, jotka ovat saatavissa Eurostatin maksutasekäsikirjan ”Balance of Payments Vademecum” viimeisimmässä painoksessa. </w:t>
            </w:r>
          </w:p>
          <w:p w14:paraId="7FE1B82B" w14:textId="47B683FE" w:rsidR="00B81226" w:rsidRDefault="00B82AC2">
            <w:pPr>
              <w:pStyle w:val="P68B1DB1-TableParagraph17"/>
              <w:spacing w:before="108"/>
              <w:ind w:left="85"/>
              <w:jc w:val="both"/>
            </w:pPr>
            <w:r>
              <w:t>Maa määritetään vastapuolen sääntömääräisen kotipaikan mukaan. Asiakaskokonaisuuksien osalta emoyhtiön perustamismaa.</w:t>
            </w:r>
          </w:p>
        </w:tc>
      </w:tr>
      <w:tr w:rsidR="00B81226" w14:paraId="7FE1B837" w14:textId="77777777">
        <w:tc>
          <w:tcPr>
            <w:tcW w:w="909" w:type="dxa"/>
            <w:tcBorders>
              <w:top w:val="single" w:sz="4" w:space="0" w:color="1A171C"/>
              <w:left w:val="nil"/>
              <w:bottom w:val="single" w:sz="4" w:space="0" w:color="1A171C"/>
              <w:right w:val="single" w:sz="4" w:space="0" w:color="1A171C"/>
            </w:tcBorders>
            <w:vAlign w:val="center"/>
          </w:tcPr>
          <w:p w14:paraId="7FE1B82D" w14:textId="77777777" w:rsidR="00B81226" w:rsidRDefault="00B82AC2">
            <w:pPr>
              <w:pStyle w:val="P68B1DB1-TableParagraph17"/>
              <w:spacing w:before="108"/>
              <w:ind w:left="85"/>
              <w:jc w:val="both"/>
            </w:pPr>
            <w:r>
              <w:t>0050</w:t>
            </w:r>
          </w:p>
        </w:tc>
        <w:tc>
          <w:tcPr>
            <w:tcW w:w="8174" w:type="dxa"/>
            <w:tcBorders>
              <w:top w:val="single" w:sz="4" w:space="0" w:color="1A171C"/>
              <w:left w:val="single" w:sz="4" w:space="0" w:color="1A171C"/>
              <w:bottom w:val="single" w:sz="4" w:space="0" w:color="1A171C"/>
              <w:right w:val="nil"/>
            </w:tcBorders>
            <w:vAlign w:val="center"/>
          </w:tcPr>
          <w:p w14:paraId="7FE1B82E" w14:textId="77777777" w:rsidR="00B81226" w:rsidRDefault="00B82AC2">
            <w:pPr>
              <w:pStyle w:val="P68B1DB1-TableParagraph14"/>
              <w:spacing w:before="108"/>
              <w:ind w:left="85"/>
              <w:jc w:val="both"/>
              <w:rPr>
                <w:bCs/>
              </w:rPr>
            </w:pPr>
            <w:r>
              <w:t>Ala</w:t>
            </w:r>
          </w:p>
          <w:p w14:paraId="7FE1B82F" w14:textId="77777777" w:rsidR="00B81226" w:rsidRDefault="00B82AC2">
            <w:pPr>
              <w:pStyle w:val="P68B1DB1-TableParagraph17"/>
              <w:spacing w:before="108"/>
              <w:ind w:left="85"/>
              <w:jc w:val="both"/>
            </w:pPr>
            <w:r>
              <w:t>Kullekin vastapuolelle valitaan yksi ala talouden alaa koskevasta FINREP-luokituksesta (FINREP-raportoinnin liitteessä V olevan 1 osan 6 luku):</w:t>
            </w:r>
          </w:p>
          <w:p w14:paraId="7FE1B830" w14:textId="77777777" w:rsidR="00B81226" w:rsidRDefault="00B82AC2">
            <w:pPr>
              <w:pStyle w:val="P68B1DB1-List127"/>
              <w:numPr>
                <w:ilvl w:val="0"/>
                <w:numId w:val="64"/>
              </w:numPr>
            </w:pPr>
            <w:r>
              <w:t>Keskuspankit</w:t>
            </w:r>
          </w:p>
          <w:p w14:paraId="7FE1B831" w14:textId="77777777" w:rsidR="00B81226" w:rsidRDefault="00B82AC2">
            <w:pPr>
              <w:pStyle w:val="P68B1DB1-List127"/>
              <w:numPr>
                <w:ilvl w:val="0"/>
                <w:numId w:val="64"/>
              </w:numPr>
            </w:pPr>
            <w:r>
              <w:t>Keskushallinnot</w:t>
            </w:r>
          </w:p>
          <w:p w14:paraId="7FE1B832" w14:textId="77777777" w:rsidR="00B81226" w:rsidRDefault="00B82AC2">
            <w:pPr>
              <w:pStyle w:val="P68B1DB1-List127"/>
              <w:numPr>
                <w:ilvl w:val="0"/>
                <w:numId w:val="64"/>
              </w:numPr>
            </w:pPr>
            <w:r>
              <w:t xml:space="preserve">Luottolaitokset: </w:t>
            </w:r>
          </w:p>
          <w:p w14:paraId="7FE1B833" w14:textId="77777777" w:rsidR="00B81226" w:rsidRDefault="00B82AC2">
            <w:pPr>
              <w:pStyle w:val="P68B1DB1-List127"/>
              <w:numPr>
                <w:ilvl w:val="0"/>
                <w:numId w:val="64"/>
              </w:numPr>
            </w:pPr>
            <w:r>
              <w:t>Muut rahoituslaitokset</w:t>
            </w:r>
          </w:p>
          <w:p w14:paraId="7FE1B834" w14:textId="77777777" w:rsidR="00B81226" w:rsidRDefault="00B82AC2">
            <w:pPr>
              <w:pStyle w:val="P68B1DB1-List127"/>
              <w:numPr>
                <w:ilvl w:val="0"/>
                <w:numId w:val="64"/>
              </w:numPr>
            </w:pPr>
            <w:r>
              <w:t>Rahoitusalan ulkopuoliset yritykset</w:t>
            </w:r>
          </w:p>
          <w:p w14:paraId="7FE1B835" w14:textId="77777777" w:rsidR="00B81226" w:rsidRDefault="00B82AC2">
            <w:pPr>
              <w:pStyle w:val="P68B1DB1-List127"/>
              <w:numPr>
                <w:ilvl w:val="0"/>
                <w:numId w:val="64"/>
              </w:numPr>
            </w:pPr>
            <w:r>
              <w:t>Kotitaloudet</w:t>
            </w:r>
          </w:p>
          <w:p w14:paraId="7FE1B836" w14:textId="3FF28E9A" w:rsidR="00B81226" w:rsidRDefault="00B82AC2">
            <w:pPr>
              <w:pStyle w:val="P68B1DB1-TableParagraph17"/>
              <w:spacing w:before="108"/>
              <w:ind w:left="85"/>
              <w:jc w:val="both"/>
            </w:pPr>
            <w:r>
              <w:lastRenderedPageBreak/>
              <w:t>Asiakaskokonaisuuksista ei raportoida alaa.</w:t>
            </w:r>
          </w:p>
        </w:tc>
      </w:tr>
      <w:tr w:rsidR="00B81226" w14:paraId="7FE1B840" w14:textId="77777777">
        <w:tc>
          <w:tcPr>
            <w:tcW w:w="909" w:type="dxa"/>
            <w:tcBorders>
              <w:top w:val="single" w:sz="4" w:space="0" w:color="1A171C"/>
              <w:left w:val="nil"/>
              <w:bottom w:val="single" w:sz="4" w:space="0" w:color="1A171C"/>
              <w:right w:val="single" w:sz="4" w:space="0" w:color="1A171C"/>
            </w:tcBorders>
            <w:vAlign w:val="center"/>
          </w:tcPr>
          <w:p w14:paraId="7FE1B838" w14:textId="77777777" w:rsidR="00B81226" w:rsidRDefault="00B82AC2">
            <w:pPr>
              <w:pStyle w:val="P68B1DB1-TableParagraph17"/>
              <w:spacing w:before="108"/>
              <w:ind w:left="85"/>
              <w:jc w:val="both"/>
            </w:pPr>
            <w:r>
              <w:lastRenderedPageBreak/>
              <w:t>0060</w:t>
            </w:r>
          </w:p>
        </w:tc>
        <w:tc>
          <w:tcPr>
            <w:tcW w:w="8174" w:type="dxa"/>
            <w:tcBorders>
              <w:top w:val="single" w:sz="4" w:space="0" w:color="1A171C"/>
              <w:left w:val="single" w:sz="4" w:space="0" w:color="1A171C"/>
              <w:bottom w:val="single" w:sz="4" w:space="0" w:color="1A171C"/>
              <w:right w:val="nil"/>
            </w:tcBorders>
            <w:vAlign w:val="center"/>
          </w:tcPr>
          <w:p w14:paraId="7FE1B839" w14:textId="77777777" w:rsidR="00B81226" w:rsidRDefault="00B82AC2">
            <w:pPr>
              <w:pStyle w:val="P68B1DB1-TableParagraph14"/>
              <w:spacing w:before="108"/>
              <w:ind w:left="85"/>
              <w:jc w:val="both"/>
              <w:rPr>
                <w:bCs/>
              </w:rPr>
            </w:pPr>
            <w:r>
              <w:t>Tyyppi</w:t>
            </w:r>
          </w:p>
          <w:p w14:paraId="7FE1B83A" w14:textId="77777777" w:rsidR="00B81226" w:rsidRDefault="00B82AC2">
            <w:pPr>
              <w:pStyle w:val="P68B1DB1-TableParagraph17"/>
              <w:spacing w:before="108"/>
              <w:ind w:left="85"/>
              <w:jc w:val="both"/>
            </w:pPr>
            <w:r>
              <w:t>Taseen ulkopuolisen vastuun tyypin on oltava jokin seuraavista FINREP-lomakkeessa F 09.02 määritellyistä:</w:t>
            </w:r>
          </w:p>
          <w:p w14:paraId="7FE1B83B" w14:textId="57556FED" w:rsidR="00B81226" w:rsidRDefault="00B82AC2">
            <w:pPr>
              <w:pStyle w:val="P68B1DB1-TableParagraph17"/>
              <w:numPr>
                <w:ilvl w:val="0"/>
                <w:numId w:val="299"/>
              </w:numPr>
              <w:spacing w:before="108"/>
              <w:jc w:val="both"/>
            </w:pPr>
            <w:r>
              <w:t>Saadut luottositoumukset</w:t>
            </w:r>
          </w:p>
          <w:p w14:paraId="7FE1B83C" w14:textId="03B3C9F7" w:rsidR="00B81226" w:rsidRDefault="00B82AC2">
            <w:pPr>
              <w:pStyle w:val="P68B1DB1-TableParagraph17"/>
              <w:numPr>
                <w:ilvl w:val="0"/>
                <w:numId w:val="299"/>
              </w:numPr>
              <w:spacing w:before="108"/>
              <w:jc w:val="both"/>
            </w:pPr>
            <w:r>
              <w:t>Saadut rahoitusvakuudet</w:t>
            </w:r>
          </w:p>
          <w:p w14:paraId="7FE1B83D" w14:textId="2357CDAB" w:rsidR="00B81226" w:rsidRDefault="00B82AC2">
            <w:pPr>
              <w:pStyle w:val="P68B1DB1-TableParagraph17"/>
              <w:numPr>
                <w:ilvl w:val="0"/>
                <w:numId w:val="299"/>
              </w:numPr>
              <w:spacing w:before="108"/>
              <w:jc w:val="both"/>
            </w:pPr>
            <w:r>
              <w:t>Muut saadut sitoumukset</w:t>
            </w:r>
          </w:p>
          <w:p w14:paraId="7FE1B83E" w14:textId="7A79D0CA" w:rsidR="00B81226" w:rsidRDefault="00B82AC2">
            <w:pPr>
              <w:pStyle w:val="P68B1DB1-TableParagraph17"/>
              <w:numPr>
                <w:ilvl w:val="0"/>
                <w:numId w:val="299"/>
              </w:numPr>
              <w:spacing w:before="108"/>
              <w:jc w:val="both"/>
            </w:pPr>
            <w:r>
              <w:t>Johdannaiset</w:t>
            </w:r>
          </w:p>
          <w:p w14:paraId="7FE1B83F" w14:textId="77777777" w:rsidR="00B81226" w:rsidRDefault="00B82AC2">
            <w:pPr>
              <w:pStyle w:val="P68B1DB1-TableParagraph17"/>
              <w:spacing w:before="108"/>
              <w:ind w:left="85"/>
              <w:jc w:val="both"/>
            </w:pPr>
            <w:r>
              <w:t>Jos suurelta vastapuolelta saadut taseen ulkopuoliset erät koostuvat useammasta kuin yhdestä edellä mainitusta tyypistä, kaikki taseen ulkopuolisten erien tyypit on ilmoitettava erillisellä rivillä.</w:t>
            </w:r>
          </w:p>
        </w:tc>
      </w:tr>
      <w:tr w:rsidR="00B81226" w14:paraId="7FE1B844" w14:textId="77777777">
        <w:tc>
          <w:tcPr>
            <w:tcW w:w="909" w:type="dxa"/>
            <w:tcBorders>
              <w:top w:val="single" w:sz="4" w:space="0" w:color="1A171C"/>
              <w:left w:val="nil"/>
              <w:bottom w:val="single" w:sz="4" w:space="0" w:color="1A171C"/>
              <w:right w:val="single" w:sz="4" w:space="0" w:color="1A171C"/>
            </w:tcBorders>
            <w:vAlign w:val="center"/>
          </w:tcPr>
          <w:p w14:paraId="7FE1B841" w14:textId="77777777" w:rsidR="00B81226" w:rsidRDefault="00B82AC2">
            <w:pPr>
              <w:pStyle w:val="P68B1DB1-TableParagraph17"/>
              <w:spacing w:before="108"/>
              <w:ind w:left="85"/>
              <w:jc w:val="both"/>
            </w:pPr>
            <w:r>
              <w:t>0070</w:t>
            </w:r>
          </w:p>
        </w:tc>
        <w:tc>
          <w:tcPr>
            <w:tcW w:w="8174" w:type="dxa"/>
            <w:tcBorders>
              <w:top w:val="single" w:sz="4" w:space="0" w:color="1A171C"/>
              <w:left w:val="single" w:sz="4" w:space="0" w:color="1A171C"/>
              <w:bottom w:val="single" w:sz="4" w:space="0" w:color="1A171C"/>
              <w:right w:val="nil"/>
            </w:tcBorders>
            <w:vAlign w:val="center"/>
          </w:tcPr>
          <w:p w14:paraId="7FE1B842" w14:textId="77777777" w:rsidR="00B81226" w:rsidRDefault="00B82AC2">
            <w:pPr>
              <w:pStyle w:val="P68B1DB1-TableParagraph14"/>
              <w:spacing w:before="108"/>
              <w:ind w:left="85"/>
              <w:jc w:val="both"/>
              <w:rPr>
                <w:bCs/>
              </w:rPr>
            </w:pPr>
            <w:r>
              <w:t xml:space="preserve">Määrä </w:t>
            </w:r>
          </w:p>
          <w:p w14:paraId="7FE1B843" w14:textId="7853FDD0" w:rsidR="00B81226" w:rsidRDefault="00B82AC2">
            <w:pPr>
              <w:pStyle w:val="P68B1DB1-TableParagraph17"/>
              <w:spacing w:before="108"/>
              <w:ind w:left="85"/>
              <w:jc w:val="both"/>
              <w:rPr>
                <w:bCs/>
              </w:rPr>
            </w:pPr>
            <w:r>
              <w:t>Määrän on vastattava FINREP F 09.02:ssa esitettyä ’jäljellä olevan määrän’ määritelmää. Jos kyseessä ovat johdannaisista aiheutuvat velat, ilmoitetaan sulkeutumismäärät, kuten ne on määritelty lomakkeen Z 02.00 riviä 0333 varten.</w:t>
            </w:r>
          </w:p>
        </w:tc>
      </w:tr>
    </w:tbl>
    <w:p w14:paraId="7FE1B845" w14:textId="77777777" w:rsidR="00B81226" w:rsidRDefault="00B81226">
      <w:pPr>
        <w:rPr>
          <w:rFonts w:ascii="Times New Roman" w:hAnsi="Times New Roman" w:cs="Times New Roman"/>
          <w:color w:val="000000" w:themeColor="text1"/>
          <w:sz w:val="20"/>
          <w:szCs w:val="20"/>
        </w:rPr>
      </w:pPr>
    </w:p>
    <w:p w14:paraId="7FE1B846" w14:textId="77777777" w:rsidR="00B81226" w:rsidRDefault="00B81226">
      <w:pPr>
        <w:rPr>
          <w:rFonts w:ascii="Times New Roman" w:eastAsia="MS Mincho" w:hAnsi="Times New Roman" w:cs="Times New Roman"/>
          <w:color w:val="000000" w:themeColor="text1"/>
          <w:sz w:val="20"/>
          <w:szCs w:val="20"/>
        </w:rPr>
      </w:pPr>
    </w:p>
    <w:p w14:paraId="7FE1B849" w14:textId="5330C525" w:rsidR="00B81226" w:rsidRDefault="00B82AC2">
      <w:pPr>
        <w:pStyle w:val="P68B1DB1-Instructionsberschrift25"/>
        <w:numPr>
          <w:ilvl w:val="1"/>
          <w:numId w:val="49"/>
        </w:numPr>
        <w:ind w:left="357" w:hanging="357"/>
      </w:pPr>
      <w:bookmarkStart w:id="73" w:name="_Toc164271339"/>
      <w:bookmarkStart w:id="74" w:name="_Toc164271391"/>
      <w:bookmarkStart w:id="75" w:name="_Toc167799457"/>
      <w:bookmarkStart w:id="76" w:name="_Toc172723013"/>
      <w:bookmarkStart w:id="77" w:name="_Toc172723111"/>
      <w:bookmarkStart w:id="78" w:name="_Toc172723205"/>
      <w:bookmarkStart w:id="79" w:name="_Toc172723349"/>
      <w:bookmarkStart w:id="80" w:name="_Toc172723401"/>
      <w:bookmarkStart w:id="81" w:name="_Toc172723459"/>
      <w:bookmarkStart w:id="82" w:name="_Toc172723526"/>
      <w:bookmarkStart w:id="83" w:name="_Toc184218419"/>
      <w:bookmarkStart w:id="84" w:name="_Toc164271340"/>
      <w:bookmarkStart w:id="85" w:name="_Toc164271392"/>
      <w:bookmarkStart w:id="86" w:name="_Toc167799458"/>
      <w:bookmarkStart w:id="87" w:name="_Toc172723014"/>
      <w:bookmarkStart w:id="88" w:name="_Toc172723112"/>
      <w:bookmarkStart w:id="89" w:name="_Toc172723206"/>
      <w:bookmarkStart w:id="90" w:name="_Toc172723350"/>
      <w:bookmarkStart w:id="91" w:name="_Toc172723402"/>
      <w:bookmarkStart w:id="92" w:name="_Toc172723460"/>
      <w:bookmarkStart w:id="93" w:name="_Toc172723527"/>
      <w:bookmarkStart w:id="94" w:name="_Toc184218420"/>
      <w:bookmarkStart w:id="95" w:name="_Toc492542326"/>
      <w:bookmarkStart w:id="96" w:name="_Toc160027685"/>
      <w:bookmarkStart w:id="97" w:name="_Toc160027756"/>
      <w:bookmarkStart w:id="98" w:name="_Toc160027839"/>
      <w:bookmarkStart w:id="99" w:name="_Toc20824544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Z 06.00 – Talletussuoja (LIAB 7)</w:t>
      </w:r>
      <w:bookmarkEnd w:id="95"/>
      <w:bookmarkEnd w:id="96"/>
      <w:bookmarkEnd w:id="97"/>
      <w:bookmarkEnd w:id="98"/>
      <w:bookmarkEnd w:id="99"/>
    </w:p>
    <w:p w14:paraId="7FE1B84A" w14:textId="77777777" w:rsidR="00B81226" w:rsidRDefault="00B82AC2">
      <w:pPr>
        <w:pStyle w:val="Instructionsberschrift3"/>
      </w:pPr>
      <w:r>
        <w:t>Yleiset huomautukset</w:t>
      </w:r>
    </w:p>
    <w:p w14:paraId="7FE1B84B" w14:textId="77777777" w:rsidR="00B81226" w:rsidRDefault="00B82AC2">
      <w:pPr>
        <w:pStyle w:val="P68B1DB1-InstructionsText26"/>
        <w:numPr>
          <w:ilvl w:val="0"/>
          <w:numId w:val="71"/>
        </w:numPr>
        <w:spacing w:before="0"/>
        <w:ind w:left="714" w:hanging="357"/>
      </w:pPr>
      <w:r>
        <w:t>Tässä lomakkeessa esitetään yhteenveto talletussuojasta konsernissa ja talletussuojajärjestelmistä, joiden jäseniä merkitykselliset oikeushenkilöt (luottolaitokset) ovat.</w:t>
      </w:r>
    </w:p>
    <w:p w14:paraId="7FE1B84C" w14:textId="77777777" w:rsidR="00B81226" w:rsidRDefault="00B82AC2">
      <w:pPr>
        <w:pStyle w:val="P68B1DB1-InstructionsText26"/>
        <w:numPr>
          <w:ilvl w:val="0"/>
          <w:numId w:val="71"/>
        </w:numPr>
        <w:spacing w:before="0"/>
        <w:ind w:left="714" w:hanging="357"/>
      </w:pPr>
      <w:r>
        <w:t>Kukin konserniin kuuluva luottolaitos on ilmoitettava erillisellä rivillä.</w:t>
      </w:r>
    </w:p>
    <w:p w14:paraId="7FE1B84D" w14:textId="77777777" w:rsidR="00B81226" w:rsidRDefault="00B82AC2">
      <w:pPr>
        <w:pStyle w:val="Instructionsberschrift3"/>
        <w:numPr>
          <w:ilvl w:val="0"/>
          <w:numId w:val="0"/>
        </w:numPr>
        <w:ind w:left="720"/>
      </w:pPr>
      <w:r>
        <w:t>Tiettyjä kohtia koskevat ohjeet</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B81226" w14:paraId="7FE1B850" w14:textId="77777777">
        <w:tc>
          <w:tcPr>
            <w:tcW w:w="1191" w:type="dxa"/>
            <w:tcBorders>
              <w:top w:val="single" w:sz="4" w:space="0" w:color="1A171C"/>
              <w:left w:val="nil"/>
              <w:bottom w:val="single" w:sz="4" w:space="0" w:color="1A171C"/>
              <w:right w:val="single" w:sz="4" w:space="0" w:color="1A171C"/>
            </w:tcBorders>
            <w:shd w:val="clear" w:color="auto" w:fill="E4E5E5"/>
          </w:tcPr>
          <w:p w14:paraId="7FE1B84E" w14:textId="77777777" w:rsidR="00B81226" w:rsidRDefault="00B82AC2">
            <w:pPr>
              <w:pStyle w:val="P68B1DB1-TableParagraph17"/>
              <w:spacing w:before="108"/>
              <w:ind w:left="85"/>
              <w:jc w:val="both"/>
            </w:pPr>
            <w:r>
              <w:t>Sarakkeet</w:t>
            </w:r>
          </w:p>
        </w:tc>
        <w:tc>
          <w:tcPr>
            <w:tcW w:w="7892" w:type="dxa"/>
            <w:tcBorders>
              <w:top w:val="single" w:sz="4" w:space="0" w:color="1A171C"/>
              <w:left w:val="single" w:sz="4" w:space="0" w:color="1A171C"/>
              <w:bottom w:val="single" w:sz="4" w:space="0" w:color="1A171C"/>
              <w:right w:val="nil"/>
            </w:tcBorders>
            <w:shd w:val="clear" w:color="auto" w:fill="E4E5E5"/>
          </w:tcPr>
          <w:p w14:paraId="7FE1B84F" w14:textId="77777777" w:rsidR="00B81226" w:rsidRDefault="00B82AC2">
            <w:pPr>
              <w:pStyle w:val="P68B1DB1-TableParagraph17"/>
              <w:spacing w:before="108"/>
              <w:ind w:left="85" w:right="1"/>
              <w:jc w:val="both"/>
            </w:pPr>
            <w:r>
              <w:t>Ohjeet</w:t>
            </w:r>
          </w:p>
        </w:tc>
      </w:tr>
      <w:tr w:rsidR="00B81226" w14:paraId="7FE1B853" w14:textId="77777777">
        <w:tc>
          <w:tcPr>
            <w:tcW w:w="1191" w:type="dxa"/>
            <w:tcBorders>
              <w:top w:val="single" w:sz="4" w:space="0" w:color="1A171C"/>
              <w:left w:val="nil"/>
              <w:bottom w:val="single" w:sz="4" w:space="0" w:color="1A171C"/>
              <w:right w:val="single" w:sz="4" w:space="0" w:color="1A171C"/>
            </w:tcBorders>
          </w:tcPr>
          <w:p w14:paraId="7FE1B851" w14:textId="77777777" w:rsidR="00B81226" w:rsidRDefault="00B82AC2">
            <w:pPr>
              <w:pStyle w:val="P68B1DB1-TableParagraph17"/>
              <w:spacing w:before="108"/>
              <w:ind w:left="85"/>
              <w:jc w:val="both"/>
            </w:pPr>
            <w:r>
              <w:t>0010–0020</w:t>
            </w:r>
          </w:p>
        </w:tc>
        <w:tc>
          <w:tcPr>
            <w:tcW w:w="7892" w:type="dxa"/>
            <w:tcBorders>
              <w:top w:val="single" w:sz="4" w:space="0" w:color="1A171C"/>
              <w:left w:val="single" w:sz="4" w:space="0" w:color="1A171C"/>
              <w:bottom w:val="single" w:sz="4" w:space="0" w:color="1A171C"/>
              <w:right w:val="nil"/>
            </w:tcBorders>
          </w:tcPr>
          <w:p w14:paraId="7FE1B852" w14:textId="5BBDBB82" w:rsidR="00B81226" w:rsidRDefault="00B82AC2">
            <w:pPr>
              <w:pStyle w:val="P68B1DB1-TableParagraph14"/>
              <w:spacing w:before="108"/>
              <w:ind w:left="85"/>
              <w:jc w:val="both"/>
              <w:rPr>
                <w:rFonts w:eastAsia="Cambria"/>
              </w:rPr>
            </w:pPr>
            <w:r>
              <w:t>Oikeushenkilö</w:t>
            </w:r>
          </w:p>
        </w:tc>
      </w:tr>
      <w:tr w:rsidR="00B81226" w14:paraId="7FE1B857" w14:textId="77777777">
        <w:tc>
          <w:tcPr>
            <w:tcW w:w="1191" w:type="dxa"/>
            <w:tcBorders>
              <w:top w:val="single" w:sz="4" w:space="0" w:color="1A171C"/>
              <w:left w:val="nil"/>
              <w:bottom w:val="single" w:sz="4" w:space="0" w:color="1A171C"/>
              <w:right w:val="single" w:sz="4" w:space="0" w:color="1A171C"/>
            </w:tcBorders>
          </w:tcPr>
          <w:p w14:paraId="7FE1B854" w14:textId="77777777" w:rsidR="00B81226" w:rsidRDefault="00B82AC2">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855" w14:textId="77777777" w:rsidR="00B81226" w:rsidRDefault="00B82AC2">
            <w:pPr>
              <w:pStyle w:val="P68B1DB1-TableParagraph14"/>
              <w:spacing w:before="108"/>
              <w:ind w:left="85"/>
              <w:jc w:val="both"/>
              <w:rPr>
                <w:bCs/>
              </w:rPr>
            </w:pPr>
            <w:r>
              <w:t>Yhteisön nimi</w:t>
            </w:r>
          </w:p>
          <w:p w14:paraId="7FE1B856" w14:textId="16A1B5FB" w:rsidR="00B81226" w:rsidRDefault="00B82AC2">
            <w:pPr>
              <w:pStyle w:val="P68B1DB1-TableParagraph17"/>
              <w:spacing w:before="108"/>
              <w:ind w:left="85"/>
              <w:jc w:val="both"/>
            </w:pPr>
            <w:r>
              <w:t xml:space="preserve">Yhteisön nimi, joka on ilmoitettu lomakkeessa Z 01.01 – Organisaatiorakenne (ORG 1). </w:t>
            </w:r>
          </w:p>
        </w:tc>
      </w:tr>
      <w:tr w:rsidR="00B81226" w14:paraId="7FE1B85C" w14:textId="77777777">
        <w:tc>
          <w:tcPr>
            <w:tcW w:w="1191" w:type="dxa"/>
            <w:tcBorders>
              <w:top w:val="single" w:sz="4" w:space="0" w:color="1A171C"/>
              <w:left w:val="nil"/>
              <w:bottom w:val="single" w:sz="4" w:space="0" w:color="1A171C"/>
              <w:right w:val="single" w:sz="4" w:space="0" w:color="1A171C"/>
            </w:tcBorders>
          </w:tcPr>
          <w:p w14:paraId="7FE1B858" w14:textId="77777777" w:rsidR="00B81226" w:rsidRDefault="00B82AC2">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859" w14:textId="77777777" w:rsidR="00B81226" w:rsidRDefault="00B82AC2">
            <w:pPr>
              <w:pStyle w:val="P68B1DB1-TableParagraph14"/>
              <w:spacing w:before="108"/>
              <w:ind w:left="85"/>
              <w:jc w:val="both"/>
              <w:rPr>
                <w:bCs/>
              </w:rPr>
            </w:pPr>
            <w:r>
              <w:t xml:space="preserve">Koodi </w:t>
            </w:r>
          </w:p>
          <w:p w14:paraId="7FE1B85A" w14:textId="532EB445" w:rsidR="00B81226" w:rsidRDefault="00B82AC2">
            <w:pPr>
              <w:pStyle w:val="P68B1DB1-TableParagraph17"/>
              <w:spacing w:before="108"/>
              <w:ind w:left="85"/>
              <w:jc w:val="both"/>
            </w:pPr>
            <w:r>
              <w:t>Yhteisön koodi, joka on ilmoitettu lomakkeessa Z 01.01 – Organisaatiorakenne (ORG 1).</w:t>
            </w:r>
          </w:p>
          <w:p w14:paraId="7FE1B85B" w14:textId="77777777" w:rsidR="00B81226" w:rsidRDefault="00B82AC2">
            <w:pPr>
              <w:pStyle w:val="P68B1DB1-TableParagraph17"/>
              <w:spacing w:before="108"/>
              <w:ind w:left="85"/>
              <w:jc w:val="both"/>
            </w:pPr>
            <w:r>
              <w:t>Tämä on rivin tunnus, joka on yksilöllinen lomakkeen jokaiselle riville.</w:t>
            </w:r>
          </w:p>
        </w:tc>
      </w:tr>
      <w:tr w:rsidR="00B81226" w14:paraId="7FE1B85F" w14:textId="77777777">
        <w:tc>
          <w:tcPr>
            <w:tcW w:w="1191" w:type="dxa"/>
            <w:tcBorders>
              <w:top w:val="single" w:sz="4" w:space="0" w:color="1A171C"/>
              <w:left w:val="nil"/>
              <w:bottom w:val="single" w:sz="4" w:space="0" w:color="1A171C"/>
              <w:right w:val="single" w:sz="4" w:space="0" w:color="1A171C"/>
            </w:tcBorders>
          </w:tcPr>
          <w:p w14:paraId="7FE1B85D" w14:textId="77777777" w:rsidR="00B81226" w:rsidRDefault="00B82AC2">
            <w:pPr>
              <w:pStyle w:val="P68B1DB1-TableParagraph17"/>
              <w:spacing w:before="108"/>
              <w:ind w:left="85"/>
              <w:jc w:val="both"/>
            </w:pPr>
            <w:r>
              <w:t>0030–0040</w:t>
            </w:r>
          </w:p>
        </w:tc>
        <w:tc>
          <w:tcPr>
            <w:tcW w:w="7892" w:type="dxa"/>
            <w:tcBorders>
              <w:top w:val="single" w:sz="4" w:space="0" w:color="1A171C"/>
              <w:left w:val="single" w:sz="4" w:space="0" w:color="1A171C"/>
              <w:bottom w:val="single" w:sz="4" w:space="0" w:color="1A171C"/>
              <w:right w:val="nil"/>
            </w:tcBorders>
          </w:tcPr>
          <w:p w14:paraId="7FE1B85E" w14:textId="77777777" w:rsidR="00B81226" w:rsidRDefault="00B82AC2">
            <w:pPr>
              <w:pStyle w:val="P68B1DB1-TableParagraph14"/>
              <w:spacing w:before="108"/>
              <w:ind w:left="85"/>
              <w:jc w:val="both"/>
              <w:rPr>
                <w:bCs/>
              </w:rPr>
            </w:pPr>
            <w:r>
              <w:t>Jäsenyys talletussuojajärjestelmässä</w:t>
            </w:r>
          </w:p>
        </w:tc>
      </w:tr>
      <w:tr w:rsidR="00B81226" w14:paraId="7FE1B8AE" w14:textId="77777777">
        <w:tc>
          <w:tcPr>
            <w:tcW w:w="1191" w:type="dxa"/>
            <w:tcBorders>
              <w:top w:val="single" w:sz="4" w:space="0" w:color="1A171C"/>
              <w:left w:val="nil"/>
              <w:bottom w:val="single" w:sz="4" w:space="0" w:color="1A171C"/>
              <w:right w:val="single" w:sz="4" w:space="0" w:color="1A171C"/>
            </w:tcBorders>
          </w:tcPr>
          <w:p w14:paraId="7FE1B860" w14:textId="77777777" w:rsidR="00B81226" w:rsidRDefault="00B82AC2">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861" w14:textId="77777777" w:rsidR="00B81226" w:rsidRDefault="00B82AC2">
            <w:pPr>
              <w:pStyle w:val="P68B1DB1-TableParagraph14"/>
              <w:spacing w:before="108"/>
              <w:ind w:left="85"/>
              <w:jc w:val="both"/>
              <w:rPr>
                <w:bCs/>
              </w:rPr>
            </w:pPr>
            <w:r>
              <w:t>DGS</w:t>
            </w:r>
          </w:p>
          <w:p w14:paraId="7FE1B862" w14:textId="41C69940" w:rsidR="00B81226" w:rsidRDefault="00B82AC2">
            <w:pPr>
              <w:pStyle w:val="P68B1DB1-TableParagraph17"/>
              <w:spacing w:before="108"/>
              <w:ind w:left="85"/>
              <w:jc w:val="both"/>
            </w:pPr>
            <w:r>
              <w:t>Direktiivin 2014/49/EU 4 artiklan 3 kohta</w:t>
            </w:r>
          </w:p>
          <w:p w14:paraId="7FE1B863" w14:textId="77777777" w:rsidR="00B81226" w:rsidRDefault="00B82AC2">
            <w:pPr>
              <w:pStyle w:val="P68B1DB1-TableParagraph17"/>
              <w:spacing w:before="108"/>
              <w:ind w:left="85"/>
              <w:jc w:val="both"/>
            </w:pPr>
            <w:r>
              <w:t xml:space="preserve">Sen virallisesti hyväksytyn talletussuojajärjestelmän nimi, jonka jäsen yhteisö on direktiivin 2014/49/EU mukaisesti. Tämä on talletussuojajärjestelmä yhteisön perustamisjäsenvaltiossa, lukuun ottamatta muita talletussuojajärjestelmiä, jotka muissa jäsenvaltioissa saattavat tarjota lisäsuojaa (”top up”) yhteisön asiakkaille sivuliikkeen välityksellä kyseisessä jäsenvaltiossa. Jos </w:t>
            </w:r>
            <w:r>
              <w:lastRenderedPageBreak/>
              <w:t>laitos on sellaisen laitosten suojajärjestelmän (IPS) jäsen, joka on myös virallisesti tunnustettu talletussuojajärjestelmäksi direktiivin 2014/49/EU 4 artiklan 2 kohdan mukaisesti, talletussuojajärjestelmän nimen on oltava sama kuin suojajärjestelmän nimi rivillä 050.</w:t>
            </w:r>
          </w:p>
          <w:p w14:paraId="7FE1B864" w14:textId="77777777" w:rsidR="00B81226" w:rsidRDefault="00B82AC2">
            <w:pPr>
              <w:pStyle w:val="P68B1DB1-TableParagraph17"/>
              <w:spacing w:before="108"/>
              <w:ind w:left="85"/>
              <w:jc w:val="both"/>
            </w:pPr>
            <w:r>
              <w:t>Talletussuojajärjestelmäksi valitaan yhteisön kunkin rekisteröintimaan osalta jokin seuraavista:</w:t>
            </w:r>
          </w:p>
          <w:p w14:paraId="7FE1B865" w14:textId="77777777" w:rsidR="00B81226" w:rsidRDefault="00B82AC2">
            <w:pPr>
              <w:pStyle w:val="P68B1DB1-TableParagraph28"/>
              <w:spacing w:before="108"/>
              <w:ind w:left="85"/>
              <w:jc w:val="both"/>
            </w:pPr>
            <w:r>
              <w:t>Itävalta</w:t>
            </w:r>
          </w:p>
          <w:p w14:paraId="7FE1B866" w14:textId="7AF21273" w:rsidR="00B81226" w:rsidRDefault="00B82AC2">
            <w:pPr>
              <w:pStyle w:val="P68B1DB1-TableParagraph17"/>
              <w:numPr>
                <w:ilvl w:val="0"/>
                <w:numId w:val="70"/>
              </w:numPr>
              <w:spacing w:before="108"/>
              <w:jc w:val="both"/>
            </w:pPr>
            <w:r>
              <w:t xml:space="preserve">Einlagensicherung AUSTRIA Ges.m.b.H. </w:t>
            </w:r>
          </w:p>
          <w:p w14:paraId="7FE1B867" w14:textId="77777777" w:rsidR="00B81226" w:rsidRDefault="00B82AC2">
            <w:pPr>
              <w:pStyle w:val="P68B1DB1-TableParagraph17"/>
              <w:numPr>
                <w:ilvl w:val="0"/>
                <w:numId w:val="70"/>
              </w:numPr>
              <w:spacing w:before="108"/>
              <w:jc w:val="both"/>
            </w:pPr>
            <w:r>
              <w:t>Sparkassen-Haftungs GmbH</w:t>
            </w:r>
          </w:p>
          <w:p w14:paraId="7FE1B868" w14:textId="77777777" w:rsidR="00B81226" w:rsidRDefault="00B82AC2">
            <w:pPr>
              <w:pStyle w:val="P68B1DB1-TableParagraph17"/>
              <w:numPr>
                <w:ilvl w:val="0"/>
                <w:numId w:val="70"/>
              </w:numPr>
              <w:spacing w:before="108"/>
              <w:jc w:val="both"/>
            </w:pPr>
            <w:r>
              <w:t>Österreichische Raiffeisen-Sicherungseinrichtung eGen</w:t>
            </w:r>
          </w:p>
          <w:p w14:paraId="7FE1B869" w14:textId="77777777" w:rsidR="00B81226" w:rsidRDefault="00B82AC2">
            <w:pPr>
              <w:pStyle w:val="P68B1DB1-TableParagraph28"/>
              <w:spacing w:before="108"/>
              <w:ind w:left="85"/>
              <w:jc w:val="both"/>
            </w:pPr>
            <w:r>
              <w:t>Belgia</w:t>
            </w:r>
          </w:p>
          <w:p w14:paraId="7FE1B86A" w14:textId="77777777" w:rsidR="00B81226" w:rsidRDefault="00B82AC2">
            <w:pPr>
              <w:pStyle w:val="P68B1DB1-TableParagraph17"/>
              <w:numPr>
                <w:ilvl w:val="0"/>
                <w:numId w:val="70"/>
              </w:numPr>
              <w:spacing w:before="108"/>
              <w:jc w:val="both"/>
            </w:pPr>
            <w:r>
              <w:t>Garantiefonds voor financiële diensten/Fonds de garantie pour les services financiers</w:t>
            </w:r>
          </w:p>
          <w:p w14:paraId="7FE1B86B" w14:textId="77777777" w:rsidR="00B81226" w:rsidRDefault="00B82AC2">
            <w:pPr>
              <w:pStyle w:val="P68B1DB1-TableParagraph28"/>
              <w:spacing w:before="108"/>
              <w:ind w:left="85"/>
              <w:jc w:val="both"/>
            </w:pPr>
            <w:r>
              <w:t>Bulgaria</w:t>
            </w:r>
          </w:p>
          <w:p w14:paraId="7FE1B86C" w14:textId="33BABCB1" w:rsidR="00B81226" w:rsidRDefault="00B82AC2">
            <w:pPr>
              <w:pStyle w:val="P68B1DB1-TableParagraph17"/>
              <w:numPr>
                <w:ilvl w:val="0"/>
                <w:numId w:val="70"/>
              </w:numPr>
              <w:spacing w:before="108"/>
              <w:jc w:val="both"/>
            </w:pPr>
            <w:r>
              <w:t>Фонд за гарантиране на влоговете в банките</w:t>
            </w:r>
          </w:p>
          <w:p w14:paraId="7FE1B86D" w14:textId="77777777" w:rsidR="00B81226" w:rsidRDefault="00B82AC2">
            <w:pPr>
              <w:pStyle w:val="P68B1DB1-TableParagraph28"/>
              <w:spacing w:before="108"/>
              <w:ind w:left="85"/>
              <w:jc w:val="both"/>
            </w:pPr>
            <w:r>
              <w:t>Kroatia</w:t>
            </w:r>
          </w:p>
          <w:p w14:paraId="7FE1B86E" w14:textId="77777777" w:rsidR="00B81226" w:rsidRDefault="00B82AC2">
            <w:pPr>
              <w:pStyle w:val="P68B1DB1-TableParagraph17"/>
              <w:numPr>
                <w:ilvl w:val="0"/>
                <w:numId w:val="70"/>
              </w:numPr>
              <w:spacing w:before="108"/>
              <w:jc w:val="both"/>
            </w:pPr>
            <w:r>
              <w:t>”Hrvatska agencija za osiguranje depozita”</w:t>
            </w:r>
          </w:p>
          <w:p w14:paraId="7FE1B86F" w14:textId="77777777" w:rsidR="00B81226" w:rsidRDefault="00B82AC2">
            <w:pPr>
              <w:pStyle w:val="P68B1DB1-TableParagraph28"/>
              <w:spacing w:before="108"/>
              <w:ind w:left="85"/>
              <w:jc w:val="both"/>
            </w:pPr>
            <w:r>
              <w:t>Kypros</w:t>
            </w:r>
          </w:p>
          <w:p w14:paraId="7FE1B870" w14:textId="77777777" w:rsidR="00B81226" w:rsidRDefault="00B82AC2">
            <w:pPr>
              <w:pStyle w:val="P68B1DB1-TableParagraph17"/>
              <w:numPr>
                <w:ilvl w:val="0"/>
                <w:numId w:val="70"/>
              </w:numPr>
              <w:spacing w:before="108"/>
              <w:jc w:val="both"/>
            </w:pPr>
            <w:r>
              <w:t>Σύστημα Εγγύησης των Καταθέσεων και Εξυγίανσης Πιστωτικών και Άλλων Ιδρυμάτων</w:t>
            </w:r>
          </w:p>
          <w:p w14:paraId="7FE1B871" w14:textId="77777777" w:rsidR="00B81226" w:rsidRDefault="00B82AC2">
            <w:pPr>
              <w:pStyle w:val="P68B1DB1-TableParagraph28"/>
              <w:spacing w:before="108"/>
              <w:ind w:left="85"/>
              <w:jc w:val="both"/>
            </w:pPr>
            <w:r>
              <w:t>Tšekki</w:t>
            </w:r>
          </w:p>
          <w:p w14:paraId="7FE1B872" w14:textId="77777777" w:rsidR="00B81226" w:rsidRDefault="00B82AC2">
            <w:pPr>
              <w:pStyle w:val="P68B1DB1-TableParagraph17"/>
              <w:numPr>
                <w:ilvl w:val="0"/>
                <w:numId w:val="70"/>
              </w:numPr>
              <w:spacing w:before="108"/>
              <w:jc w:val="both"/>
            </w:pPr>
            <w:r>
              <w:t>Garanční systém finančního trhu</w:t>
            </w:r>
          </w:p>
          <w:p w14:paraId="7FE1B873" w14:textId="77777777" w:rsidR="00B81226" w:rsidRDefault="00B82AC2">
            <w:pPr>
              <w:pStyle w:val="P68B1DB1-TableParagraph28"/>
              <w:spacing w:before="108"/>
              <w:ind w:left="85"/>
              <w:jc w:val="both"/>
            </w:pPr>
            <w:r>
              <w:t>Tanska</w:t>
            </w:r>
          </w:p>
          <w:p w14:paraId="7FE1B874" w14:textId="77777777" w:rsidR="00B81226" w:rsidRDefault="00B82AC2">
            <w:pPr>
              <w:pStyle w:val="P68B1DB1-TableParagraph17"/>
              <w:numPr>
                <w:ilvl w:val="0"/>
                <w:numId w:val="70"/>
              </w:numPr>
              <w:spacing w:before="108"/>
              <w:jc w:val="both"/>
            </w:pPr>
            <w:r>
              <w:t>Garantiformuen</w:t>
            </w:r>
          </w:p>
          <w:p w14:paraId="7FE1B875" w14:textId="77777777" w:rsidR="00B81226" w:rsidRDefault="00B82AC2">
            <w:pPr>
              <w:pStyle w:val="P68B1DB1-TableParagraph28"/>
              <w:spacing w:before="108"/>
              <w:ind w:left="85"/>
              <w:jc w:val="both"/>
            </w:pPr>
            <w:r>
              <w:t xml:space="preserve">Viro </w:t>
            </w:r>
          </w:p>
          <w:p w14:paraId="7FE1B876" w14:textId="77777777" w:rsidR="00B81226" w:rsidRDefault="00B82AC2">
            <w:pPr>
              <w:pStyle w:val="P68B1DB1-TableParagraph17"/>
              <w:numPr>
                <w:ilvl w:val="0"/>
                <w:numId w:val="70"/>
              </w:numPr>
              <w:spacing w:before="108"/>
              <w:jc w:val="both"/>
            </w:pPr>
            <w:r>
              <w:t>Tagastisfond</w:t>
            </w:r>
          </w:p>
          <w:p w14:paraId="7FE1B877" w14:textId="77777777" w:rsidR="00B81226" w:rsidRDefault="00B82AC2">
            <w:pPr>
              <w:pStyle w:val="P68B1DB1-TableParagraph28"/>
              <w:spacing w:before="108"/>
              <w:ind w:left="85"/>
              <w:jc w:val="both"/>
            </w:pPr>
            <w:r>
              <w:t xml:space="preserve">Suomi </w:t>
            </w:r>
          </w:p>
          <w:p w14:paraId="7FE1B878" w14:textId="77777777" w:rsidR="00B81226" w:rsidRDefault="00B82AC2">
            <w:pPr>
              <w:pStyle w:val="P68B1DB1-TableParagraph17"/>
              <w:numPr>
                <w:ilvl w:val="0"/>
                <w:numId w:val="70"/>
              </w:numPr>
              <w:spacing w:before="108"/>
              <w:jc w:val="both"/>
            </w:pPr>
            <w:r>
              <w:t>Talletussuojarahasto</w:t>
            </w:r>
          </w:p>
          <w:p w14:paraId="7FE1B879" w14:textId="77777777" w:rsidR="00B81226" w:rsidRDefault="00B82AC2">
            <w:pPr>
              <w:pStyle w:val="P68B1DB1-TableParagraph28"/>
              <w:spacing w:before="108"/>
              <w:ind w:left="85"/>
              <w:jc w:val="both"/>
            </w:pPr>
            <w:r>
              <w:t>Ranska</w:t>
            </w:r>
          </w:p>
          <w:p w14:paraId="7FE1B87A" w14:textId="77777777" w:rsidR="00B81226" w:rsidRDefault="00B82AC2">
            <w:pPr>
              <w:pStyle w:val="P68B1DB1-TableParagraph17"/>
              <w:numPr>
                <w:ilvl w:val="0"/>
                <w:numId w:val="70"/>
              </w:numPr>
              <w:spacing w:before="108"/>
              <w:jc w:val="both"/>
            </w:pPr>
            <w:r>
              <w:t>Fonds de Garantie des Dépôts et de Résolution</w:t>
            </w:r>
          </w:p>
          <w:p w14:paraId="7FE1B87B" w14:textId="77777777" w:rsidR="00B81226" w:rsidRDefault="00B82AC2">
            <w:pPr>
              <w:pStyle w:val="P68B1DB1-TableParagraph28"/>
              <w:spacing w:before="108"/>
              <w:ind w:left="85"/>
              <w:jc w:val="both"/>
            </w:pPr>
            <w:r>
              <w:t xml:space="preserve">Saksa </w:t>
            </w:r>
          </w:p>
          <w:p w14:paraId="7FE1B87C" w14:textId="77777777" w:rsidR="00B81226" w:rsidRDefault="00B82AC2">
            <w:pPr>
              <w:pStyle w:val="P68B1DB1-TableParagraph17"/>
              <w:numPr>
                <w:ilvl w:val="0"/>
                <w:numId w:val="70"/>
              </w:numPr>
              <w:spacing w:before="108"/>
              <w:jc w:val="both"/>
            </w:pPr>
            <w:r>
              <w:t>Entschädigungseinrichtung deutscher Banken GmbH</w:t>
            </w:r>
          </w:p>
          <w:p w14:paraId="7FE1B87D" w14:textId="77777777" w:rsidR="00B81226" w:rsidRDefault="00B82AC2">
            <w:pPr>
              <w:pStyle w:val="P68B1DB1-TableParagraph17"/>
              <w:numPr>
                <w:ilvl w:val="0"/>
                <w:numId w:val="70"/>
              </w:numPr>
              <w:spacing w:before="108"/>
              <w:jc w:val="both"/>
            </w:pPr>
            <w:r>
              <w:t>Entschädigungseinrichtung des Bundesverbandes Öffentlicher Banken Deutschlands GmbH</w:t>
            </w:r>
          </w:p>
          <w:p w14:paraId="7FE1B87E" w14:textId="77777777" w:rsidR="00B81226" w:rsidRDefault="00B82AC2">
            <w:pPr>
              <w:pStyle w:val="P68B1DB1-TableParagraph17"/>
              <w:numPr>
                <w:ilvl w:val="0"/>
                <w:numId w:val="70"/>
              </w:numPr>
              <w:spacing w:before="108"/>
              <w:jc w:val="both"/>
            </w:pPr>
            <w:r>
              <w:t>Sicherungseinrichtung des Deutschen Sparkassen- und Giroverbandes (DSGV-Haftungsverbund)</w:t>
            </w:r>
          </w:p>
          <w:p w14:paraId="7FE1B87F" w14:textId="77777777" w:rsidR="00B81226" w:rsidRDefault="00B82AC2">
            <w:pPr>
              <w:pStyle w:val="P68B1DB1-TableParagraph17"/>
              <w:numPr>
                <w:ilvl w:val="0"/>
                <w:numId w:val="70"/>
              </w:numPr>
              <w:spacing w:before="108"/>
              <w:jc w:val="both"/>
            </w:pPr>
            <w:r>
              <w:t>BVR Institutssicherung GmbH</w:t>
            </w:r>
          </w:p>
          <w:p w14:paraId="7FE1B882" w14:textId="77777777" w:rsidR="00B81226" w:rsidRDefault="00B82AC2">
            <w:pPr>
              <w:pStyle w:val="P68B1DB1-TableParagraph28"/>
              <w:spacing w:before="108"/>
              <w:ind w:left="85"/>
              <w:jc w:val="both"/>
            </w:pPr>
            <w:r>
              <w:t xml:space="preserve">Kreikka </w:t>
            </w:r>
          </w:p>
          <w:p w14:paraId="7FE1B883" w14:textId="77777777" w:rsidR="00B81226" w:rsidRDefault="00B82AC2">
            <w:pPr>
              <w:pStyle w:val="P68B1DB1-TableParagraph17"/>
              <w:numPr>
                <w:ilvl w:val="0"/>
                <w:numId w:val="70"/>
              </w:numPr>
              <w:spacing w:before="108"/>
              <w:jc w:val="both"/>
            </w:pPr>
            <w:r>
              <w:t>Ταμείο Εγγύησης Καταθέσεων και Επενδύσεων</w:t>
            </w:r>
          </w:p>
          <w:p w14:paraId="7FE1B884" w14:textId="77777777" w:rsidR="00B81226" w:rsidRDefault="00B82AC2">
            <w:pPr>
              <w:pStyle w:val="P68B1DB1-TableParagraph28"/>
              <w:spacing w:before="108"/>
              <w:ind w:left="85"/>
              <w:jc w:val="both"/>
            </w:pPr>
            <w:r>
              <w:t xml:space="preserve">Unkari </w:t>
            </w:r>
          </w:p>
          <w:p w14:paraId="7FE1B885" w14:textId="77777777" w:rsidR="00B81226" w:rsidRDefault="00B82AC2">
            <w:pPr>
              <w:pStyle w:val="P68B1DB1-TableParagraph17"/>
              <w:numPr>
                <w:ilvl w:val="0"/>
                <w:numId w:val="70"/>
              </w:numPr>
              <w:spacing w:before="108"/>
              <w:jc w:val="both"/>
            </w:pPr>
            <w:r>
              <w:t>Országos Betétbiztosítási Alap</w:t>
            </w:r>
          </w:p>
          <w:p w14:paraId="7FE1B886" w14:textId="77777777" w:rsidR="00B81226" w:rsidRDefault="00B82AC2">
            <w:pPr>
              <w:pStyle w:val="P68B1DB1-TableParagraph28"/>
              <w:spacing w:before="108"/>
              <w:ind w:left="85"/>
              <w:jc w:val="both"/>
            </w:pPr>
            <w:r>
              <w:t>Islanti</w:t>
            </w:r>
          </w:p>
          <w:p w14:paraId="7FE1B887" w14:textId="44E06D46" w:rsidR="00B81226" w:rsidRDefault="00B82AC2">
            <w:pPr>
              <w:pStyle w:val="P68B1DB1-TableParagraph17"/>
              <w:numPr>
                <w:ilvl w:val="0"/>
                <w:numId w:val="70"/>
              </w:numPr>
              <w:spacing w:before="108"/>
              <w:jc w:val="both"/>
            </w:pPr>
            <w:r>
              <w:t>”Tryggingarsjóður vegna fjármálafyrirtækja”</w:t>
            </w:r>
          </w:p>
          <w:p w14:paraId="7FE1B888" w14:textId="77777777" w:rsidR="00B81226" w:rsidRDefault="00B82AC2">
            <w:pPr>
              <w:pStyle w:val="P68B1DB1-TableParagraph28"/>
              <w:spacing w:before="108"/>
              <w:ind w:left="85"/>
              <w:jc w:val="both"/>
            </w:pPr>
            <w:r>
              <w:t>Irlanti</w:t>
            </w:r>
          </w:p>
          <w:p w14:paraId="7FE1B889" w14:textId="77777777" w:rsidR="00B81226" w:rsidRDefault="00B82AC2">
            <w:pPr>
              <w:pStyle w:val="P68B1DB1-TableParagraph17"/>
              <w:numPr>
                <w:ilvl w:val="0"/>
                <w:numId w:val="70"/>
              </w:numPr>
              <w:spacing w:before="108"/>
              <w:jc w:val="both"/>
            </w:pPr>
            <w:r>
              <w:t>Irish Deposit Protection Scheme</w:t>
            </w:r>
          </w:p>
          <w:p w14:paraId="7FE1B88A" w14:textId="77777777" w:rsidR="00B81226" w:rsidRDefault="00B82AC2">
            <w:pPr>
              <w:pStyle w:val="P68B1DB1-TableParagraph28"/>
              <w:spacing w:before="108"/>
              <w:ind w:left="85"/>
              <w:jc w:val="both"/>
            </w:pPr>
            <w:r>
              <w:t xml:space="preserve">Italia </w:t>
            </w:r>
          </w:p>
          <w:p w14:paraId="7FE1B88B" w14:textId="77777777" w:rsidR="00B81226" w:rsidRDefault="00B82AC2">
            <w:pPr>
              <w:pStyle w:val="P68B1DB1-TableParagraph17"/>
              <w:numPr>
                <w:ilvl w:val="0"/>
                <w:numId w:val="70"/>
              </w:numPr>
              <w:spacing w:before="108"/>
              <w:jc w:val="both"/>
            </w:pPr>
            <w:r>
              <w:lastRenderedPageBreak/>
              <w:t>Fondo Interbancario di Tutela dei Depositi</w:t>
            </w:r>
          </w:p>
          <w:p w14:paraId="7FE1B88C" w14:textId="77777777" w:rsidR="00B81226" w:rsidRDefault="00B82AC2">
            <w:pPr>
              <w:pStyle w:val="P68B1DB1-TableParagraph17"/>
              <w:numPr>
                <w:ilvl w:val="0"/>
                <w:numId w:val="70"/>
              </w:numPr>
              <w:spacing w:before="108"/>
              <w:jc w:val="both"/>
            </w:pPr>
            <w:r>
              <w:t>Fondo di Garanzia dei Depositanti del Credito Cooperativo</w:t>
            </w:r>
          </w:p>
          <w:p w14:paraId="7FE1B88D" w14:textId="77777777" w:rsidR="00B81226" w:rsidRDefault="00B82AC2">
            <w:pPr>
              <w:pStyle w:val="P68B1DB1-TableParagraph28"/>
              <w:spacing w:before="108"/>
              <w:ind w:left="85"/>
              <w:jc w:val="both"/>
            </w:pPr>
            <w:r>
              <w:t>Latvia</w:t>
            </w:r>
          </w:p>
          <w:p w14:paraId="7FE1B88E" w14:textId="77777777" w:rsidR="00B81226" w:rsidRDefault="00B82AC2">
            <w:pPr>
              <w:pStyle w:val="P68B1DB1-TableParagraph17"/>
              <w:numPr>
                <w:ilvl w:val="0"/>
                <w:numId w:val="70"/>
              </w:numPr>
              <w:spacing w:before="108"/>
              <w:jc w:val="both"/>
            </w:pPr>
            <w:r>
              <w:t>Latvijas Noguldījumu garantiju fonds</w:t>
            </w:r>
          </w:p>
          <w:p w14:paraId="7FE1B88F" w14:textId="77777777" w:rsidR="00B81226" w:rsidRDefault="00B82AC2">
            <w:pPr>
              <w:pStyle w:val="P68B1DB1-TableParagraph28"/>
              <w:spacing w:before="108"/>
              <w:ind w:left="85"/>
              <w:jc w:val="both"/>
            </w:pPr>
            <w:r>
              <w:t xml:space="preserve">Liechtenstein </w:t>
            </w:r>
          </w:p>
          <w:p w14:paraId="7FE1B890" w14:textId="77777777" w:rsidR="00B81226" w:rsidRDefault="00B82AC2">
            <w:pPr>
              <w:pStyle w:val="P68B1DB1-TableParagraph17"/>
              <w:numPr>
                <w:ilvl w:val="0"/>
                <w:numId w:val="70"/>
              </w:numPr>
              <w:spacing w:before="108"/>
              <w:jc w:val="both"/>
            </w:pPr>
            <w:r>
              <w:t>Einlagensicherungs- und Anlegerentschädigungs-Stiftung SV</w:t>
            </w:r>
          </w:p>
          <w:p w14:paraId="7FE1B891" w14:textId="77777777" w:rsidR="00B81226" w:rsidRDefault="00B82AC2">
            <w:pPr>
              <w:pStyle w:val="P68B1DB1-TableParagraph28"/>
              <w:spacing w:before="108"/>
              <w:ind w:left="85"/>
              <w:jc w:val="both"/>
            </w:pPr>
            <w:r>
              <w:t>Liettua</w:t>
            </w:r>
          </w:p>
          <w:p w14:paraId="7FE1B892" w14:textId="77777777" w:rsidR="00B81226" w:rsidRDefault="00B82AC2">
            <w:pPr>
              <w:pStyle w:val="P68B1DB1-TableParagraph17"/>
              <w:numPr>
                <w:ilvl w:val="0"/>
                <w:numId w:val="70"/>
              </w:numPr>
              <w:spacing w:before="108"/>
              <w:jc w:val="both"/>
            </w:pPr>
            <w:r>
              <w:t>Indėlių ir investicijų draudimas</w:t>
            </w:r>
          </w:p>
          <w:p w14:paraId="7FE1B893" w14:textId="77777777" w:rsidR="00B81226" w:rsidRDefault="00B82AC2">
            <w:pPr>
              <w:pStyle w:val="P68B1DB1-TableParagraph28"/>
              <w:spacing w:before="108"/>
              <w:ind w:left="85"/>
              <w:jc w:val="both"/>
            </w:pPr>
            <w:r>
              <w:t>Luxemburg</w:t>
            </w:r>
          </w:p>
          <w:p w14:paraId="7FE1B894" w14:textId="59F3019A" w:rsidR="00B81226" w:rsidRDefault="00B82AC2">
            <w:pPr>
              <w:pStyle w:val="P68B1DB1-TableParagraph17"/>
              <w:numPr>
                <w:ilvl w:val="0"/>
                <w:numId w:val="70"/>
              </w:numPr>
              <w:spacing w:before="108"/>
              <w:jc w:val="both"/>
            </w:pPr>
            <w:r>
              <w:t>Fonds de garantie des Dépôts Luxembourg</w:t>
            </w:r>
          </w:p>
          <w:p w14:paraId="7FE1B895" w14:textId="77777777" w:rsidR="00B81226" w:rsidRDefault="00B82AC2">
            <w:pPr>
              <w:pStyle w:val="P68B1DB1-TableParagraph28"/>
              <w:spacing w:before="108"/>
              <w:ind w:left="85"/>
              <w:jc w:val="both"/>
            </w:pPr>
            <w:r>
              <w:t>Malta</w:t>
            </w:r>
          </w:p>
          <w:p w14:paraId="7FE1B896" w14:textId="77777777" w:rsidR="00B81226" w:rsidRDefault="00B82AC2">
            <w:pPr>
              <w:pStyle w:val="P68B1DB1-TableParagraph17"/>
              <w:numPr>
                <w:ilvl w:val="0"/>
                <w:numId w:val="70"/>
              </w:numPr>
              <w:spacing w:before="108"/>
              <w:jc w:val="both"/>
            </w:pPr>
            <w:r>
              <w:t>Depositor Compensation Scheme</w:t>
            </w:r>
          </w:p>
          <w:p w14:paraId="7FE1B897" w14:textId="77777777" w:rsidR="00B81226" w:rsidRDefault="00B82AC2">
            <w:pPr>
              <w:pStyle w:val="P68B1DB1-TableParagraph28"/>
              <w:spacing w:before="108"/>
              <w:ind w:left="85"/>
              <w:jc w:val="both"/>
            </w:pPr>
            <w:r>
              <w:t xml:space="preserve">Alankomaat </w:t>
            </w:r>
          </w:p>
          <w:p w14:paraId="7FE1B898" w14:textId="77777777" w:rsidR="00B81226" w:rsidRDefault="00B82AC2">
            <w:pPr>
              <w:pStyle w:val="P68B1DB1-TableParagraph17"/>
              <w:numPr>
                <w:ilvl w:val="0"/>
                <w:numId w:val="70"/>
              </w:numPr>
              <w:spacing w:before="108"/>
              <w:jc w:val="both"/>
            </w:pPr>
            <w:r>
              <w:t>De Nederlandsche Bank, Depositogarantiestelsel</w:t>
            </w:r>
          </w:p>
          <w:p w14:paraId="7FE1B899" w14:textId="77777777" w:rsidR="00B81226" w:rsidRDefault="00B82AC2">
            <w:pPr>
              <w:pStyle w:val="P68B1DB1-TableParagraph28"/>
              <w:spacing w:before="108"/>
              <w:ind w:left="85"/>
              <w:jc w:val="both"/>
            </w:pPr>
            <w:r>
              <w:t>Norja</w:t>
            </w:r>
          </w:p>
          <w:p w14:paraId="7FE1B89A" w14:textId="77777777" w:rsidR="00B81226" w:rsidRDefault="00B82AC2">
            <w:pPr>
              <w:pStyle w:val="P68B1DB1-TableParagraph17"/>
              <w:numPr>
                <w:ilvl w:val="0"/>
                <w:numId w:val="70"/>
              </w:numPr>
              <w:spacing w:before="108"/>
              <w:jc w:val="both"/>
            </w:pPr>
            <w:r>
              <w:t>Bankenes sikringsfond</w:t>
            </w:r>
          </w:p>
          <w:p w14:paraId="7FE1B89B" w14:textId="77777777" w:rsidR="00B81226" w:rsidRDefault="00B82AC2">
            <w:pPr>
              <w:pStyle w:val="P68B1DB1-TableParagraph28"/>
              <w:spacing w:before="108"/>
              <w:ind w:left="85"/>
              <w:jc w:val="both"/>
            </w:pPr>
            <w:r>
              <w:t>Puola</w:t>
            </w:r>
          </w:p>
          <w:p w14:paraId="7FE1B89C" w14:textId="77777777" w:rsidR="00B81226" w:rsidRDefault="00B82AC2">
            <w:pPr>
              <w:pStyle w:val="P68B1DB1-TableParagraph17"/>
              <w:numPr>
                <w:ilvl w:val="0"/>
                <w:numId w:val="70"/>
              </w:numPr>
              <w:spacing w:before="108"/>
              <w:jc w:val="both"/>
            </w:pPr>
            <w:r>
              <w:t>Bankowy Fundusz Gwarancyjny</w:t>
            </w:r>
          </w:p>
          <w:p w14:paraId="7FE1B89D" w14:textId="77777777" w:rsidR="00B81226" w:rsidRDefault="00B82AC2">
            <w:pPr>
              <w:pStyle w:val="P68B1DB1-TableParagraph28"/>
              <w:spacing w:before="108"/>
              <w:ind w:left="85"/>
              <w:jc w:val="both"/>
            </w:pPr>
            <w:r>
              <w:t>Portugali</w:t>
            </w:r>
          </w:p>
          <w:p w14:paraId="7FE1B89E" w14:textId="77777777" w:rsidR="00B81226" w:rsidRDefault="00B82AC2">
            <w:pPr>
              <w:pStyle w:val="P68B1DB1-TableParagraph17"/>
              <w:numPr>
                <w:ilvl w:val="0"/>
                <w:numId w:val="70"/>
              </w:numPr>
              <w:spacing w:before="108"/>
              <w:jc w:val="both"/>
            </w:pPr>
            <w:r>
              <w:t>Fundo de Garantia de Depósitos</w:t>
            </w:r>
          </w:p>
          <w:p w14:paraId="7FE1B89F" w14:textId="77777777" w:rsidR="00B81226" w:rsidRDefault="00B82AC2">
            <w:pPr>
              <w:pStyle w:val="P68B1DB1-TableParagraph17"/>
              <w:numPr>
                <w:ilvl w:val="0"/>
                <w:numId w:val="70"/>
              </w:numPr>
              <w:spacing w:before="108"/>
              <w:jc w:val="both"/>
            </w:pPr>
            <w:r>
              <w:t>Fundo de Garantia do Crédito Agrícola Mútuo</w:t>
            </w:r>
          </w:p>
          <w:p w14:paraId="7FE1B8A0" w14:textId="77777777" w:rsidR="00B81226" w:rsidRDefault="00B82AC2">
            <w:pPr>
              <w:pStyle w:val="P68B1DB1-TableParagraph28"/>
              <w:spacing w:before="108"/>
              <w:ind w:left="85"/>
              <w:jc w:val="both"/>
            </w:pPr>
            <w:r>
              <w:t>Romania</w:t>
            </w:r>
          </w:p>
          <w:p w14:paraId="7FE1B8A1" w14:textId="77777777" w:rsidR="00B81226" w:rsidRDefault="00B82AC2">
            <w:pPr>
              <w:pStyle w:val="P68B1DB1-TableParagraph17"/>
              <w:numPr>
                <w:ilvl w:val="0"/>
                <w:numId w:val="70"/>
              </w:numPr>
              <w:spacing w:before="108"/>
              <w:jc w:val="both"/>
            </w:pPr>
            <w:r>
              <w:t>Fondul de Garantare a Depozitelor in Sistemul Bancar</w:t>
            </w:r>
          </w:p>
          <w:p w14:paraId="7FE1B8A2" w14:textId="77777777" w:rsidR="00B81226" w:rsidRDefault="00B82AC2">
            <w:pPr>
              <w:pStyle w:val="P68B1DB1-TableParagraph28"/>
              <w:spacing w:before="108"/>
              <w:ind w:left="85"/>
              <w:jc w:val="both"/>
            </w:pPr>
            <w:r>
              <w:t>Slovakia</w:t>
            </w:r>
          </w:p>
          <w:p w14:paraId="7FE1B8A3" w14:textId="77777777" w:rsidR="00B81226" w:rsidRDefault="00B82AC2">
            <w:pPr>
              <w:pStyle w:val="P68B1DB1-TableParagraph17"/>
              <w:numPr>
                <w:ilvl w:val="0"/>
                <w:numId w:val="70"/>
              </w:numPr>
              <w:spacing w:before="108"/>
              <w:jc w:val="both"/>
            </w:pPr>
            <w:r>
              <w:t>Fond ochrany vkladov</w:t>
            </w:r>
          </w:p>
          <w:p w14:paraId="7FE1B8A4" w14:textId="77777777" w:rsidR="00B81226" w:rsidRDefault="00B82AC2">
            <w:pPr>
              <w:pStyle w:val="P68B1DB1-TableParagraph28"/>
              <w:spacing w:before="108"/>
              <w:ind w:left="85"/>
              <w:jc w:val="both"/>
            </w:pPr>
            <w:r>
              <w:t xml:space="preserve">Slovenia </w:t>
            </w:r>
          </w:p>
          <w:p w14:paraId="7FE1B8A5" w14:textId="77777777" w:rsidR="00B81226" w:rsidRDefault="00B82AC2">
            <w:pPr>
              <w:pStyle w:val="P68B1DB1-TableParagraph17"/>
              <w:numPr>
                <w:ilvl w:val="0"/>
                <w:numId w:val="70"/>
              </w:numPr>
              <w:spacing w:before="108"/>
              <w:jc w:val="both"/>
            </w:pPr>
            <w:r>
              <w:t>Banka Slovenije</w:t>
            </w:r>
          </w:p>
          <w:p w14:paraId="7FE1B8A6" w14:textId="77777777" w:rsidR="00B81226" w:rsidRDefault="00B82AC2">
            <w:pPr>
              <w:pStyle w:val="P68B1DB1-TableParagraph28"/>
              <w:spacing w:before="108"/>
              <w:ind w:left="85"/>
              <w:jc w:val="both"/>
            </w:pPr>
            <w:r>
              <w:t>Espanja</w:t>
            </w:r>
          </w:p>
          <w:p w14:paraId="7FE1B8A7" w14:textId="77777777" w:rsidR="00B81226" w:rsidRDefault="00B82AC2">
            <w:pPr>
              <w:pStyle w:val="P68B1DB1-TableParagraph17"/>
              <w:numPr>
                <w:ilvl w:val="0"/>
                <w:numId w:val="70"/>
              </w:numPr>
              <w:spacing w:before="108"/>
              <w:jc w:val="both"/>
            </w:pPr>
            <w:r>
              <w:t>Fondo de Garantía de Depósitos de Entidades de Crédito</w:t>
            </w:r>
          </w:p>
          <w:p w14:paraId="7FE1B8A8" w14:textId="77777777" w:rsidR="00B81226" w:rsidRDefault="00B82AC2">
            <w:pPr>
              <w:pStyle w:val="P68B1DB1-TableParagraph28"/>
              <w:spacing w:before="108"/>
              <w:ind w:left="85"/>
              <w:jc w:val="both"/>
            </w:pPr>
            <w:r>
              <w:t>Ruotsi</w:t>
            </w:r>
          </w:p>
          <w:p w14:paraId="7FE1B8A9" w14:textId="77777777" w:rsidR="00B81226" w:rsidRDefault="00B82AC2">
            <w:pPr>
              <w:pStyle w:val="P68B1DB1-TableParagraph17"/>
              <w:numPr>
                <w:ilvl w:val="0"/>
                <w:numId w:val="70"/>
              </w:numPr>
              <w:spacing w:before="108"/>
              <w:jc w:val="both"/>
            </w:pPr>
            <w:r>
              <w:t>Riksgälden</w:t>
            </w:r>
          </w:p>
          <w:p w14:paraId="7FE1B8AC" w14:textId="77777777" w:rsidR="00B81226" w:rsidRDefault="00B81226">
            <w:pPr>
              <w:pStyle w:val="TableParagraph"/>
              <w:spacing w:before="108"/>
              <w:ind w:left="85"/>
              <w:jc w:val="both"/>
              <w:rPr>
                <w:rFonts w:ascii="Times New Roman" w:eastAsia="Cambria" w:hAnsi="Times New Roman" w:cs="Times New Roman"/>
                <w:color w:val="000000" w:themeColor="text1"/>
                <w:sz w:val="20"/>
                <w:szCs w:val="20"/>
              </w:rPr>
            </w:pPr>
          </w:p>
          <w:p w14:paraId="7FE1B8AD" w14:textId="77777777" w:rsidR="00B81226" w:rsidRDefault="00B82AC2">
            <w:pPr>
              <w:pStyle w:val="P68B1DB1-TableParagraph17"/>
              <w:spacing w:before="108"/>
              <w:ind w:left="85"/>
              <w:jc w:val="both"/>
            </w:pPr>
            <w:r>
              <w:t>Jos virallisesti tunnustettua talletussuojajärjestelmää, jonka jäsen yhteisö on, ei ole mainittu edellä, ilmoitetaan ”muu”.</w:t>
            </w:r>
          </w:p>
        </w:tc>
      </w:tr>
      <w:tr w:rsidR="00B81226" w14:paraId="7FE1B8B3" w14:textId="77777777">
        <w:tc>
          <w:tcPr>
            <w:tcW w:w="1191" w:type="dxa"/>
            <w:tcBorders>
              <w:top w:val="single" w:sz="4" w:space="0" w:color="1A171C"/>
              <w:left w:val="nil"/>
              <w:bottom w:val="single" w:sz="4" w:space="0" w:color="1A171C"/>
              <w:right w:val="single" w:sz="4" w:space="0" w:color="1A171C"/>
            </w:tcBorders>
          </w:tcPr>
          <w:p w14:paraId="7FE1B8AF" w14:textId="77777777" w:rsidR="00B81226" w:rsidRDefault="00B82AC2">
            <w:pPr>
              <w:pStyle w:val="P68B1DB1-TableParagraph17"/>
              <w:spacing w:before="108"/>
              <w:ind w:left="85"/>
              <w:jc w:val="both"/>
            </w:pPr>
            <w:r>
              <w:lastRenderedPageBreak/>
              <w:t>0040</w:t>
            </w:r>
          </w:p>
        </w:tc>
        <w:tc>
          <w:tcPr>
            <w:tcW w:w="7892" w:type="dxa"/>
            <w:tcBorders>
              <w:top w:val="single" w:sz="4" w:space="0" w:color="1A171C"/>
              <w:left w:val="single" w:sz="4" w:space="0" w:color="1A171C"/>
              <w:bottom w:val="single" w:sz="4" w:space="0" w:color="1A171C"/>
              <w:right w:val="nil"/>
            </w:tcBorders>
          </w:tcPr>
          <w:p w14:paraId="7FE1B8B0" w14:textId="77777777" w:rsidR="00B81226" w:rsidRDefault="00B82AC2">
            <w:pPr>
              <w:pStyle w:val="P68B1DB1-TableParagraph14"/>
              <w:spacing w:before="108"/>
              <w:ind w:left="85"/>
              <w:jc w:val="both"/>
              <w:rPr>
                <w:bCs/>
              </w:rPr>
            </w:pPr>
            <w:r>
              <w:t>Suojattujen talletusten määrä</w:t>
            </w:r>
          </w:p>
          <w:p w14:paraId="7FE1B8B1" w14:textId="77777777" w:rsidR="00B81226" w:rsidRDefault="00B82AC2">
            <w:pPr>
              <w:pStyle w:val="P68B1DB1-TableParagraph17"/>
              <w:spacing w:before="108"/>
              <w:ind w:left="85"/>
            </w:pPr>
            <w:r>
              <w:t>Direktiivin 2014/49/EU 2 artiklan 1 ja 5 kohta sekä 6 artiklan 2 kohta.</w:t>
            </w:r>
          </w:p>
          <w:p w14:paraId="7FE1B8B2" w14:textId="77777777" w:rsidR="00B81226" w:rsidRDefault="00B82AC2">
            <w:pPr>
              <w:pStyle w:val="P68B1DB1-TableParagraph17"/>
              <w:spacing w:before="108"/>
              <w:ind w:left="85"/>
              <w:jc w:val="both"/>
            </w:pPr>
            <w:r>
              <w:t>Direktiivin 2014/49/EU 2 artiklan 1 kohdan 5 alakohdassa, yhdessä direktiivin 6 artiklan kanssa, määriteltyjen suojattujen talletusten määrä, jonka rivillä 00030 mainittu talletussuojajärjestelmä kattaa, lukuun ottamatta direktiivin 2014/49/EU 6 artiklan 2 kohdassa määriteltyjä tilapäisesti korkeita saldoja.</w:t>
            </w:r>
          </w:p>
        </w:tc>
      </w:tr>
      <w:tr w:rsidR="00B81226" w14:paraId="7FE1B8B9" w14:textId="77777777">
        <w:tc>
          <w:tcPr>
            <w:tcW w:w="1191" w:type="dxa"/>
            <w:tcBorders>
              <w:top w:val="single" w:sz="4" w:space="0" w:color="1A171C"/>
              <w:left w:val="nil"/>
              <w:bottom w:val="single" w:sz="4" w:space="0" w:color="1A171C"/>
              <w:right w:val="single" w:sz="4" w:space="0" w:color="1A171C"/>
            </w:tcBorders>
          </w:tcPr>
          <w:p w14:paraId="7FE1B8B4" w14:textId="77777777" w:rsidR="00B81226" w:rsidRDefault="00B82AC2">
            <w:pPr>
              <w:pStyle w:val="P68B1DB1-TableParagraph17"/>
              <w:spacing w:before="108"/>
              <w:ind w:left="85"/>
              <w:jc w:val="both"/>
            </w:pPr>
            <w:r>
              <w:lastRenderedPageBreak/>
              <w:t>0050</w:t>
            </w:r>
          </w:p>
        </w:tc>
        <w:tc>
          <w:tcPr>
            <w:tcW w:w="7892" w:type="dxa"/>
            <w:tcBorders>
              <w:top w:val="single" w:sz="4" w:space="0" w:color="1A171C"/>
              <w:left w:val="single" w:sz="4" w:space="0" w:color="1A171C"/>
              <w:bottom w:val="single" w:sz="4" w:space="0" w:color="1A171C"/>
              <w:right w:val="nil"/>
            </w:tcBorders>
          </w:tcPr>
          <w:p w14:paraId="7FE1B8B5" w14:textId="77777777" w:rsidR="00B81226" w:rsidRDefault="00B82AC2">
            <w:pPr>
              <w:pStyle w:val="P68B1DB1-TableParagraph14"/>
              <w:spacing w:before="108"/>
              <w:ind w:left="85"/>
              <w:jc w:val="both"/>
              <w:rPr>
                <w:bCs/>
              </w:rPr>
            </w:pPr>
            <w:r>
              <w:t>Laitosten suojajärjestelmä (IPS)</w:t>
            </w:r>
          </w:p>
          <w:p w14:paraId="7FE1B8B6" w14:textId="77777777" w:rsidR="00B81226" w:rsidRDefault="00B82AC2">
            <w:pPr>
              <w:pStyle w:val="P68B1DB1-TableParagraph17"/>
              <w:spacing w:before="108"/>
              <w:ind w:left="85"/>
            </w:pPr>
            <w:r>
              <w:t>Asetuksen (EU) N:o 575/2013 113 artiklan 7 kohta</w:t>
            </w:r>
          </w:p>
          <w:p w14:paraId="7FE1B8B7" w14:textId="77777777" w:rsidR="00B81226" w:rsidRDefault="00B82AC2">
            <w:pPr>
              <w:pStyle w:val="P68B1DB1-TableParagraph17"/>
              <w:spacing w:before="108"/>
              <w:ind w:left="85"/>
              <w:jc w:val="both"/>
            </w:pPr>
            <w:r>
              <w:t>Sen asetuksen (EU) N:o 575/2013 113 artiklan 7 kohdassa tarkoitetun laitosten suojajärjestelmän nimi, jonka jäsen yhteisö on. Jätetään tyhjäksi, jos yhteisö ei ole laitosten suojajärjestelmän jäsen. Jos yhteisö on sellaisen laitosten suojajärjestelmän jäsen, joka on myös virallisesti hyväksytty talletussuojajärjestelmäksi (DGS) direktiivin 2014/49/EU 4 artiklan 2 kohdan mukaisesti, laitoksen suojajärjestelmän nimen on oltava sama kuin talletussuojajärjestelmän nimi rivillä 030.</w:t>
            </w:r>
          </w:p>
          <w:p w14:paraId="7FE1B8B8" w14:textId="77777777" w:rsidR="00B81226" w:rsidRDefault="00B81226">
            <w:pPr>
              <w:pStyle w:val="TableParagraph"/>
              <w:spacing w:before="108"/>
              <w:ind w:left="85"/>
              <w:jc w:val="both"/>
              <w:rPr>
                <w:rFonts w:ascii="Times New Roman" w:eastAsia="Cambria" w:hAnsi="Times New Roman" w:cs="Times New Roman"/>
                <w:color w:val="000000" w:themeColor="text1"/>
                <w:sz w:val="20"/>
                <w:szCs w:val="20"/>
              </w:rPr>
            </w:pPr>
          </w:p>
        </w:tc>
      </w:tr>
      <w:tr w:rsidR="00B81226" w14:paraId="7FE1B8BE" w14:textId="77777777">
        <w:tc>
          <w:tcPr>
            <w:tcW w:w="1191" w:type="dxa"/>
            <w:tcBorders>
              <w:top w:val="single" w:sz="4" w:space="0" w:color="1A171C"/>
              <w:left w:val="nil"/>
              <w:bottom w:val="single" w:sz="4" w:space="0" w:color="1A171C"/>
              <w:right w:val="single" w:sz="4" w:space="0" w:color="1A171C"/>
            </w:tcBorders>
          </w:tcPr>
          <w:p w14:paraId="7FE1B8BA" w14:textId="77777777" w:rsidR="00B81226" w:rsidRDefault="00B82AC2">
            <w:pPr>
              <w:pStyle w:val="P68B1DB1-TableParagraph17"/>
              <w:spacing w:before="108"/>
              <w:ind w:left="85"/>
              <w:jc w:val="both"/>
            </w:pPr>
            <w:r>
              <w:t>0060</w:t>
            </w:r>
          </w:p>
        </w:tc>
        <w:tc>
          <w:tcPr>
            <w:tcW w:w="7892" w:type="dxa"/>
            <w:tcBorders>
              <w:top w:val="single" w:sz="4" w:space="0" w:color="1A171C"/>
              <w:left w:val="single" w:sz="4" w:space="0" w:color="1A171C"/>
              <w:bottom w:val="single" w:sz="4" w:space="0" w:color="1A171C"/>
              <w:right w:val="nil"/>
            </w:tcBorders>
          </w:tcPr>
          <w:p w14:paraId="7FE1B8BB" w14:textId="77777777" w:rsidR="00B81226" w:rsidRDefault="00B82AC2">
            <w:pPr>
              <w:pStyle w:val="P68B1DB1-TableParagraph14"/>
              <w:spacing w:before="108"/>
              <w:ind w:left="85"/>
              <w:jc w:val="both"/>
              <w:rPr>
                <w:bCs/>
              </w:rPr>
            </w:pPr>
            <w:r>
              <w:t>Sopimusperusteisen järjestelmän tarjoama lisäsuoja</w:t>
            </w:r>
          </w:p>
          <w:p w14:paraId="7FE1B8BC" w14:textId="77777777" w:rsidR="00B81226" w:rsidRDefault="00B82AC2">
            <w:pPr>
              <w:pStyle w:val="P68B1DB1-TableParagraph17"/>
              <w:spacing w:before="108"/>
              <w:ind w:left="85"/>
            </w:pPr>
            <w:r>
              <w:t>Direktiivin 2014/49/EU 1 artiklan 3 kohdan a alakohta.</w:t>
            </w:r>
          </w:p>
          <w:p w14:paraId="7FE1B8BD" w14:textId="77777777" w:rsidR="00B81226" w:rsidRDefault="00B82AC2">
            <w:pPr>
              <w:pStyle w:val="P68B1DB1-TableParagraph17"/>
              <w:spacing w:before="108"/>
              <w:ind w:left="85"/>
              <w:jc w:val="both"/>
            </w:pPr>
            <w:r>
              <w:t>Sopimusperusteisen järjestelmän piiriin kuuluvien talletusten määrä yhteisössä.</w:t>
            </w:r>
          </w:p>
        </w:tc>
      </w:tr>
    </w:tbl>
    <w:p w14:paraId="7FE1B8BF" w14:textId="77777777" w:rsidR="00B81226" w:rsidRDefault="00B81226">
      <w:pPr>
        <w:rPr>
          <w:rFonts w:ascii="Times New Roman" w:hAnsi="Times New Roman" w:cs="Times New Roman"/>
          <w:b/>
          <w:color w:val="000000" w:themeColor="text1"/>
          <w:sz w:val="20"/>
          <w:szCs w:val="20"/>
          <w:u w:val="single"/>
        </w:rPr>
      </w:pPr>
    </w:p>
    <w:p w14:paraId="7FE1B8C0" w14:textId="77777777" w:rsidR="00B81226" w:rsidRDefault="00B82AC2">
      <w:pPr>
        <w:pStyle w:val="P68B1DB1-Instructionsberschrift25"/>
        <w:numPr>
          <w:ilvl w:val="1"/>
          <w:numId w:val="49"/>
        </w:numPr>
        <w:ind w:left="357" w:hanging="357"/>
      </w:pPr>
      <w:bookmarkStart w:id="100" w:name="_Toc492542327"/>
      <w:bookmarkStart w:id="101" w:name="_Toc81454186"/>
      <w:bookmarkStart w:id="102" w:name="_Toc208245443"/>
      <w:r>
        <w:t>Kriittiset toiminnot ja ydinliiketoiminta-alueet</w:t>
      </w:r>
      <w:bookmarkEnd w:id="100"/>
      <w:bookmarkEnd w:id="101"/>
      <w:bookmarkEnd w:id="102"/>
    </w:p>
    <w:p w14:paraId="7FE1B8C2" w14:textId="77777777" w:rsidR="00B81226" w:rsidRDefault="00B82AC2">
      <w:pPr>
        <w:pStyle w:val="Instructionsberschrift3"/>
      </w:pPr>
      <w:bookmarkStart w:id="103" w:name="_Toc189492773"/>
      <w:bookmarkStart w:id="104" w:name="_Toc192249050"/>
      <w:bookmarkEnd w:id="103"/>
      <w:bookmarkEnd w:id="104"/>
      <w:r>
        <w:t>Yleiset huomautukset</w:t>
      </w:r>
    </w:p>
    <w:p w14:paraId="7FE1B8C3" w14:textId="249305A0" w:rsidR="00B81226" w:rsidRDefault="00B82AC2">
      <w:pPr>
        <w:pStyle w:val="P68B1DB1-InstructionsText26"/>
        <w:numPr>
          <w:ilvl w:val="0"/>
          <w:numId w:val="232"/>
        </w:numPr>
        <w:spacing w:before="0"/>
      </w:pPr>
      <w:r>
        <w:t>Tässä jaksossa esitetään tärkeimmät tiedot ja laadulliset arviot konsernin taloudellisten toimintojen vaikutuksista, korvattavuudesta ja kriittisyydestä, ja niitä täydennetään kartoittamalla nämä kriittiset toiminnot ydinliiketoiminta-alueiden ja oikeushenkilöiden mukaan.</w:t>
      </w:r>
    </w:p>
    <w:p w14:paraId="7FE1B8C4" w14:textId="77777777" w:rsidR="00B81226" w:rsidRDefault="00B82AC2">
      <w:pPr>
        <w:pStyle w:val="P68B1DB1-InstructionsText26"/>
        <w:numPr>
          <w:ilvl w:val="0"/>
          <w:numId w:val="232"/>
        </w:numPr>
        <w:spacing w:before="0"/>
      </w:pPr>
      <w:r>
        <w:t>Lomakkeet koskevat erityisesti seuraavia aiheita:</w:t>
      </w:r>
    </w:p>
    <w:p w14:paraId="7FE1B8C5" w14:textId="0233F295" w:rsidR="00B81226" w:rsidRDefault="00B82AC2">
      <w:pPr>
        <w:pStyle w:val="P68B1DB1-InstructionsText26"/>
        <w:numPr>
          <w:ilvl w:val="0"/>
          <w:numId w:val="153"/>
        </w:numPr>
        <w:spacing w:before="0"/>
      </w:pPr>
      <w:r>
        <w:t>Lomakkeessa Z 07.01 – Taloudellisten toimintojen kriittisyyden arviointi (FUNC 1) esitetään ryhmän suorittamien taloudellisten toimintojen kriittisyyden arvioinnin tulokset, jotka perustuvat määrällisiin ja laadullisiin indikaattoreihin sekä suoritettuihin ei-kriittisiin ja kriittisiin toimintoihin. Ryhmältä odotetaan erillistä lomaketta kustakin jäsenvaltiosta, jossa ryhmä toimii. Raportointia varten on yksilöity seuraavat taloudellisten toimintojen luokat:</w:t>
      </w:r>
    </w:p>
    <w:p w14:paraId="7FE1B8C6" w14:textId="43527C6F" w:rsidR="00B81226" w:rsidRDefault="00B82AC2">
      <w:pPr>
        <w:pStyle w:val="P68B1DB1-InstructionsText26"/>
        <w:numPr>
          <w:ilvl w:val="1"/>
          <w:numId w:val="153"/>
        </w:numPr>
        <w:spacing w:before="0"/>
      </w:pPr>
      <w:r>
        <w:t>Z 07.01.1 Talletukset</w:t>
      </w:r>
    </w:p>
    <w:p w14:paraId="7FE1B8C7" w14:textId="46AB6183" w:rsidR="00B81226" w:rsidRDefault="00B82AC2">
      <w:pPr>
        <w:pStyle w:val="P68B1DB1-InstructionsText26"/>
        <w:numPr>
          <w:ilvl w:val="1"/>
          <w:numId w:val="153"/>
        </w:numPr>
        <w:spacing w:before="0"/>
      </w:pPr>
      <w:r>
        <w:t>Z 07.01.2 Lending</w:t>
      </w:r>
    </w:p>
    <w:p w14:paraId="7FE1B8C8" w14:textId="284FDD0B" w:rsidR="00B81226" w:rsidRDefault="00B82AC2">
      <w:pPr>
        <w:pStyle w:val="P68B1DB1-InstructionsText26"/>
        <w:numPr>
          <w:ilvl w:val="1"/>
          <w:numId w:val="153"/>
        </w:numPr>
        <w:spacing w:before="0"/>
      </w:pPr>
      <w:r>
        <w:t>Z 07.01.3 Maksu-, käteis-, toimitus-, määritys- ja säilytyspalvelut</w:t>
      </w:r>
    </w:p>
    <w:p w14:paraId="7FE1B8C9" w14:textId="12E4110D" w:rsidR="00B81226" w:rsidRDefault="00B82AC2">
      <w:pPr>
        <w:pStyle w:val="P68B1DB1-InstructionsText26"/>
        <w:numPr>
          <w:ilvl w:val="1"/>
          <w:numId w:val="153"/>
        </w:numPr>
        <w:spacing w:before="0"/>
      </w:pPr>
      <w:r>
        <w:t>Z 07.01.4</w:t>
      </w:r>
    </w:p>
    <w:p w14:paraId="7FE1B8CA" w14:textId="02162CC7" w:rsidR="00B81226" w:rsidRDefault="00B82AC2">
      <w:pPr>
        <w:pStyle w:val="P68B1DB1-InstructionsText26"/>
        <w:numPr>
          <w:ilvl w:val="1"/>
          <w:numId w:val="153"/>
        </w:numPr>
        <w:spacing w:before="0"/>
      </w:pPr>
      <w:r>
        <w:t>Z 07.01.5 Tukkurahoitus</w:t>
      </w:r>
    </w:p>
    <w:p w14:paraId="7FE1B8CB" w14:textId="006771C1" w:rsidR="00B81226" w:rsidRDefault="00B82AC2">
      <w:pPr>
        <w:pStyle w:val="P68B1DB1-InstructionsText26"/>
        <w:numPr>
          <w:ilvl w:val="0"/>
          <w:numId w:val="153"/>
        </w:numPr>
        <w:spacing w:before="0"/>
      </w:pPr>
      <w:r>
        <w:t>Lomakkeessa Z 07.02 – Taloudellisten toimintojen kartoitus oikeushenkilöiksi (FUNC 2) kartoitetaan lomakkeessa Z 07.01 arvioidut taloudelliset toiminnot, jotka koskevat lomakkeessa Z 01.01 yksilöityjä oikeushenkilöitä tai kansainvälisiä sivuliikkeitä.</w:t>
      </w:r>
    </w:p>
    <w:p w14:paraId="7FE1B8CC" w14:textId="0C5FD434" w:rsidR="00B81226" w:rsidRDefault="00B82AC2">
      <w:pPr>
        <w:pStyle w:val="P68B1DB1-InstructionsText26"/>
        <w:numPr>
          <w:ilvl w:val="0"/>
          <w:numId w:val="153"/>
        </w:numPr>
        <w:spacing w:before="0"/>
      </w:pPr>
      <w:r>
        <w:t>Lomakkeessa Z 07.03 – Ydinliiketoiminta-alueiden kartoitus oikeushenkilöiden mukaan (FUNC 3) esitetään täydellinen luettelo ydinliiketoiminta-alueista ja kartoitetaan ne oikeushenkilöiden mukaan.</w:t>
      </w:r>
    </w:p>
    <w:p w14:paraId="7FE1B8CD" w14:textId="780FA7AD" w:rsidR="00B81226" w:rsidRDefault="00B82AC2">
      <w:pPr>
        <w:pStyle w:val="P68B1DB1-InstructionsText26"/>
        <w:numPr>
          <w:ilvl w:val="0"/>
          <w:numId w:val="153"/>
        </w:numPr>
        <w:spacing w:before="0"/>
      </w:pPr>
      <w:r>
        <w:t xml:space="preserve">Lomakkeessa Z 07.04 – Kriittisten toimintojen kartoitus ydinliiketoiminta-alueiden mukaan (FUNC 4) kartoitetaan yksilöidyt kriittiset toiminnot liiketoiminta-alueiden mukaan. </w:t>
      </w:r>
    </w:p>
    <w:p w14:paraId="7FE1B8CE" w14:textId="0BA07F41" w:rsidR="00B81226" w:rsidRDefault="00B82AC2">
      <w:pPr>
        <w:pStyle w:val="P68B1DB1-InstructionsText26"/>
        <w:numPr>
          <w:ilvl w:val="0"/>
          <w:numId w:val="232"/>
        </w:numPr>
        <w:spacing w:before="0"/>
      </w:pPr>
      <w:r>
        <w:t xml:space="preserve">Direktiivin 2014/59/EU 2 artiklan 1 kohdan 35 alakohdan mukaan ’kriittisillä toiminnoilla’ tarkoitetaan toimintaa, palveluja tai toimintoja, joiden keskeytyminen todennäköisesti aiheuttaisi reaalitalouden kannalta elintärkeiden palvelujen häiriintymisen tai todennäköisesti häiritsisi rahoitusvakautta laitoksen tai konsernin koon tai </w:t>
      </w:r>
      <w:r>
        <w:lastRenderedPageBreak/>
        <w:t xml:space="preserve">markkinaosuuden, ulkoisten ja sisäisten sidosten, monitahoisuuden tai rajatylittävän toiminnan johdosta yhdessä tai useammassa jäsenvaltiossa erityisesti tämän toiminnan ja näiden palvelujen tai toimintojen korvattavuus huomioon ottaen. </w:t>
      </w:r>
    </w:p>
    <w:p w14:paraId="7FE1B8D0" w14:textId="77777777" w:rsidR="00B81226" w:rsidRDefault="00B82AC2">
      <w:pPr>
        <w:pStyle w:val="P68B1DB1-InstructionsText26"/>
        <w:numPr>
          <w:ilvl w:val="0"/>
          <w:numId w:val="232"/>
        </w:numPr>
        <w:spacing w:before="0"/>
      </w:pPr>
      <w:r>
        <w:t>Komission asetuksen (EU) 2016/778 6 artiklan 1 kohdan</w:t>
      </w:r>
      <w:r>
        <w:footnoteReference w:id="18"/>
      </w:r>
      <w:r>
        <w:t>mukaan toimintoa on pidettävä kriittisenä, jos se täyttää molemmat seuraavista vaatimuksista:</w:t>
      </w:r>
    </w:p>
    <w:p w14:paraId="7FE1B8D1" w14:textId="77777777" w:rsidR="00B81226" w:rsidRDefault="00B82AC2">
      <w:pPr>
        <w:pStyle w:val="P68B1DB1-Normal3"/>
        <w:numPr>
          <w:ilvl w:val="0"/>
          <w:numId w:val="56"/>
        </w:numPr>
        <w:spacing w:line="276" w:lineRule="auto"/>
        <w:contextualSpacing/>
        <w:jc w:val="both"/>
      </w:pPr>
      <w:r>
        <w:t>laitos tarjoaa toiminnon sellaisille kolmansille osapuolille, jotka eivät kuulu kyseiseen laitokseen tai konserniin; sekä</w:t>
      </w:r>
    </w:p>
    <w:p w14:paraId="7FE1B8D2" w14:textId="77777777" w:rsidR="00B81226" w:rsidRDefault="00B82AC2">
      <w:pPr>
        <w:pStyle w:val="P68B1DB1-Normal3"/>
        <w:numPr>
          <w:ilvl w:val="0"/>
          <w:numId w:val="56"/>
        </w:numPr>
        <w:spacing w:line="276" w:lineRule="auto"/>
        <w:contextualSpacing/>
        <w:jc w:val="both"/>
        <w:rPr>
          <w:i/>
        </w:rPr>
      </w:pPr>
      <w:r>
        <w:t>toiminnon äkillisellä häiriintymisellä olisi todennäköisesti huomattavan kielteinen vaikutus kolmansiin osapuoliin tai se aiheuttaisi todennäköisesti häiriöiden leviämisen tai heikentäisi markkinatoimijoiden yleistä luottamusta, koska kyse on kolmansille osapuolille järjestelmän kannalta merkittävästä toiminnosta sekä järjestelmän kannalta merkittävästä toiminnon tarjoavasta laitoksesta tai konsernista.</w:t>
      </w:r>
    </w:p>
    <w:p w14:paraId="7FE1B8D3" w14:textId="6B4413EC" w:rsidR="00B81226" w:rsidRDefault="00B82AC2">
      <w:pPr>
        <w:pStyle w:val="P68B1DB1-InstructionsText26"/>
        <w:numPr>
          <w:ilvl w:val="0"/>
          <w:numId w:val="232"/>
        </w:numPr>
        <w:spacing w:before="0"/>
      </w:pPr>
      <w:r>
        <w:t>Direktiivin 2014/59/EU 2 artiklan 1 kohdan 36 alakohdan mukaan ”’ydinliiketoiminta-alueella’ tarkoitetaan niitä liiketoiminta-alueita ja niihin liittyviä palveluja, jotka edustavat laitokselle tai konsernille, johon laitos kuuluu, olennaisia tulon, voiton tai franchise-arvon lähteitä”.</w:t>
      </w:r>
    </w:p>
    <w:p w14:paraId="7FE1B8D4" w14:textId="77777777" w:rsidR="00B81226" w:rsidRDefault="00B82AC2">
      <w:pPr>
        <w:pStyle w:val="P68B1DB1-InstructionsText26"/>
        <w:numPr>
          <w:ilvl w:val="0"/>
          <w:numId w:val="232"/>
        </w:numPr>
        <w:spacing w:before="0"/>
      </w:pPr>
      <w:r>
        <w:t>Tässä lomakkeessa taloudellisilla toiminnoilla tarkoitetaan jäljempänä olevassa taulukossa lueteltuja toimintoja.</w:t>
      </w:r>
    </w:p>
    <w:p w14:paraId="7FE1B8D5" w14:textId="77777777" w:rsidR="00B81226" w:rsidRDefault="00B82AC2">
      <w:pPr>
        <w:pStyle w:val="P68B1DB1-InstructionsText26"/>
        <w:numPr>
          <w:ilvl w:val="0"/>
          <w:numId w:val="232"/>
        </w:numPr>
        <w:spacing w:before="0"/>
      </w:pPr>
      <w:r>
        <w:t>Kunkin taloudellisen toiminnon luokan osalta voidaan valita taloudellinen toiminto ”muu”, jos muut ennalta määritellyt toiminnot eivät kata sitä.</w:t>
      </w:r>
    </w:p>
    <w:p w14:paraId="7FE1B8D6" w14:textId="77777777" w:rsidR="00B81226" w:rsidRDefault="00B82AC2">
      <w:pPr>
        <w:pStyle w:val="P68B1DB1-InstructionsText26"/>
        <w:numPr>
          <w:ilvl w:val="0"/>
          <w:numId w:val="232"/>
        </w:numPr>
        <w:spacing w:before="0"/>
      </w:pPr>
      <w:r>
        <w:t>Riveillä 0010–0070 ja riveillä 0080–0150 tarkoitetut vastapuolet määritellään niin, että ne vastaavat vastapuolialoja, jotka esitetään FINREP-raportoinnin liitteessä V olevan 1 osan 6 luvussa. ’Pk-yrityksillä’ tarkoitetaan pk-yrityksiä, jotka määritellään FINREP-raportoinnin liitteessä V olevan 1 osan 5 kohdan i alakohdassa.</w:t>
      </w:r>
    </w:p>
    <w:p w14:paraId="7FE1B8D7" w14:textId="4FEDF533" w:rsidR="00B81226" w:rsidRDefault="00B82AC2">
      <w:pPr>
        <w:pStyle w:val="P68B1DB1-InstructionsText229"/>
        <w:numPr>
          <w:ilvl w:val="0"/>
          <w:numId w:val="0"/>
        </w:numPr>
        <w:rPr>
          <w:sz w:val="20"/>
          <w:szCs w:val="20"/>
        </w:rPr>
      </w:pPr>
      <w:r>
        <w:rPr>
          <w:sz w:val="20"/>
          <w:szCs w:val="20"/>
        </w:rPr>
        <w:t>Kustakin toimialaluokasta odotetaan erillistä välilehteä.</w:t>
      </w:r>
      <w:r>
        <w:t xml:space="preserve"> </w:t>
      </w:r>
    </w:p>
    <w:p w14:paraId="072982A7" w14:textId="0688FD4A" w:rsidR="00B81226" w:rsidRDefault="00B82AC2">
      <w:pPr>
        <w:spacing w:after="200" w:line="276" w:lineRule="auto"/>
      </w:pPr>
      <w:r>
        <w:br w:type="page"/>
      </w:r>
    </w:p>
    <w:p w14:paraId="7FE1B95D" w14:textId="634EB818" w:rsidR="00B81226" w:rsidRDefault="00B81226">
      <w:pPr>
        <w:pStyle w:val="InstructionsText2"/>
        <w:numPr>
          <w:ilvl w:val="0"/>
          <w:numId w:val="0"/>
        </w:numPr>
        <w:rPr>
          <w:rFonts w:ascii="Times New Roman" w:hAnsi="Times New Roman" w:cs="Times New Roman"/>
          <w:color w:val="000000" w:themeColor="text1"/>
        </w:rPr>
      </w:pPr>
    </w:p>
    <w:p w14:paraId="7FE1B95E" w14:textId="77777777" w:rsidR="00B81226" w:rsidRDefault="00B82AC2">
      <w:pPr>
        <w:pStyle w:val="P68B1DB1-Instructionsberschrift25"/>
        <w:numPr>
          <w:ilvl w:val="1"/>
          <w:numId w:val="49"/>
        </w:numPr>
        <w:ind w:left="357" w:hanging="357"/>
      </w:pPr>
      <w:bookmarkStart w:id="105" w:name="_Toc208245444"/>
      <w:r>
        <w:t>Z 07.01 – Taloudellisten toimintojen kriittisyysarviointi (FUNC 1)</w:t>
      </w:r>
      <w:bookmarkEnd w:id="105"/>
    </w:p>
    <w:p w14:paraId="7FE1B960" w14:textId="7174EDC4" w:rsidR="00B81226" w:rsidRDefault="00B82AC2">
      <w:pPr>
        <w:pStyle w:val="P68B1DB1-Instructionsberschrift25"/>
      </w:pPr>
      <w:r>
        <w:t xml:space="preserve"> </w:t>
      </w:r>
      <w:bookmarkStart w:id="106" w:name="_Toc172723210"/>
      <w:bookmarkEnd w:id="106"/>
    </w:p>
    <w:p w14:paraId="7FE1B961" w14:textId="77777777" w:rsidR="00B81226" w:rsidRDefault="00B82AC2">
      <w:pPr>
        <w:pStyle w:val="P68B1DB1-body30"/>
      </w:pPr>
      <w:bookmarkStart w:id="107" w:name="_Toc164263845"/>
      <w:r>
        <w:t>Tiettyjä kohtia koskevat ohjeet</w:t>
      </w:r>
      <w:bookmarkEnd w:id="107"/>
    </w:p>
    <w:p w14:paraId="7FE1B963" w14:textId="77777777" w:rsidR="00B81226" w:rsidRDefault="00B82AC2">
      <w:pPr>
        <w:pStyle w:val="P68B1DB1-InstructionsText26"/>
        <w:numPr>
          <w:ilvl w:val="0"/>
          <w:numId w:val="232"/>
        </w:numPr>
        <w:spacing w:before="0"/>
      </w:pPr>
      <w:r>
        <w:t>Tämä lomake täytetään kerran kunkin sellaisen jäsenvaltion osalta, jossa konserni toimii (”maa”). Kaikki tapaukset (moduulista riippumatta):sivuliikkeet otetaan yhteisesti huomioon sen maan raportissa, jossa ne tarjoavat palveluja</w:t>
      </w:r>
    </w:p>
    <w:p w14:paraId="7FE1B964" w14:textId="77777777" w:rsidR="00B81226" w:rsidRDefault="00B82AC2">
      <w:pPr>
        <w:pStyle w:val="P68B1DB1-InstructionsText26"/>
        <w:numPr>
          <w:ilvl w:val="0"/>
          <w:numId w:val="232"/>
        </w:numPr>
        <w:spacing w:before="0"/>
      </w:pPr>
      <w:r>
        <w:t>Se kattaa kaikki taloudelliset toiminnot, joita jokin konserniyhteisö harjoittaa kyseisessä jäsenvaltiossa, riippumatta siitä, onko toiminta kriittinen toiminto vai ei.</w:t>
      </w:r>
    </w:p>
    <w:p w14:paraId="7FE1B965" w14:textId="2359C381" w:rsidR="00B81226" w:rsidRDefault="00B82AC2">
      <w:pPr>
        <w:pStyle w:val="P68B1DB1-InstructionsText26"/>
        <w:numPr>
          <w:ilvl w:val="0"/>
          <w:numId w:val="232"/>
        </w:numPr>
      </w:pPr>
      <w:r>
        <w:t>Alueellinen raportointi (vain tarvittaessa)</w:t>
      </w:r>
    </w:p>
    <w:p w14:paraId="7FE1B966" w14:textId="226CA454" w:rsidR="00B81226" w:rsidRDefault="00B82AC2">
      <w:pPr>
        <w:pStyle w:val="P68B1DB1-InstructionsText26"/>
        <w:numPr>
          <w:ilvl w:val="0"/>
          <w:numId w:val="0"/>
        </w:numPr>
        <w:ind w:left="1440"/>
      </w:pPr>
      <w:r>
        <w:t>Valitse alue alueellisen tason tietojen saamiseksi. Ilmoitetaan alueen nimi vapaatekstissä käyttäen seuraavaa käytäntöä:</w:t>
      </w:r>
    </w:p>
    <w:p w14:paraId="7FE1B967" w14:textId="5BD4C7F8" w:rsidR="00B81226" w:rsidRDefault="00B82AC2">
      <w:pPr>
        <w:pStyle w:val="P68B1DB1-InstructionsText26"/>
        <w:numPr>
          <w:ilvl w:val="0"/>
          <w:numId w:val="0"/>
        </w:numPr>
        <w:ind w:left="1440" w:firstLine="18"/>
      </w:pPr>
      <w:r>
        <w:t>Jäsenvaltio – alueen nimi. Jäsenvaltioiden nimien osalta käytetään vastaavaa kaksikirjaimista lyhennettä. Alueen nimen osalta käytetään NUTS 2021 -luokituksen koodia tai koodeja.</w:t>
      </w:r>
    </w:p>
    <w:p w14:paraId="7FE1B968" w14:textId="77777777" w:rsidR="00B81226" w:rsidRDefault="00B81226">
      <w:pPr>
        <w:pStyle w:val="InstructionsText2"/>
        <w:numPr>
          <w:ilvl w:val="0"/>
          <w:numId w:val="0"/>
        </w:numPr>
        <w:rPr>
          <w:rFonts w:ascii="Times New Roman" w:hAnsi="Times New Roman" w:cs="Times New Roman"/>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B81226" w14:paraId="7FE1B96B"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969" w14:textId="77777777" w:rsidR="00B81226" w:rsidRDefault="00B82AC2">
            <w:pPr>
              <w:pStyle w:val="P68B1DB1-TableParagraph17"/>
              <w:spacing w:before="108"/>
              <w:ind w:left="85"/>
              <w:jc w:val="both"/>
            </w:pPr>
            <w:r>
              <w:t>Rivit</w:t>
            </w:r>
          </w:p>
        </w:tc>
        <w:tc>
          <w:tcPr>
            <w:tcW w:w="7892" w:type="dxa"/>
            <w:tcBorders>
              <w:top w:val="single" w:sz="4" w:space="0" w:color="1A171C"/>
              <w:left w:val="single" w:sz="4" w:space="0" w:color="1A171C"/>
              <w:bottom w:val="single" w:sz="4" w:space="0" w:color="1A171C"/>
              <w:right w:val="nil"/>
            </w:tcBorders>
            <w:shd w:val="clear" w:color="auto" w:fill="E4E5E5"/>
          </w:tcPr>
          <w:p w14:paraId="7FE1B96A" w14:textId="77777777" w:rsidR="00B81226" w:rsidRDefault="00B82AC2">
            <w:pPr>
              <w:pStyle w:val="P68B1DB1-TableParagraph17"/>
              <w:spacing w:before="108"/>
              <w:ind w:left="85" w:right="1"/>
              <w:jc w:val="both"/>
            </w:pPr>
            <w:r>
              <w:t>Taloudellinen toiminto</w:t>
            </w:r>
          </w:p>
        </w:tc>
      </w:tr>
      <w:tr w:rsidR="00B81226" w14:paraId="7FE1B970" w14:textId="77777777">
        <w:tc>
          <w:tcPr>
            <w:tcW w:w="9083" w:type="dxa"/>
            <w:gridSpan w:val="2"/>
            <w:tcBorders>
              <w:top w:val="single" w:sz="4" w:space="0" w:color="1A171C"/>
              <w:left w:val="nil"/>
              <w:bottom w:val="single" w:sz="4" w:space="0" w:color="1A171C"/>
            </w:tcBorders>
          </w:tcPr>
          <w:p w14:paraId="7FE1B96C" w14:textId="0D085442" w:rsidR="00B81226" w:rsidRDefault="00B82AC2">
            <w:pPr>
              <w:pStyle w:val="P68B1DB1-TableParagraph16"/>
              <w:spacing w:before="108"/>
              <w:ind w:left="85"/>
              <w:jc w:val="both"/>
              <w:rPr>
                <w:b/>
                <w:bCs/>
                <w:color w:val="000000" w:themeColor="text1"/>
                <w:sz w:val="20"/>
                <w:szCs w:val="20"/>
              </w:rPr>
            </w:pPr>
            <w:r>
              <w:t>Z 07.01.1 FUNC 1 DEP</w:t>
            </w:r>
          </w:p>
          <w:p w14:paraId="7FE1B96D" w14:textId="77777777" w:rsidR="00B81226" w:rsidRDefault="00B82AC2">
            <w:pPr>
              <w:pStyle w:val="P68B1DB1-TableParagraph17"/>
              <w:spacing w:before="108"/>
              <w:ind w:left="85"/>
            </w:pPr>
            <w:r>
              <w:t xml:space="preserve">Talletusten vastaanotto tarkoittaa talletusten vastaanottamista muilta kuin rahoituksen välittäjältä. Siihen ei sisälly ottolainaus muilta rahoituksen välittäjiltä; tätä ottolainausta käsitellään erikseen kohdassa ”Tukkurahoitus”. </w:t>
            </w:r>
          </w:p>
          <w:p w14:paraId="7FE1B96E" w14:textId="77777777" w:rsidR="00B81226" w:rsidRDefault="00B82AC2">
            <w:pPr>
              <w:pStyle w:val="P68B1DB1-TableParagraph17"/>
              <w:spacing w:before="108"/>
              <w:ind w:left="85"/>
            </w:pPr>
            <w:r>
              <w:t>Talletuksia ovat muun muassa i) käyttötilit/yön yli -talletukset, ii) määräaikaistalletukset ja iii) irtisanomisehtoiset talletukset, eivätkä ne sisällä takaisinostosopimuksia.</w:t>
            </w:r>
          </w:p>
          <w:p w14:paraId="7FE1B96F" w14:textId="77777777" w:rsidR="00B81226" w:rsidRDefault="00B82AC2">
            <w:pPr>
              <w:pStyle w:val="P68B1DB1-TableParagraph13"/>
              <w:spacing w:before="108"/>
              <w:ind w:left="85"/>
              <w:rPr>
                <w:rFonts w:eastAsia="Cambria"/>
              </w:rPr>
            </w:pPr>
            <w:r>
              <w:t>Viiteasiakirjat: FSB:n ohjeet kriittisten toimintojen ja kriittisten yhteisten palvelujen yksilöimisestä (2013), s. 14. Asetuksen (EU) 2021/379 liite II, 2 osa, 9.1, 9.2 ja 9.3 kohta.</w:t>
            </w:r>
          </w:p>
        </w:tc>
      </w:tr>
      <w:tr w:rsidR="00B81226" w14:paraId="7FE1B973" w14:textId="77777777">
        <w:tc>
          <w:tcPr>
            <w:tcW w:w="1191" w:type="dxa"/>
            <w:tcBorders>
              <w:top w:val="single" w:sz="4" w:space="0" w:color="1A171C"/>
              <w:left w:val="nil"/>
              <w:bottom w:val="single" w:sz="4" w:space="0" w:color="1A171C"/>
              <w:right w:val="single" w:sz="4" w:space="0" w:color="1A171C"/>
            </w:tcBorders>
          </w:tcPr>
          <w:p w14:paraId="7FE1B971" w14:textId="77777777" w:rsidR="00B81226" w:rsidRDefault="00B82AC2">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972" w14:textId="77777777" w:rsidR="00B81226" w:rsidRDefault="00B82AC2">
            <w:pPr>
              <w:pStyle w:val="P68B1DB1-TableParagraph14"/>
              <w:spacing w:before="108"/>
              <w:ind w:left="85"/>
              <w:jc w:val="both"/>
              <w:rPr>
                <w:rFonts w:eastAsia="Cambria"/>
              </w:rPr>
            </w:pPr>
            <w:r>
              <w:t>Kotitaloudet</w:t>
            </w:r>
          </w:p>
        </w:tc>
      </w:tr>
      <w:tr w:rsidR="00B81226" w14:paraId="7FE1B976" w14:textId="77777777">
        <w:tc>
          <w:tcPr>
            <w:tcW w:w="1191" w:type="dxa"/>
            <w:tcBorders>
              <w:top w:val="single" w:sz="4" w:space="0" w:color="1A171C"/>
              <w:left w:val="nil"/>
              <w:bottom w:val="single" w:sz="4" w:space="0" w:color="1A171C"/>
              <w:right w:val="single" w:sz="4" w:space="0" w:color="1A171C"/>
            </w:tcBorders>
          </w:tcPr>
          <w:p w14:paraId="7FE1B974" w14:textId="77777777" w:rsidR="00B81226" w:rsidRDefault="00B82AC2">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975" w14:textId="77777777" w:rsidR="00B81226" w:rsidRDefault="00B82AC2">
            <w:pPr>
              <w:pStyle w:val="P68B1DB1-TableParagraph14"/>
              <w:spacing w:before="108"/>
              <w:ind w:left="85"/>
              <w:jc w:val="both"/>
              <w:rPr>
                <w:rFonts w:eastAsia="Cambria"/>
              </w:rPr>
            </w:pPr>
            <w:r>
              <w:t>Rahoitusalan ulkopuoliset yritykset (pk-yritykset)</w:t>
            </w:r>
          </w:p>
        </w:tc>
      </w:tr>
      <w:tr w:rsidR="00B81226" w14:paraId="7FE1B979" w14:textId="77777777">
        <w:tc>
          <w:tcPr>
            <w:tcW w:w="1191" w:type="dxa"/>
            <w:tcBorders>
              <w:top w:val="single" w:sz="4" w:space="0" w:color="1A171C"/>
              <w:left w:val="nil"/>
              <w:bottom w:val="single" w:sz="4" w:space="0" w:color="1A171C"/>
              <w:right w:val="single" w:sz="4" w:space="0" w:color="1A171C"/>
            </w:tcBorders>
          </w:tcPr>
          <w:p w14:paraId="7FE1B977" w14:textId="77777777" w:rsidR="00B81226" w:rsidRDefault="00B82AC2">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978" w14:textId="77777777" w:rsidR="00B81226" w:rsidRDefault="00B82AC2">
            <w:pPr>
              <w:pStyle w:val="P68B1DB1-TableParagraph14"/>
              <w:spacing w:before="108"/>
              <w:ind w:left="85"/>
              <w:jc w:val="both"/>
              <w:rPr>
                <w:rFonts w:eastAsia="Cambria"/>
              </w:rPr>
            </w:pPr>
            <w:r>
              <w:t>Rahoitusalan ulkopuoliset yritykset (muut kuin pk-yritykset)</w:t>
            </w:r>
          </w:p>
        </w:tc>
      </w:tr>
      <w:tr w:rsidR="00B81226" w14:paraId="7FE1B97C" w14:textId="77777777">
        <w:tc>
          <w:tcPr>
            <w:tcW w:w="1191" w:type="dxa"/>
            <w:tcBorders>
              <w:top w:val="single" w:sz="4" w:space="0" w:color="1A171C"/>
              <w:left w:val="nil"/>
              <w:bottom w:val="single" w:sz="4" w:space="0" w:color="1A171C"/>
              <w:right w:val="single" w:sz="4" w:space="0" w:color="1A171C"/>
            </w:tcBorders>
          </w:tcPr>
          <w:p w14:paraId="7FE1B97A" w14:textId="77777777" w:rsidR="00B81226" w:rsidRDefault="00B82AC2">
            <w:pPr>
              <w:pStyle w:val="P68B1DB1-TableParagraph17"/>
              <w:spacing w:before="108"/>
              <w:ind w:left="85"/>
              <w:jc w:val="both"/>
            </w:pPr>
            <w:r>
              <w:t>0040</w:t>
            </w:r>
          </w:p>
        </w:tc>
        <w:tc>
          <w:tcPr>
            <w:tcW w:w="7892" w:type="dxa"/>
            <w:tcBorders>
              <w:top w:val="single" w:sz="4" w:space="0" w:color="1A171C"/>
              <w:left w:val="single" w:sz="4" w:space="0" w:color="1A171C"/>
              <w:bottom w:val="single" w:sz="4" w:space="0" w:color="1A171C"/>
              <w:right w:val="nil"/>
            </w:tcBorders>
          </w:tcPr>
          <w:p w14:paraId="7FE1B97B" w14:textId="77777777" w:rsidR="00B81226" w:rsidRDefault="00B82AC2">
            <w:pPr>
              <w:pStyle w:val="P68B1DB1-TableParagraph14"/>
              <w:spacing w:before="108"/>
              <w:ind w:left="85"/>
              <w:jc w:val="both"/>
              <w:rPr>
                <w:rFonts w:eastAsia="Cambria"/>
              </w:rPr>
            </w:pPr>
            <w:r>
              <w:t>Keskushallinnot</w:t>
            </w:r>
          </w:p>
        </w:tc>
      </w:tr>
      <w:tr w:rsidR="00B81226" w14:paraId="7FE1B97F" w14:textId="77777777">
        <w:tc>
          <w:tcPr>
            <w:tcW w:w="1191" w:type="dxa"/>
            <w:tcBorders>
              <w:top w:val="single" w:sz="4" w:space="0" w:color="1A171C"/>
              <w:left w:val="nil"/>
              <w:bottom w:val="single" w:sz="4" w:space="0" w:color="1A171C"/>
              <w:right w:val="single" w:sz="4" w:space="0" w:color="1A171C"/>
            </w:tcBorders>
          </w:tcPr>
          <w:p w14:paraId="7FE1B97D" w14:textId="77777777" w:rsidR="00B81226" w:rsidRDefault="00B82AC2">
            <w:pPr>
              <w:pStyle w:val="P68B1DB1-TableParagraph17"/>
              <w:spacing w:before="108"/>
              <w:ind w:left="85"/>
              <w:jc w:val="both"/>
            </w:pPr>
            <w:r>
              <w:t>0050–0070</w:t>
            </w:r>
          </w:p>
        </w:tc>
        <w:tc>
          <w:tcPr>
            <w:tcW w:w="7892" w:type="dxa"/>
            <w:tcBorders>
              <w:top w:val="single" w:sz="4" w:space="0" w:color="1A171C"/>
              <w:left w:val="single" w:sz="4" w:space="0" w:color="1A171C"/>
              <w:bottom w:val="single" w:sz="4" w:space="0" w:color="1A171C"/>
              <w:right w:val="nil"/>
            </w:tcBorders>
          </w:tcPr>
          <w:p w14:paraId="7FE1B97E" w14:textId="77777777" w:rsidR="00B81226" w:rsidRDefault="00B82AC2">
            <w:pPr>
              <w:pStyle w:val="P68B1DB1-TableParagraph14"/>
              <w:spacing w:before="108"/>
              <w:ind w:left="85"/>
              <w:jc w:val="both"/>
              <w:rPr>
                <w:rFonts w:eastAsia="Cambria"/>
              </w:rPr>
            </w:pPr>
            <w:r>
              <w:t>Muut alat/vastapuolet (1), (2) ja (3)</w:t>
            </w:r>
          </w:p>
        </w:tc>
      </w:tr>
      <w:tr w:rsidR="00B81226" w14:paraId="7FE1B983" w14:textId="77777777">
        <w:tc>
          <w:tcPr>
            <w:tcW w:w="9083" w:type="dxa"/>
            <w:gridSpan w:val="2"/>
            <w:tcBorders>
              <w:top w:val="single" w:sz="4" w:space="0" w:color="1A171C"/>
              <w:left w:val="nil"/>
              <w:bottom w:val="single" w:sz="4" w:space="0" w:color="1A171C"/>
            </w:tcBorders>
          </w:tcPr>
          <w:p w14:paraId="7FE1B980" w14:textId="13950F51" w:rsidR="00B81226" w:rsidRDefault="00B82AC2">
            <w:pPr>
              <w:pStyle w:val="TableParagraph"/>
              <w:spacing w:before="108"/>
              <w:ind w:left="85"/>
              <w:rPr>
                <w:rFonts w:ascii="Times New Roman" w:eastAsia="Cambria" w:hAnsi="Times New Roman" w:cs="Times New Roman"/>
                <w:color w:val="000000" w:themeColor="text1"/>
                <w:sz w:val="20"/>
                <w:szCs w:val="20"/>
              </w:rPr>
            </w:pPr>
            <w:r>
              <w:rPr>
                <w:rFonts w:ascii="Times New Roman" w:hAnsi="Times New Roman" w:cs="Times New Roman"/>
              </w:rPr>
              <w:t>Z 07.01.2 FUNC 1 LEN</w:t>
            </w:r>
            <w:r>
              <w:rPr>
                <w:rFonts w:ascii="Times New Roman" w:eastAsia="Cambria" w:hAnsi="Times New Roman" w:cs="Times New Roman"/>
                <w:color w:val="000000" w:themeColor="text1"/>
                <w:sz w:val="20"/>
                <w:szCs w:val="20"/>
              </w:rPr>
              <w:t xml:space="preserve"> </w:t>
            </w:r>
          </w:p>
          <w:p w14:paraId="7FE1B981" w14:textId="77777777" w:rsidR="00B81226" w:rsidRDefault="00B82AC2">
            <w:pPr>
              <w:pStyle w:val="P68B1DB1-TableParagraph17"/>
              <w:spacing w:before="108"/>
              <w:ind w:left="85"/>
            </w:pPr>
            <w:r>
              <w:t>Luotonanto viittaa varojen myöntämiseen rahoitusalan ulkopuolisille vastapuolille, kuten yritys- tai yksityisasiakkaille. Luotonanto rahoitusalan vastapuolille on erillinen toiminto, ja sitä arvioidaan kohdassa ”Tukkurahoitus”. Lainat sisältävät laitosten hallussa olevat velkainstrumentit mutta eivät kuitenkaan velkainstrumentteja, jotka ovat arvopapereita, niiden kirjanpidollisesta luokituksesta riippumatta (esim. eräpäivään saakka pidettävät tai myytävissä olevat).</w:t>
            </w:r>
          </w:p>
          <w:p w14:paraId="7FE1B982" w14:textId="77777777" w:rsidR="00B81226" w:rsidRDefault="00B82AC2">
            <w:pPr>
              <w:pStyle w:val="P68B1DB1-TableParagraph13"/>
              <w:spacing w:before="108"/>
              <w:ind w:left="85"/>
              <w:rPr>
                <w:rFonts w:eastAsia="Cambria"/>
              </w:rPr>
            </w:pPr>
            <w:r>
              <w:t>Viiteasiakirjat: FSB:n ohjeet kriittisten toimintojen ja kriittisten yhteisten palvelujen yksilöimisestä (2013), s. 17. Asetuksen (EU) 2021/379 liitteessä II olevan 2 osan 2 kohta.</w:t>
            </w:r>
          </w:p>
        </w:tc>
      </w:tr>
      <w:tr w:rsidR="00B81226" w14:paraId="7FE1B987" w14:textId="77777777">
        <w:tc>
          <w:tcPr>
            <w:tcW w:w="1191" w:type="dxa"/>
            <w:tcBorders>
              <w:top w:val="single" w:sz="4" w:space="0" w:color="1A171C"/>
              <w:left w:val="nil"/>
              <w:bottom w:val="single" w:sz="4" w:space="0" w:color="1A171C"/>
              <w:right w:val="single" w:sz="4" w:space="0" w:color="1A171C"/>
            </w:tcBorders>
          </w:tcPr>
          <w:p w14:paraId="7FE1B984" w14:textId="77777777" w:rsidR="00B81226" w:rsidRDefault="00B82AC2">
            <w:pPr>
              <w:pStyle w:val="P68B1DB1-TableParagraph17"/>
              <w:spacing w:before="108"/>
              <w:ind w:left="85"/>
              <w:jc w:val="both"/>
            </w:pPr>
            <w:r>
              <w:lastRenderedPageBreak/>
              <w:t>0080</w:t>
            </w:r>
          </w:p>
        </w:tc>
        <w:tc>
          <w:tcPr>
            <w:tcW w:w="7892" w:type="dxa"/>
            <w:tcBorders>
              <w:top w:val="single" w:sz="4" w:space="0" w:color="1A171C"/>
              <w:left w:val="single" w:sz="4" w:space="0" w:color="1A171C"/>
              <w:bottom w:val="single" w:sz="4" w:space="0" w:color="1A171C"/>
              <w:right w:val="nil"/>
            </w:tcBorders>
          </w:tcPr>
          <w:p w14:paraId="7FE1B985" w14:textId="77777777" w:rsidR="00B81226" w:rsidRDefault="00B82AC2">
            <w:pPr>
              <w:pStyle w:val="P68B1DB1-TableParagraph14"/>
              <w:spacing w:before="108"/>
              <w:ind w:left="85"/>
              <w:jc w:val="both"/>
              <w:rPr>
                <w:bCs/>
              </w:rPr>
            </w:pPr>
            <w:r>
              <w:t>Kotitaloudet – asuntolainat</w:t>
            </w:r>
          </w:p>
          <w:p w14:paraId="7FE1B986" w14:textId="77777777" w:rsidR="00B81226" w:rsidRDefault="00B82AC2">
            <w:pPr>
              <w:pStyle w:val="P68B1DB1-TableParagraph17"/>
              <w:spacing w:before="108"/>
              <w:ind w:left="85"/>
            </w:pPr>
            <w:r>
              <w:t>Kotitalouksille myönnetyt vakuudelliset lainat, joiden vakuutena on kiinteistöjä</w:t>
            </w:r>
          </w:p>
        </w:tc>
      </w:tr>
      <w:tr w:rsidR="00B81226" w14:paraId="7FE1B98A" w14:textId="77777777">
        <w:tc>
          <w:tcPr>
            <w:tcW w:w="1191" w:type="dxa"/>
            <w:tcBorders>
              <w:top w:val="single" w:sz="4" w:space="0" w:color="1A171C"/>
              <w:left w:val="nil"/>
              <w:bottom w:val="single" w:sz="4" w:space="0" w:color="1A171C"/>
              <w:right w:val="single" w:sz="4" w:space="0" w:color="1A171C"/>
            </w:tcBorders>
          </w:tcPr>
          <w:p w14:paraId="7FE1B988" w14:textId="77777777" w:rsidR="00B81226" w:rsidRDefault="00B82AC2">
            <w:pPr>
              <w:pStyle w:val="P68B1DB1-TableParagraph17"/>
              <w:spacing w:before="108"/>
              <w:ind w:left="85"/>
              <w:jc w:val="both"/>
            </w:pPr>
            <w:r>
              <w:t>0090</w:t>
            </w:r>
          </w:p>
        </w:tc>
        <w:tc>
          <w:tcPr>
            <w:tcW w:w="7892" w:type="dxa"/>
            <w:tcBorders>
              <w:top w:val="single" w:sz="4" w:space="0" w:color="1A171C"/>
              <w:left w:val="single" w:sz="4" w:space="0" w:color="1A171C"/>
              <w:bottom w:val="single" w:sz="4" w:space="0" w:color="1A171C"/>
              <w:right w:val="nil"/>
            </w:tcBorders>
          </w:tcPr>
          <w:p w14:paraId="7FE1B989" w14:textId="77777777" w:rsidR="00B81226" w:rsidRDefault="00B82AC2">
            <w:pPr>
              <w:pStyle w:val="P68B1DB1-TableParagraph14"/>
              <w:spacing w:before="108"/>
              <w:ind w:left="85"/>
              <w:jc w:val="both"/>
              <w:rPr>
                <w:bCs/>
              </w:rPr>
            </w:pPr>
            <w:r>
              <w:t>Kotitaloudet – muu luotonanto</w:t>
            </w:r>
          </w:p>
        </w:tc>
      </w:tr>
      <w:tr w:rsidR="00B81226" w14:paraId="7FE1B98D" w14:textId="77777777">
        <w:tc>
          <w:tcPr>
            <w:tcW w:w="1191" w:type="dxa"/>
            <w:tcBorders>
              <w:top w:val="single" w:sz="4" w:space="0" w:color="1A171C"/>
              <w:left w:val="nil"/>
              <w:bottom w:val="single" w:sz="4" w:space="0" w:color="1A171C"/>
              <w:right w:val="single" w:sz="4" w:space="0" w:color="1A171C"/>
            </w:tcBorders>
          </w:tcPr>
          <w:p w14:paraId="7FE1B98B" w14:textId="77777777" w:rsidR="00B81226" w:rsidRDefault="00B82AC2">
            <w:pPr>
              <w:pStyle w:val="P68B1DB1-TableParagraph17"/>
              <w:spacing w:before="108"/>
              <w:ind w:left="85"/>
              <w:jc w:val="both"/>
            </w:pPr>
            <w:r>
              <w:t>0100</w:t>
            </w:r>
          </w:p>
        </w:tc>
        <w:tc>
          <w:tcPr>
            <w:tcW w:w="7892" w:type="dxa"/>
            <w:tcBorders>
              <w:top w:val="single" w:sz="4" w:space="0" w:color="1A171C"/>
              <w:left w:val="single" w:sz="4" w:space="0" w:color="1A171C"/>
              <w:bottom w:val="single" w:sz="4" w:space="0" w:color="1A171C"/>
              <w:right w:val="nil"/>
            </w:tcBorders>
            <w:vAlign w:val="bottom"/>
          </w:tcPr>
          <w:p w14:paraId="7FE1B98C" w14:textId="77777777" w:rsidR="00B81226" w:rsidRDefault="00B82AC2">
            <w:pPr>
              <w:pStyle w:val="P68B1DB1-TableParagraph14"/>
              <w:spacing w:before="108"/>
              <w:ind w:left="85"/>
              <w:jc w:val="both"/>
              <w:rPr>
                <w:bCs/>
              </w:rPr>
            </w:pPr>
            <w:r>
              <w:t>Rahoitusalan ulkopuoliset yritykset – pk-yritykset Liite V, 2 osa, 42 kohdan e alakohta;</w:t>
            </w:r>
          </w:p>
        </w:tc>
      </w:tr>
      <w:tr w:rsidR="00B81226" w14:paraId="7FE1B990" w14:textId="77777777">
        <w:tc>
          <w:tcPr>
            <w:tcW w:w="1191" w:type="dxa"/>
            <w:tcBorders>
              <w:top w:val="single" w:sz="4" w:space="0" w:color="1A171C"/>
              <w:left w:val="nil"/>
              <w:bottom w:val="single" w:sz="4" w:space="0" w:color="1A171C"/>
              <w:right w:val="single" w:sz="4" w:space="0" w:color="1A171C"/>
            </w:tcBorders>
            <w:vAlign w:val="bottom"/>
          </w:tcPr>
          <w:p w14:paraId="7FE1B98E" w14:textId="77777777" w:rsidR="00B81226" w:rsidRDefault="00B82AC2">
            <w:pPr>
              <w:pStyle w:val="P68B1DB1-TableParagraph17"/>
              <w:spacing w:before="108"/>
              <w:ind w:left="85"/>
              <w:jc w:val="both"/>
            </w:pPr>
            <w:r>
              <w:t>0110</w:t>
            </w:r>
          </w:p>
        </w:tc>
        <w:tc>
          <w:tcPr>
            <w:tcW w:w="7892" w:type="dxa"/>
            <w:tcBorders>
              <w:top w:val="single" w:sz="4" w:space="0" w:color="1A171C"/>
              <w:left w:val="single" w:sz="4" w:space="0" w:color="1A171C"/>
              <w:bottom w:val="single" w:sz="4" w:space="0" w:color="1A171C"/>
              <w:right w:val="nil"/>
            </w:tcBorders>
            <w:vAlign w:val="bottom"/>
          </w:tcPr>
          <w:p w14:paraId="7FE1B98F" w14:textId="77777777" w:rsidR="00B81226" w:rsidRDefault="00B82AC2">
            <w:pPr>
              <w:pStyle w:val="P68B1DB1-TableParagraph14"/>
              <w:spacing w:before="108"/>
              <w:ind w:left="85"/>
              <w:jc w:val="both"/>
              <w:rPr>
                <w:bCs/>
              </w:rPr>
            </w:pPr>
            <w:r>
              <w:t>Rahoitusalan ulkopuoliset yritykset – muut kuin pk-yritykset</w:t>
            </w:r>
          </w:p>
        </w:tc>
      </w:tr>
      <w:tr w:rsidR="00B81226" w14:paraId="7FE1B993" w14:textId="77777777">
        <w:tc>
          <w:tcPr>
            <w:tcW w:w="1191" w:type="dxa"/>
            <w:tcBorders>
              <w:top w:val="single" w:sz="4" w:space="0" w:color="1A171C"/>
              <w:left w:val="nil"/>
              <w:bottom w:val="single" w:sz="4" w:space="0" w:color="1A171C"/>
              <w:right w:val="single" w:sz="4" w:space="0" w:color="1A171C"/>
            </w:tcBorders>
            <w:vAlign w:val="bottom"/>
          </w:tcPr>
          <w:p w14:paraId="7FE1B991" w14:textId="77777777" w:rsidR="00B81226" w:rsidRDefault="00B82AC2">
            <w:pPr>
              <w:pStyle w:val="P68B1DB1-TableParagraph17"/>
              <w:spacing w:before="108"/>
              <w:ind w:left="85"/>
              <w:jc w:val="both"/>
            </w:pPr>
            <w:r>
              <w:t>0120</w:t>
            </w:r>
          </w:p>
        </w:tc>
        <w:tc>
          <w:tcPr>
            <w:tcW w:w="7892" w:type="dxa"/>
            <w:tcBorders>
              <w:top w:val="single" w:sz="4" w:space="0" w:color="1A171C"/>
              <w:left w:val="single" w:sz="4" w:space="0" w:color="1A171C"/>
              <w:bottom w:val="single" w:sz="4" w:space="0" w:color="1A171C"/>
              <w:right w:val="nil"/>
            </w:tcBorders>
            <w:vAlign w:val="bottom"/>
          </w:tcPr>
          <w:p w14:paraId="7FE1B992" w14:textId="77777777" w:rsidR="00B81226" w:rsidRDefault="00B82AC2">
            <w:pPr>
              <w:pStyle w:val="P68B1DB1-TableParagraph14"/>
              <w:spacing w:before="108"/>
              <w:ind w:left="85"/>
              <w:jc w:val="both"/>
              <w:rPr>
                <w:bCs/>
              </w:rPr>
            </w:pPr>
            <w:r>
              <w:t>Keskushallinnot</w:t>
            </w:r>
          </w:p>
        </w:tc>
      </w:tr>
      <w:tr w:rsidR="00B81226" w14:paraId="7FE1B996" w14:textId="77777777">
        <w:tc>
          <w:tcPr>
            <w:tcW w:w="1191" w:type="dxa"/>
            <w:tcBorders>
              <w:top w:val="single" w:sz="4" w:space="0" w:color="1A171C"/>
              <w:left w:val="nil"/>
              <w:bottom w:val="single" w:sz="4" w:space="0" w:color="1A171C"/>
              <w:right w:val="single" w:sz="4" w:space="0" w:color="1A171C"/>
            </w:tcBorders>
          </w:tcPr>
          <w:p w14:paraId="7FE1B994" w14:textId="77777777" w:rsidR="00B81226" w:rsidRDefault="00B82AC2">
            <w:pPr>
              <w:pStyle w:val="P68B1DB1-TableParagraph17"/>
              <w:spacing w:before="108"/>
              <w:ind w:left="85"/>
              <w:jc w:val="both"/>
            </w:pPr>
            <w:r>
              <w:t>0130–0150</w:t>
            </w:r>
          </w:p>
        </w:tc>
        <w:tc>
          <w:tcPr>
            <w:tcW w:w="7892" w:type="dxa"/>
            <w:tcBorders>
              <w:top w:val="single" w:sz="4" w:space="0" w:color="1A171C"/>
              <w:left w:val="single" w:sz="4" w:space="0" w:color="1A171C"/>
              <w:bottom w:val="single" w:sz="4" w:space="0" w:color="1A171C"/>
              <w:right w:val="nil"/>
            </w:tcBorders>
          </w:tcPr>
          <w:p w14:paraId="7FE1B995" w14:textId="77777777" w:rsidR="00B81226" w:rsidRDefault="00B82AC2">
            <w:pPr>
              <w:pStyle w:val="P68B1DB1-TableParagraph14"/>
              <w:spacing w:before="108"/>
              <w:ind w:left="85"/>
              <w:jc w:val="both"/>
              <w:rPr>
                <w:rFonts w:eastAsia="Cambria"/>
              </w:rPr>
            </w:pPr>
            <w:r>
              <w:t>Muut alat/vastapuolet (1), (2) ja (3)</w:t>
            </w:r>
          </w:p>
        </w:tc>
      </w:tr>
      <w:tr w:rsidR="00B81226" w14:paraId="7FE1B99C" w14:textId="77777777">
        <w:tc>
          <w:tcPr>
            <w:tcW w:w="9083" w:type="dxa"/>
            <w:gridSpan w:val="2"/>
            <w:tcBorders>
              <w:top w:val="single" w:sz="4" w:space="0" w:color="1A171C"/>
              <w:left w:val="nil"/>
              <w:bottom w:val="single" w:sz="4" w:space="0" w:color="1A171C"/>
            </w:tcBorders>
          </w:tcPr>
          <w:p w14:paraId="7FE1B997" w14:textId="587957C3" w:rsidR="00B81226" w:rsidRDefault="00B82AC2">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07.01.3 FUNC 1 -PALKKA</w:t>
            </w:r>
            <w:r>
              <w:rPr>
                <w:rFonts w:ascii="Times New Roman" w:eastAsia="Cambria" w:hAnsi="Times New Roman" w:cs="Times New Roman"/>
                <w:color w:val="000000" w:themeColor="text1"/>
                <w:sz w:val="20"/>
                <w:szCs w:val="20"/>
              </w:rPr>
              <w:t xml:space="preserve"> </w:t>
            </w:r>
          </w:p>
          <w:p w14:paraId="7FE1B998" w14:textId="77777777" w:rsidR="00B81226" w:rsidRDefault="00B82AC2">
            <w:pPr>
              <w:pStyle w:val="P68B1DB1-TableParagraph13"/>
              <w:spacing w:before="108"/>
              <w:ind w:left="85"/>
              <w:jc w:val="both"/>
              <w:rPr>
                <w:rFonts w:eastAsia="Cambria"/>
              </w:rPr>
            </w:pPr>
            <w:r>
              <w:t>Viite FSB:n ohjeet kriittisten toimintojen ja kriittisten yhteisten palvelujen yksilöimisestä (2013), s. 20.</w:t>
            </w:r>
          </w:p>
          <w:p w14:paraId="7FE1B999" w14:textId="77777777" w:rsidR="00B81226" w:rsidRDefault="00B82AC2">
            <w:pPr>
              <w:pStyle w:val="P68B1DB1-TableParagraph13"/>
              <w:spacing w:before="108"/>
              <w:ind w:left="85"/>
              <w:jc w:val="both"/>
              <w:rPr>
                <w:rFonts w:eastAsia="Cambria"/>
              </w:rPr>
            </w:pPr>
            <w:r>
              <w:t>Tähän sisältyvät taloudelliset toiminnot koostuvat maksu-, käteis-, toimitus-, määritys- ja säilytyspalvelujen tarjoamisesta luottolaitoksen toimesta välittäjänä sen omien asiakkaiden välillä tai asiakkaan ja yhden tai useamman asiaan liittyvän rahoitusmarkkinoiden infrastruktuurin välillä tai tarjoamalla muille pankeille (välillistä) pääsyä rahoitusmarkkinoiden infrastruktuureihin. Kriittisten toimintojen ja kriittisten yhteisten palvelujen yksilöimistä koskevien FSB:n ohjeiden mukaisesti maksu-, määritys-</w:t>
            </w:r>
            <w:r>
              <w:t xml:space="preserve"> ja toimitustoiminnot rajoitetaan koskemaan palveluja, joita pankit tarjoavat asiakkailleen. Tähän luokkaan eivät kuulu (pelkkien) FMI-palveluntarjoajien tarjoamat palvelut. Tässä lomakkeessa rahoitusmarkkinoiden infrastruktuureihin sisältyvät maksujärjestelmät, arvopapereiden toimitusjärjestelmät, arvopaperikeskukset ja keskusvastapuolet (mutta eivät kauppatietorekisterit).</w:t>
            </w:r>
          </w:p>
          <w:p w14:paraId="7FE1B99A" w14:textId="77777777" w:rsidR="00B81226" w:rsidRDefault="00B82AC2">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”Maksupalvelulla” ja ”maksutapahtumalla” ja ”maksujärjestelmällä” tarkoitetaan samaa kuin maksupalveluista sisämarkkinoilla annetun direktiivin 2015/2366 4 artiklan 3, 5 ja 7 kohdassa</w:t>
            </w:r>
            <w:r>
              <w:rPr>
                <w:rStyle w:val="FootnoteReference"/>
                <w:rFonts w:ascii="Times New Roman" w:eastAsia="Cambria" w:hAnsi="Times New Roman" w:cs="Times New Roman"/>
                <w:color w:val="000000" w:themeColor="text1"/>
                <w:sz w:val="20"/>
                <w:szCs w:val="20"/>
              </w:rPr>
              <w:footnoteReference w:id="19"/>
            </w:r>
            <w:r>
              <w:rPr>
                <w:rFonts w:ascii="Times New Roman" w:eastAsia="Cambria" w:hAnsi="Times New Roman" w:cs="Times New Roman"/>
                <w:color w:val="000000" w:themeColor="text1"/>
                <w:sz w:val="20"/>
                <w:szCs w:val="20"/>
              </w:rPr>
              <w:t>.</w:t>
            </w:r>
          </w:p>
          <w:p w14:paraId="7FE1B99B" w14:textId="77777777" w:rsidR="00B81226" w:rsidRDefault="00B81226">
            <w:pPr>
              <w:pStyle w:val="TableParagraph"/>
              <w:spacing w:before="108"/>
              <w:ind w:left="85"/>
              <w:jc w:val="both"/>
              <w:rPr>
                <w:rFonts w:ascii="Times New Roman" w:eastAsia="Cambria" w:hAnsi="Times New Roman" w:cs="Times New Roman"/>
                <w:color w:val="000000" w:themeColor="text1"/>
                <w:sz w:val="20"/>
                <w:szCs w:val="20"/>
              </w:rPr>
            </w:pPr>
          </w:p>
        </w:tc>
      </w:tr>
      <w:tr w:rsidR="00B81226" w14:paraId="7FE1B9A0" w14:textId="77777777">
        <w:tc>
          <w:tcPr>
            <w:tcW w:w="1191" w:type="dxa"/>
            <w:tcBorders>
              <w:top w:val="single" w:sz="4" w:space="0" w:color="1A171C"/>
              <w:left w:val="nil"/>
              <w:bottom w:val="single" w:sz="4" w:space="0" w:color="1A171C"/>
              <w:right w:val="single" w:sz="4" w:space="0" w:color="1A171C"/>
            </w:tcBorders>
          </w:tcPr>
          <w:p w14:paraId="7FE1B99D" w14:textId="77777777" w:rsidR="00B81226" w:rsidRDefault="00B82AC2">
            <w:pPr>
              <w:pStyle w:val="P68B1DB1-TableParagraph17"/>
              <w:spacing w:before="108"/>
              <w:ind w:left="85"/>
              <w:jc w:val="both"/>
            </w:pPr>
            <w:r>
              <w:t>0160</w:t>
            </w:r>
          </w:p>
        </w:tc>
        <w:tc>
          <w:tcPr>
            <w:tcW w:w="7892" w:type="dxa"/>
            <w:tcBorders>
              <w:top w:val="single" w:sz="4" w:space="0" w:color="1A171C"/>
              <w:left w:val="single" w:sz="4" w:space="0" w:color="1A171C"/>
              <w:bottom w:val="single" w:sz="4" w:space="0" w:color="1A171C"/>
              <w:right w:val="nil"/>
            </w:tcBorders>
          </w:tcPr>
          <w:p w14:paraId="7FE1B99E" w14:textId="77777777" w:rsidR="00B81226" w:rsidRDefault="00B82AC2">
            <w:pPr>
              <w:pStyle w:val="P68B1DB1-TableParagraph14"/>
              <w:spacing w:before="108"/>
              <w:ind w:left="85"/>
              <w:jc w:val="both"/>
              <w:rPr>
                <w:bCs/>
              </w:rPr>
            </w:pPr>
            <w:r>
              <w:t>Maksupalvelut rahalaitoksille</w:t>
            </w:r>
          </w:p>
          <w:p w14:paraId="7FE1B99F" w14:textId="77777777" w:rsidR="00B81226" w:rsidRDefault="00B82AC2">
            <w:pPr>
              <w:pStyle w:val="P68B1DB1-TableParagraph17"/>
              <w:spacing w:before="108"/>
              <w:ind w:left="85"/>
              <w:jc w:val="both"/>
            </w:pPr>
            <w:r>
              <w:t>Tämä rivi kattaa rahalaitoksille tarjotut maksupalvelut riippumatta siitä, käytetäänkö ulkoisia maksujärjestelmiä vai ei. Tämä kattaa myös vastaavat pankkipalvelut (niihin liittyvät maksut). Rahalaitoksia ovat kaikki seuraaviin osa-aloihin kuuluvat institutionaaliset yksiköt: I) keskuspankki; ii) talletuksia vastaanottavat yhteisöt, muut kuin keskuspankki; ja iii) rahamarkkinarahastot.</w:t>
            </w:r>
          </w:p>
        </w:tc>
      </w:tr>
      <w:tr w:rsidR="00B81226" w14:paraId="7FE1B9A8" w14:textId="77777777">
        <w:tc>
          <w:tcPr>
            <w:tcW w:w="1191" w:type="dxa"/>
            <w:tcBorders>
              <w:top w:val="single" w:sz="4" w:space="0" w:color="1A171C"/>
              <w:left w:val="nil"/>
              <w:bottom w:val="single" w:sz="4" w:space="0" w:color="1A171C"/>
              <w:right w:val="single" w:sz="4" w:space="0" w:color="1A171C"/>
            </w:tcBorders>
          </w:tcPr>
          <w:p w14:paraId="7FE1B9A1" w14:textId="77777777" w:rsidR="00B81226" w:rsidRDefault="00B82AC2">
            <w:pPr>
              <w:pStyle w:val="P68B1DB1-TableParagraph17"/>
              <w:spacing w:before="108"/>
              <w:ind w:left="85"/>
              <w:jc w:val="both"/>
            </w:pPr>
            <w:r>
              <w:t>0170–0176</w:t>
            </w:r>
          </w:p>
        </w:tc>
        <w:tc>
          <w:tcPr>
            <w:tcW w:w="7892" w:type="dxa"/>
            <w:tcBorders>
              <w:top w:val="single" w:sz="4" w:space="0" w:color="1A171C"/>
              <w:left w:val="single" w:sz="4" w:space="0" w:color="1A171C"/>
              <w:bottom w:val="single" w:sz="4" w:space="0" w:color="1A171C"/>
              <w:right w:val="nil"/>
            </w:tcBorders>
          </w:tcPr>
          <w:p w14:paraId="7FE1B9A2" w14:textId="77777777" w:rsidR="00B81226" w:rsidRDefault="00B82AC2">
            <w:pPr>
              <w:pStyle w:val="P68B1DB1-TableParagraph14"/>
              <w:spacing w:before="108"/>
              <w:ind w:left="85"/>
              <w:jc w:val="both"/>
              <w:rPr>
                <w:bCs/>
              </w:rPr>
            </w:pPr>
            <w:r>
              <w:t>Maksupalvelut muille kuin rahalaitoksille</w:t>
            </w:r>
          </w:p>
          <w:p w14:paraId="7FE1B9A3" w14:textId="77777777" w:rsidR="00B81226" w:rsidRDefault="00B82AC2">
            <w:pPr>
              <w:pStyle w:val="P68B1DB1-TableParagraph17"/>
              <w:spacing w:before="108"/>
              <w:ind w:left="85"/>
            </w:pPr>
            <w:r>
              <w:t>Asiakkaille tarjotut maksupalvelut, riippumatta siitä, käytetäänkö ulkoisia maksujärjestelmiä vai ei. Tämä koskee ainoastaan niitä luonnollisia henkilöitä tai oikeushenkilöitä, jotka eivät kuulu rahalaitossektoriin. Maksupalveluntarjoajia ei myöskään lueta mukaan sektoriin ”muut kuin rahalaitokset”.</w:t>
            </w:r>
          </w:p>
          <w:p w14:paraId="7FE1B9A4" w14:textId="77777777" w:rsidR="00B81226" w:rsidRDefault="00B82AC2">
            <w:pPr>
              <w:pStyle w:val="P68B1DB1-TableParagraph17"/>
              <w:spacing w:before="108"/>
              <w:ind w:left="85"/>
            </w:pPr>
            <w:r>
              <w:t>Toiminto on lisäksi jaettu kolmeen alatoimintoon:</w:t>
            </w:r>
          </w:p>
          <w:p w14:paraId="7FE1B9A5" w14:textId="77777777" w:rsidR="00B81226" w:rsidRDefault="00B82AC2">
            <w:pPr>
              <w:pStyle w:val="P68B1DB1-TableParagraph17"/>
              <w:spacing w:before="108"/>
              <w:ind w:left="85"/>
            </w:pPr>
            <w:r>
              <w:t>(1) Kotitaloudet</w:t>
            </w:r>
          </w:p>
          <w:p w14:paraId="7FE1B9A6" w14:textId="77777777" w:rsidR="00B81226" w:rsidRDefault="00B82AC2">
            <w:pPr>
              <w:pStyle w:val="P68B1DB1-TableParagraph17"/>
              <w:spacing w:before="108"/>
              <w:ind w:left="85"/>
            </w:pPr>
            <w:r>
              <w:t>(2) Rahoitusalan ulkopuoliset yritykset – pk-yritykset Liite V, 2 osa, 42 kohdan e alakohta;</w:t>
            </w:r>
          </w:p>
          <w:p w14:paraId="7FE1B9A7" w14:textId="77777777" w:rsidR="00B81226" w:rsidRDefault="00B82AC2">
            <w:pPr>
              <w:pStyle w:val="P68B1DB1-TableParagraph17"/>
              <w:spacing w:before="108"/>
              <w:ind w:left="85"/>
            </w:pPr>
            <w:r>
              <w:t>(3) Rahoitusalan ulkopuoliset yritykset – muut kuin pk-yritykset</w:t>
            </w:r>
          </w:p>
        </w:tc>
      </w:tr>
      <w:tr w:rsidR="00B81226" w14:paraId="7FE1B9AC" w14:textId="77777777">
        <w:tc>
          <w:tcPr>
            <w:tcW w:w="1191" w:type="dxa"/>
            <w:tcBorders>
              <w:top w:val="single" w:sz="4" w:space="0" w:color="1A171C"/>
              <w:left w:val="nil"/>
              <w:bottom w:val="single" w:sz="4" w:space="0" w:color="1A171C"/>
              <w:right w:val="single" w:sz="4" w:space="0" w:color="1A171C"/>
            </w:tcBorders>
          </w:tcPr>
          <w:p w14:paraId="7FE1B9A9" w14:textId="77777777" w:rsidR="00B81226" w:rsidRDefault="00B82AC2">
            <w:pPr>
              <w:pStyle w:val="P68B1DB1-TableParagraph17"/>
              <w:spacing w:before="108"/>
              <w:ind w:left="85"/>
              <w:jc w:val="both"/>
            </w:pPr>
            <w:r>
              <w:t>0180</w:t>
            </w:r>
          </w:p>
        </w:tc>
        <w:tc>
          <w:tcPr>
            <w:tcW w:w="7892" w:type="dxa"/>
            <w:tcBorders>
              <w:top w:val="single" w:sz="4" w:space="0" w:color="1A171C"/>
              <w:left w:val="single" w:sz="4" w:space="0" w:color="1A171C"/>
              <w:bottom w:val="single" w:sz="4" w:space="0" w:color="1A171C"/>
              <w:right w:val="nil"/>
            </w:tcBorders>
          </w:tcPr>
          <w:p w14:paraId="7FE1B9AA" w14:textId="77777777" w:rsidR="00B81226" w:rsidRDefault="00B82AC2">
            <w:pPr>
              <w:pStyle w:val="P68B1DB1-TableParagraph14"/>
              <w:spacing w:before="108"/>
              <w:ind w:left="85"/>
              <w:jc w:val="both"/>
              <w:rPr>
                <w:bCs/>
              </w:rPr>
            </w:pPr>
            <w:r>
              <w:t>Käteispalvelut</w:t>
            </w:r>
          </w:p>
          <w:p w14:paraId="7FE1B9AB" w14:textId="77777777" w:rsidR="00B81226" w:rsidRDefault="00B82AC2">
            <w:pPr>
              <w:pStyle w:val="P68B1DB1-TableParagraph17"/>
              <w:spacing w:before="108"/>
              <w:ind w:left="85"/>
            </w:pPr>
            <w:r>
              <w:lastRenderedPageBreak/>
              <w:t>Käteispalvelujen tarjoaminen asiakkaille (sekä yksityishenkilöille että yrityksille, vain muille kuin rahalaitoksille). Näissä palveluissa viitataan käteisnostoihin pankkiautomaateista ja pankkikonttoreissa eikä niihin kuulu muita käteispalveluja (kuten arvokuljetuksia suurille kauppaketjuille). Mukaan luetaan käteisnostot sekeillä ja sivukonttoreissa pankkilomakkeita käyttäen (kortteja voidaan käyttää tunnistuskeinoina).</w:t>
            </w:r>
          </w:p>
        </w:tc>
      </w:tr>
      <w:tr w:rsidR="00B81226" w14:paraId="7FE1B9B0" w14:textId="77777777">
        <w:tc>
          <w:tcPr>
            <w:tcW w:w="1191" w:type="dxa"/>
            <w:tcBorders>
              <w:top w:val="single" w:sz="4" w:space="0" w:color="1A171C"/>
              <w:left w:val="nil"/>
              <w:bottom w:val="single" w:sz="4" w:space="0" w:color="1A171C"/>
              <w:right w:val="single" w:sz="4" w:space="0" w:color="1A171C"/>
            </w:tcBorders>
          </w:tcPr>
          <w:p w14:paraId="7FE1B9AD" w14:textId="77777777" w:rsidR="00B81226" w:rsidRDefault="00B82AC2">
            <w:pPr>
              <w:pStyle w:val="P68B1DB1-TableParagraph17"/>
              <w:spacing w:before="108"/>
              <w:ind w:left="85"/>
              <w:jc w:val="both"/>
            </w:pPr>
            <w:r>
              <w:lastRenderedPageBreak/>
              <w:t>0190</w:t>
            </w:r>
          </w:p>
        </w:tc>
        <w:tc>
          <w:tcPr>
            <w:tcW w:w="7892" w:type="dxa"/>
            <w:tcBorders>
              <w:top w:val="single" w:sz="4" w:space="0" w:color="1A171C"/>
              <w:left w:val="single" w:sz="4" w:space="0" w:color="1A171C"/>
              <w:bottom w:val="single" w:sz="4" w:space="0" w:color="1A171C"/>
              <w:right w:val="nil"/>
            </w:tcBorders>
          </w:tcPr>
          <w:p w14:paraId="7FE1B9AE" w14:textId="77777777" w:rsidR="00B81226" w:rsidRDefault="00B82AC2">
            <w:pPr>
              <w:pStyle w:val="P68B1DB1-TableParagraph14"/>
              <w:spacing w:before="108"/>
              <w:ind w:left="85"/>
              <w:jc w:val="both"/>
              <w:rPr>
                <w:bCs/>
              </w:rPr>
            </w:pPr>
            <w:r>
              <w:t>Arvopapereiden toimituspalvelut</w:t>
            </w:r>
          </w:p>
          <w:p w14:paraId="7FE1B9AF" w14:textId="77777777" w:rsidR="00B81226" w:rsidRDefault="00B82AC2">
            <w:pPr>
              <w:pStyle w:val="P68B1DB1-TableParagraph17"/>
              <w:spacing w:before="108"/>
              <w:ind w:left="85"/>
            </w:pPr>
            <w:r>
              <w:t>Asiakkaille arvopaperitapahtumien vahvistamista, määritystä ja toimitusta varten tarjottavat palvelut riippumatta siitä, käytetäänkö arvopaperien toimitusjärjestelmiä vai ei. ’Toimituksella’ tarkoitetaan arvopaperitapahtuman loppuun saattamista, jos se tehdään kyseisen tapahtuman osapuolten velvoitteiden täyttämiseksi siirtämällä varoja ja/tai arvopapereita.</w:t>
            </w:r>
          </w:p>
        </w:tc>
      </w:tr>
      <w:tr w:rsidR="00B81226" w14:paraId="7FE1B9B4" w14:textId="77777777">
        <w:tc>
          <w:tcPr>
            <w:tcW w:w="1191" w:type="dxa"/>
            <w:tcBorders>
              <w:top w:val="single" w:sz="4" w:space="0" w:color="1A171C"/>
              <w:left w:val="nil"/>
              <w:bottom w:val="single" w:sz="4" w:space="0" w:color="1A171C"/>
              <w:right w:val="single" w:sz="4" w:space="0" w:color="1A171C"/>
            </w:tcBorders>
          </w:tcPr>
          <w:p w14:paraId="7FE1B9B1" w14:textId="77777777" w:rsidR="00B81226" w:rsidRDefault="00B82AC2">
            <w:pPr>
              <w:pStyle w:val="P68B1DB1-TableParagraph17"/>
              <w:spacing w:before="108"/>
              <w:ind w:left="85"/>
              <w:jc w:val="both"/>
            </w:pPr>
            <w:r>
              <w:t>0200</w:t>
            </w:r>
          </w:p>
        </w:tc>
        <w:tc>
          <w:tcPr>
            <w:tcW w:w="7892" w:type="dxa"/>
            <w:tcBorders>
              <w:top w:val="single" w:sz="4" w:space="0" w:color="1A171C"/>
              <w:left w:val="single" w:sz="4" w:space="0" w:color="1A171C"/>
              <w:bottom w:val="single" w:sz="4" w:space="0" w:color="1A171C"/>
              <w:right w:val="nil"/>
            </w:tcBorders>
          </w:tcPr>
          <w:p w14:paraId="7FE1B9B2" w14:textId="77777777" w:rsidR="00B81226" w:rsidRDefault="00B82AC2">
            <w:pPr>
              <w:pStyle w:val="P68B1DB1-TableParagraph14"/>
              <w:spacing w:before="108"/>
              <w:ind w:left="85"/>
              <w:jc w:val="both"/>
              <w:rPr>
                <w:bCs/>
              </w:rPr>
            </w:pPr>
            <w:r>
              <w:t>Keskusvastapuolimäärityksen palvelut</w:t>
            </w:r>
          </w:p>
          <w:p w14:paraId="7FE1B9B3" w14:textId="77777777" w:rsidR="00B81226" w:rsidRDefault="00B82AC2">
            <w:pPr>
              <w:pStyle w:val="P68B1DB1-TableParagraph17"/>
              <w:spacing w:before="108"/>
              <w:ind w:left="85"/>
            </w:pPr>
            <w:r>
              <w:t>Asiakkaille tarjotut arvopapereiden ja johdannaisten määrityspalvelut. Tähän sisältyy myös välillinen pääsy keskusvastapuoleen (CCP).</w:t>
            </w:r>
          </w:p>
        </w:tc>
      </w:tr>
      <w:tr w:rsidR="00B81226" w14:paraId="7FE1B9B8" w14:textId="77777777">
        <w:tc>
          <w:tcPr>
            <w:tcW w:w="1191" w:type="dxa"/>
            <w:tcBorders>
              <w:top w:val="single" w:sz="4" w:space="0" w:color="1A171C"/>
              <w:left w:val="nil"/>
              <w:bottom w:val="single" w:sz="4" w:space="0" w:color="1A171C"/>
              <w:right w:val="single" w:sz="4" w:space="0" w:color="1A171C"/>
            </w:tcBorders>
          </w:tcPr>
          <w:p w14:paraId="7FE1B9B5" w14:textId="77777777" w:rsidR="00B81226" w:rsidRDefault="00B82AC2">
            <w:pPr>
              <w:pStyle w:val="P68B1DB1-TableParagraph17"/>
              <w:spacing w:before="108"/>
              <w:ind w:left="85"/>
              <w:jc w:val="both"/>
            </w:pPr>
            <w:r>
              <w:t>0210</w:t>
            </w:r>
          </w:p>
        </w:tc>
        <w:tc>
          <w:tcPr>
            <w:tcW w:w="7892" w:type="dxa"/>
            <w:tcBorders>
              <w:top w:val="single" w:sz="4" w:space="0" w:color="1A171C"/>
              <w:left w:val="single" w:sz="4" w:space="0" w:color="1A171C"/>
              <w:bottom w:val="single" w:sz="4" w:space="0" w:color="1A171C"/>
              <w:right w:val="nil"/>
            </w:tcBorders>
          </w:tcPr>
          <w:p w14:paraId="7FE1B9B6" w14:textId="77777777" w:rsidR="00B81226" w:rsidRDefault="00B82AC2">
            <w:pPr>
              <w:pStyle w:val="P68B1DB1-TableParagraph14"/>
              <w:spacing w:before="108"/>
              <w:ind w:left="85"/>
              <w:jc w:val="both"/>
              <w:rPr>
                <w:bCs/>
              </w:rPr>
            </w:pPr>
            <w:r>
              <w:t>Säilytyspalvelut</w:t>
            </w:r>
          </w:p>
          <w:p w14:paraId="7FE1B9B7" w14:textId="77777777" w:rsidR="00B81226" w:rsidRDefault="00B82AC2">
            <w:pPr>
              <w:pStyle w:val="P68B1DB1-TableParagraph17"/>
              <w:spacing w:before="108"/>
              <w:ind w:left="85"/>
            </w:pPr>
            <w:r>
              <w:t>Rahoitusinstrumenttien säilytys ja hoito asiakkaita varten sekä säilytystoimintoihin liittyvät palvelut, kuten käteisvarojen ja vakuuksien hallinta.</w:t>
            </w:r>
          </w:p>
        </w:tc>
      </w:tr>
      <w:tr w:rsidR="00B81226" w14:paraId="7FE1B9BB" w14:textId="77777777">
        <w:tc>
          <w:tcPr>
            <w:tcW w:w="1191" w:type="dxa"/>
            <w:tcBorders>
              <w:top w:val="single" w:sz="4" w:space="0" w:color="1A171C"/>
              <w:left w:val="nil"/>
              <w:bottom w:val="single" w:sz="4" w:space="0" w:color="1A171C"/>
              <w:right w:val="single" w:sz="4" w:space="0" w:color="1A171C"/>
            </w:tcBorders>
          </w:tcPr>
          <w:p w14:paraId="7FE1B9B9" w14:textId="77777777" w:rsidR="00B81226" w:rsidRDefault="00B82AC2">
            <w:pPr>
              <w:pStyle w:val="P68B1DB1-TableParagraph17"/>
              <w:spacing w:before="108"/>
              <w:ind w:left="85"/>
              <w:jc w:val="both"/>
            </w:pPr>
            <w:r>
              <w:t>0220–0240</w:t>
            </w:r>
          </w:p>
        </w:tc>
        <w:tc>
          <w:tcPr>
            <w:tcW w:w="7892" w:type="dxa"/>
            <w:tcBorders>
              <w:top w:val="single" w:sz="4" w:space="0" w:color="1A171C"/>
              <w:left w:val="single" w:sz="4" w:space="0" w:color="1A171C"/>
              <w:bottom w:val="single" w:sz="4" w:space="0" w:color="1A171C"/>
              <w:right w:val="nil"/>
            </w:tcBorders>
          </w:tcPr>
          <w:p w14:paraId="7FE1B9BA" w14:textId="77777777" w:rsidR="00B81226" w:rsidRDefault="00B82AC2">
            <w:pPr>
              <w:pStyle w:val="P68B1DB1-TableParagraph14"/>
              <w:spacing w:before="108"/>
              <w:ind w:left="85"/>
              <w:jc w:val="both"/>
              <w:rPr>
                <w:rFonts w:eastAsia="Cambria"/>
              </w:rPr>
            </w:pPr>
            <w:r>
              <w:t>Muut palvelut/toiminnat/toiminnot (1), (2) ja (3)</w:t>
            </w:r>
          </w:p>
        </w:tc>
      </w:tr>
      <w:tr w:rsidR="00B81226" w14:paraId="7FE1B9BE" w14:textId="77777777">
        <w:tc>
          <w:tcPr>
            <w:tcW w:w="9083" w:type="dxa"/>
            <w:gridSpan w:val="2"/>
            <w:tcBorders>
              <w:top w:val="single" w:sz="4" w:space="0" w:color="1A171C"/>
              <w:left w:val="nil"/>
              <w:bottom w:val="single" w:sz="4" w:space="0" w:color="1A171C"/>
            </w:tcBorders>
          </w:tcPr>
          <w:p w14:paraId="7FE1B9BC" w14:textId="4228BCAA" w:rsidR="00B81226" w:rsidRDefault="00B82AC2">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07.01.4 FUNC 1 CM</w:t>
            </w:r>
            <w:r>
              <w:rPr>
                <w:rFonts w:ascii="Times New Roman" w:eastAsia="Cambria" w:hAnsi="Times New Roman" w:cs="Times New Roman"/>
                <w:color w:val="000000" w:themeColor="text1"/>
                <w:sz w:val="20"/>
                <w:szCs w:val="20"/>
              </w:rPr>
              <w:t xml:space="preserve"> </w:t>
            </w:r>
          </w:p>
          <w:p w14:paraId="7FE1B9BD" w14:textId="77777777" w:rsidR="00B81226" w:rsidRDefault="00B82AC2">
            <w:pPr>
              <w:pStyle w:val="P68B1DB1-TableParagraph17"/>
              <w:spacing w:before="108"/>
              <w:ind w:left="85"/>
              <w:jc w:val="both"/>
            </w:pPr>
            <w:r>
              <w:t xml:space="preserve">Pääomamarkkinatoimilla tarkoitetaan arvopapereiden liikkeeseenlaskua ja kauppaa, niihin liittyviä neuvontapalveluja ja niihin liittyviä muita palveluja, kuten perusarvopapereiden välityspalvelua (”prime brokerage”) ja markkinatakaustoimintaa. </w:t>
            </w:r>
          </w:p>
        </w:tc>
      </w:tr>
      <w:tr w:rsidR="00B81226" w14:paraId="7FE1B9C5" w14:textId="77777777">
        <w:tc>
          <w:tcPr>
            <w:tcW w:w="1191" w:type="dxa"/>
            <w:tcBorders>
              <w:top w:val="single" w:sz="4" w:space="0" w:color="1A171C"/>
              <w:left w:val="nil"/>
              <w:bottom w:val="single" w:sz="4" w:space="0" w:color="1A171C"/>
              <w:right w:val="single" w:sz="4" w:space="0" w:color="1A171C"/>
            </w:tcBorders>
          </w:tcPr>
          <w:p w14:paraId="7FE1B9BF" w14:textId="77777777" w:rsidR="00B81226" w:rsidRDefault="00B82AC2">
            <w:pPr>
              <w:pStyle w:val="P68B1DB1-TableParagraph17"/>
              <w:spacing w:before="108"/>
              <w:ind w:left="85"/>
            </w:pPr>
            <w:r>
              <w:t>0250</w:t>
            </w:r>
          </w:p>
        </w:tc>
        <w:tc>
          <w:tcPr>
            <w:tcW w:w="7892" w:type="dxa"/>
            <w:tcBorders>
              <w:top w:val="single" w:sz="4" w:space="0" w:color="1A171C"/>
              <w:left w:val="single" w:sz="4" w:space="0" w:color="1A171C"/>
              <w:bottom w:val="single" w:sz="4" w:space="0" w:color="1A171C"/>
              <w:right w:val="nil"/>
            </w:tcBorders>
          </w:tcPr>
          <w:p w14:paraId="7FE1B9C0" w14:textId="77777777" w:rsidR="00B81226" w:rsidRDefault="00B82AC2">
            <w:pPr>
              <w:pStyle w:val="P68B1DB1-TableParagraph14"/>
              <w:spacing w:before="108"/>
              <w:ind w:left="85"/>
              <w:jc w:val="both"/>
              <w:rPr>
                <w:bCs/>
              </w:rPr>
            </w:pPr>
            <w:r>
              <w:t>Kaupankäyntitarkoituksessa pidettävät johdannaiset (OTC)</w:t>
            </w:r>
          </w:p>
          <w:p w14:paraId="7FE1B9C1" w14:textId="2FDAA405" w:rsidR="00B81226" w:rsidRDefault="00B82AC2">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Asetuksen (EU) N:o 648/2012 2 artiklan 5 ja 7</w:t>
            </w:r>
            <w:r>
              <w:rPr>
                <w:rStyle w:val="FootnoteReference"/>
                <w:rFonts w:ascii="Times New Roman" w:eastAsia="Cambria" w:hAnsi="Times New Roman" w:cs="Times New Roman"/>
                <w:color w:val="000000" w:themeColor="text1"/>
                <w:sz w:val="20"/>
                <w:szCs w:val="20"/>
              </w:rPr>
              <w:footnoteReference w:id="20"/>
            </w:r>
            <w:r>
              <w:rPr>
                <w:rFonts w:ascii="Times New Roman" w:eastAsia="Cambria" w:hAnsi="Times New Roman" w:cs="Times New Roman"/>
                <w:color w:val="000000" w:themeColor="text1"/>
                <w:sz w:val="20"/>
                <w:szCs w:val="20"/>
              </w:rPr>
              <w:t>kohta</w:t>
            </w:r>
          </w:p>
          <w:p w14:paraId="7FE1B9C2" w14:textId="3A857D21" w:rsidR="00B81226" w:rsidRDefault="00B82AC2">
            <w:pPr>
              <w:pStyle w:val="P68B1DB1-TableParagraph17"/>
              <w:spacing w:before="108"/>
              <w:ind w:left="85"/>
            </w:pPr>
            <w:r>
              <w:t>’Johdannaisella’ tai ’johdannaissopimuksella’ tarkoitetaan direktiivin 2014/65/EU liitteessä I olevan C osan 4–10 kohdassa tarkoitettuja rahoitusvälineitä, sellaisina kuin ne on pantu täytäntöön asetuksen (EY) N:o 1287/2006 38 ja 39 artiklalla.</w:t>
            </w:r>
          </w:p>
          <w:p w14:paraId="7FE1B9C3" w14:textId="583C566B" w:rsidR="00B81226" w:rsidRDefault="00B82AC2">
            <w:pPr>
              <w:pStyle w:val="P68B1DB1-TableParagraph17"/>
              <w:spacing w:before="108"/>
              <w:ind w:left="85"/>
            </w:pPr>
            <w:r>
              <w:t>’OTC-johdannaisella’ tai ’OTC-johdannaissopimuksella’ tarkoitetaan johdannaissopimuksia, joita ei panna täytäntöön direktiivin 2014/65/EU 4 artiklan 1 kohdan 21 alakohdassa määritellyllä säännellyllä markkinalla tai sellaisella kolmannen maan markkinalla, jota pidetään säänneltyä markkinaa vastaavana markkinana asetuksen (EU) N:o 648/2012 2 a artiklan mukaisesti.</w:t>
            </w:r>
          </w:p>
          <w:p w14:paraId="7FE1B9C4" w14:textId="77777777" w:rsidR="00B81226" w:rsidRDefault="00B82AC2">
            <w:pPr>
              <w:pStyle w:val="P68B1DB1-TableParagraph17"/>
              <w:spacing w:before="108"/>
              <w:ind w:left="85"/>
            </w:pPr>
            <w:r>
              <w:t xml:space="preserve">Ilmoitettava määrä koskee ainoastaan OTC-markkinoilla kaupankäynnin kohteena olevia johdannaisia. </w:t>
            </w:r>
          </w:p>
        </w:tc>
      </w:tr>
      <w:tr w:rsidR="00B81226" w14:paraId="7FE1B9C9" w14:textId="77777777">
        <w:tc>
          <w:tcPr>
            <w:tcW w:w="1191" w:type="dxa"/>
            <w:tcBorders>
              <w:top w:val="single" w:sz="4" w:space="0" w:color="1A171C"/>
              <w:left w:val="nil"/>
              <w:bottom w:val="single" w:sz="4" w:space="0" w:color="1A171C"/>
              <w:right w:val="single" w:sz="4" w:space="0" w:color="1A171C"/>
            </w:tcBorders>
          </w:tcPr>
          <w:p w14:paraId="7FE1B9C6" w14:textId="77777777" w:rsidR="00B81226" w:rsidRDefault="00B82AC2">
            <w:pPr>
              <w:pStyle w:val="P68B1DB1-TableParagraph17"/>
              <w:spacing w:before="108"/>
              <w:ind w:left="85"/>
            </w:pPr>
            <w:r>
              <w:t>0260</w:t>
            </w:r>
          </w:p>
        </w:tc>
        <w:tc>
          <w:tcPr>
            <w:tcW w:w="7892" w:type="dxa"/>
            <w:tcBorders>
              <w:top w:val="single" w:sz="4" w:space="0" w:color="1A171C"/>
              <w:left w:val="single" w:sz="4" w:space="0" w:color="1A171C"/>
              <w:bottom w:val="single" w:sz="4" w:space="0" w:color="1A171C"/>
              <w:right w:val="nil"/>
            </w:tcBorders>
          </w:tcPr>
          <w:p w14:paraId="7FE1B9C7" w14:textId="77777777" w:rsidR="00B81226" w:rsidRDefault="00B82AC2">
            <w:pPr>
              <w:pStyle w:val="P68B1DB1-TableParagraph14"/>
              <w:spacing w:before="108"/>
              <w:ind w:left="85"/>
              <w:jc w:val="both"/>
              <w:rPr>
                <w:bCs/>
              </w:rPr>
            </w:pPr>
            <w:r>
              <w:t>Kaupankäyntitarkoituksessa pidettävät johdannaiset (muu kuin OTC)</w:t>
            </w:r>
          </w:p>
          <w:p w14:paraId="7FE1B9C8" w14:textId="77777777" w:rsidR="00B81226" w:rsidRDefault="00B82AC2">
            <w:pPr>
              <w:pStyle w:val="P68B1DB1-TableParagraph17"/>
              <w:spacing w:before="108"/>
              <w:ind w:left="85"/>
            </w:pPr>
            <w:r>
              <w:t xml:space="preserve">Kaikki kaupankäyntitarkoituksessa pidettävät johdannaiset, lukuun ottamatta kaupankäyntitarkoituksessa pidettäviä OTC-johdannaisia. </w:t>
            </w:r>
          </w:p>
        </w:tc>
      </w:tr>
      <w:tr w:rsidR="00B81226" w14:paraId="7FE1B9CF" w14:textId="77777777">
        <w:tc>
          <w:tcPr>
            <w:tcW w:w="1191" w:type="dxa"/>
            <w:tcBorders>
              <w:top w:val="single" w:sz="4" w:space="0" w:color="1A171C"/>
              <w:left w:val="nil"/>
              <w:bottom w:val="single" w:sz="4" w:space="0" w:color="1A171C"/>
              <w:right w:val="single" w:sz="4" w:space="0" w:color="1A171C"/>
            </w:tcBorders>
          </w:tcPr>
          <w:p w14:paraId="7FE1B9CA" w14:textId="77777777" w:rsidR="00B81226" w:rsidRDefault="00B82AC2">
            <w:pPr>
              <w:pStyle w:val="P68B1DB1-TableParagraph17"/>
              <w:spacing w:before="108"/>
              <w:ind w:left="85"/>
            </w:pPr>
            <w:r>
              <w:t>0270</w:t>
            </w:r>
          </w:p>
        </w:tc>
        <w:tc>
          <w:tcPr>
            <w:tcW w:w="7892" w:type="dxa"/>
            <w:tcBorders>
              <w:top w:val="single" w:sz="4" w:space="0" w:color="1A171C"/>
              <w:left w:val="single" w:sz="4" w:space="0" w:color="1A171C"/>
              <w:bottom w:val="single" w:sz="4" w:space="0" w:color="1A171C"/>
              <w:right w:val="nil"/>
            </w:tcBorders>
          </w:tcPr>
          <w:p w14:paraId="7FE1B9CB" w14:textId="77777777" w:rsidR="00B81226" w:rsidRDefault="00B82AC2">
            <w:pPr>
              <w:pStyle w:val="P68B1DB1-TableParagraph14"/>
              <w:spacing w:before="108"/>
              <w:ind w:left="85"/>
              <w:jc w:val="both"/>
              <w:rPr>
                <w:bCs/>
              </w:rPr>
            </w:pPr>
            <w:r>
              <w:t>Jälkimarkkinat/kaupankäynti</w:t>
            </w:r>
          </w:p>
          <w:p w14:paraId="7FE1B9CC" w14:textId="77777777" w:rsidR="00B81226" w:rsidRDefault="00B82AC2">
            <w:pPr>
              <w:pStyle w:val="P68B1DB1-TableParagraph17"/>
              <w:spacing w:before="108"/>
              <w:ind w:left="85"/>
            </w:pPr>
            <w:r>
              <w:t>Jälkimarkkinoilla sijoittajat ostavat ja myyvät arvopapereita. Tätä toimintoa sovelletaan koko kaupankäyntisalkkuun (ts. osakkeet, yritysluotot ja valtionluotot).</w:t>
            </w:r>
          </w:p>
          <w:p w14:paraId="7FE1B9CD" w14:textId="77777777" w:rsidR="00B81226" w:rsidRDefault="00B82AC2">
            <w:pPr>
              <w:pStyle w:val="P68B1DB1-TableParagraph17"/>
              <w:spacing w:before="108"/>
              <w:ind w:left="85"/>
            </w:pPr>
            <w:r>
              <w:t xml:space="preserve">Ilmoitettava määrä sisältää arvopapereiden arvon, joka on määritetty kaupankäyntitarkoituksessa </w:t>
            </w:r>
            <w:r>
              <w:lastRenderedPageBreak/>
              <w:t>pidettävien arvopapereiden kokonaismääränä. Arvopaperit ilmoitetaan käypään arvoon raportointipäivänä.</w:t>
            </w:r>
          </w:p>
          <w:p w14:paraId="7FE1B9CE" w14:textId="77777777" w:rsidR="00B81226" w:rsidRDefault="00B82AC2">
            <w:pPr>
              <w:pStyle w:val="P68B1DB1-TableParagraph17"/>
              <w:spacing w:before="108"/>
              <w:ind w:left="85"/>
            </w:pPr>
            <w:r>
              <w:t>Määrä ei saa sisältää lainoja ja johdannaisia eikä varoja, joilla ei voida käydä kauppaa (esim. saamiset).</w:t>
            </w:r>
          </w:p>
        </w:tc>
      </w:tr>
      <w:tr w:rsidR="00B81226" w14:paraId="7FE1B9D3" w14:textId="77777777">
        <w:tc>
          <w:tcPr>
            <w:tcW w:w="1191" w:type="dxa"/>
            <w:tcBorders>
              <w:top w:val="single" w:sz="4" w:space="0" w:color="1A171C"/>
              <w:left w:val="nil"/>
              <w:bottom w:val="single" w:sz="4" w:space="0" w:color="1A171C"/>
              <w:right w:val="single" w:sz="4" w:space="0" w:color="1A171C"/>
            </w:tcBorders>
          </w:tcPr>
          <w:p w14:paraId="7FE1B9D0" w14:textId="77777777" w:rsidR="00B81226" w:rsidRDefault="00B82AC2">
            <w:pPr>
              <w:pStyle w:val="P68B1DB1-TableParagraph17"/>
              <w:spacing w:before="108"/>
              <w:ind w:left="85"/>
            </w:pPr>
            <w:r>
              <w:lastRenderedPageBreak/>
              <w:t>0280</w:t>
            </w:r>
          </w:p>
        </w:tc>
        <w:tc>
          <w:tcPr>
            <w:tcW w:w="7892" w:type="dxa"/>
            <w:tcBorders>
              <w:top w:val="single" w:sz="4" w:space="0" w:color="1A171C"/>
              <w:left w:val="single" w:sz="4" w:space="0" w:color="1A171C"/>
              <w:bottom w:val="single" w:sz="4" w:space="0" w:color="1A171C"/>
              <w:right w:val="nil"/>
            </w:tcBorders>
          </w:tcPr>
          <w:p w14:paraId="7FE1B9D1" w14:textId="77777777" w:rsidR="00B81226" w:rsidRDefault="00B82AC2">
            <w:pPr>
              <w:pStyle w:val="P68B1DB1-TableParagraph14"/>
              <w:spacing w:before="108"/>
              <w:ind w:left="85"/>
              <w:jc w:val="both"/>
              <w:rPr>
                <w:bCs/>
              </w:rPr>
            </w:pPr>
            <w:r>
              <w:t>Ensimarkkinat/merkintäsitoumukset</w:t>
            </w:r>
          </w:p>
          <w:p w14:paraId="7FE1B9D2" w14:textId="77777777" w:rsidR="00B81226" w:rsidRDefault="00B82AC2">
            <w:pPr>
              <w:pStyle w:val="P68B1DB1-TableParagraph17"/>
              <w:spacing w:before="108"/>
              <w:ind w:left="85"/>
            </w:pPr>
            <w:r>
              <w:t>Ensimarkkinoilla tarkoitetaan sitä, että yritykset, viranomaiset ja muut ryhmät laskevat liikkeeseen uusia arvopapereita rahoituksen saamiseksi vieraan tai oman pääoman ehtoisten arvopapereiden kautta (kuten kantaosakkeet ja etuosakkeet, yritysten velkakirjalainat ja muut joukkovelkakirjat, vekselit sekä valtion joukkovelkakirjat). Järjestäjäryhmät helpottavat ensimarkkinoiden toimintaa.</w:t>
            </w:r>
          </w:p>
        </w:tc>
      </w:tr>
      <w:tr w:rsidR="00B81226" w14:paraId="7FE1B9D6" w14:textId="77777777">
        <w:tc>
          <w:tcPr>
            <w:tcW w:w="1191" w:type="dxa"/>
            <w:tcBorders>
              <w:top w:val="single" w:sz="4" w:space="0" w:color="1A171C"/>
              <w:left w:val="nil"/>
              <w:bottom w:val="single" w:sz="4" w:space="0" w:color="1A171C"/>
              <w:right w:val="single" w:sz="4" w:space="0" w:color="1A171C"/>
            </w:tcBorders>
          </w:tcPr>
          <w:p w14:paraId="7FE1B9D4" w14:textId="77777777" w:rsidR="00B81226" w:rsidRDefault="00B82AC2">
            <w:pPr>
              <w:pStyle w:val="P68B1DB1-TableParagraph17"/>
              <w:spacing w:before="108"/>
              <w:ind w:left="85"/>
              <w:jc w:val="both"/>
            </w:pPr>
            <w:r>
              <w:t>0290–0310</w:t>
            </w:r>
          </w:p>
        </w:tc>
        <w:tc>
          <w:tcPr>
            <w:tcW w:w="7892" w:type="dxa"/>
            <w:tcBorders>
              <w:top w:val="single" w:sz="4" w:space="0" w:color="1A171C"/>
              <w:left w:val="single" w:sz="4" w:space="0" w:color="1A171C"/>
              <w:bottom w:val="single" w:sz="4" w:space="0" w:color="1A171C"/>
              <w:right w:val="nil"/>
            </w:tcBorders>
          </w:tcPr>
          <w:p w14:paraId="7FE1B9D5" w14:textId="77777777" w:rsidR="00B81226" w:rsidRDefault="00B82AC2">
            <w:pPr>
              <w:pStyle w:val="P68B1DB1-TableParagraph14"/>
              <w:spacing w:before="108"/>
              <w:ind w:left="85"/>
              <w:jc w:val="both"/>
              <w:rPr>
                <w:rFonts w:eastAsia="Cambria"/>
              </w:rPr>
            </w:pPr>
            <w:r>
              <w:t>Muut palvelut/toiminnat/toiminnot (1), (2) ja (3)</w:t>
            </w:r>
          </w:p>
        </w:tc>
      </w:tr>
      <w:tr w:rsidR="00B81226" w14:paraId="7FE1B9D9" w14:textId="77777777">
        <w:tc>
          <w:tcPr>
            <w:tcW w:w="9083" w:type="dxa"/>
            <w:gridSpan w:val="2"/>
            <w:tcBorders>
              <w:top w:val="single" w:sz="4" w:space="0" w:color="1A171C"/>
              <w:left w:val="nil"/>
              <w:bottom w:val="single" w:sz="4" w:space="0" w:color="1A171C"/>
            </w:tcBorders>
          </w:tcPr>
          <w:p w14:paraId="7FE1B9D7" w14:textId="1DCC31B9" w:rsidR="00B81226" w:rsidRDefault="00B82AC2">
            <w:pPr>
              <w:pStyle w:val="P68B1DB1-TableParagraph16"/>
              <w:spacing w:before="108"/>
              <w:ind w:left="85"/>
              <w:jc w:val="both"/>
              <w:rPr>
                <w:b/>
                <w:bCs/>
                <w:color w:val="000000" w:themeColor="text1"/>
                <w:sz w:val="20"/>
                <w:szCs w:val="20"/>
              </w:rPr>
            </w:pPr>
            <w:r>
              <w:t>Z 07.01.5 FUNC 1 WF</w:t>
            </w:r>
          </w:p>
          <w:p w14:paraId="7FE1B9D8" w14:textId="77777777" w:rsidR="00B81226" w:rsidRDefault="00B82AC2">
            <w:pPr>
              <w:pStyle w:val="P68B1DB1-TableParagraph17"/>
              <w:spacing w:before="108"/>
              <w:ind w:left="85"/>
              <w:jc w:val="both"/>
            </w:pPr>
            <w:r>
              <w:t>Tukkumarkkinoiden anto- ja ottolainaustoimet rahoitusalan vastapuolille/vastapuolilta (luottolaitokset ja muut rahoitusalan yritykset).</w:t>
            </w:r>
          </w:p>
        </w:tc>
      </w:tr>
      <w:tr w:rsidR="00B81226" w14:paraId="7FE1B9DD" w14:textId="77777777">
        <w:tc>
          <w:tcPr>
            <w:tcW w:w="1191" w:type="dxa"/>
            <w:tcBorders>
              <w:top w:val="single" w:sz="4" w:space="0" w:color="1A171C"/>
              <w:left w:val="nil"/>
              <w:bottom w:val="single" w:sz="4" w:space="0" w:color="1A171C"/>
              <w:right w:val="single" w:sz="4" w:space="0" w:color="1A171C"/>
            </w:tcBorders>
          </w:tcPr>
          <w:p w14:paraId="7FE1B9DA" w14:textId="77777777" w:rsidR="00B81226" w:rsidRDefault="00B82AC2">
            <w:pPr>
              <w:pStyle w:val="P68B1DB1-TableParagraph13"/>
              <w:spacing w:before="108"/>
              <w:ind w:left="85"/>
              <w:jc w:val="both"/>
              <w:rPr>
                <w:rFonts w:eastAsia="Cambria"/>
              </w:rPr>
            </w:pPr>
            <w:r>
              <w:t>0320</w:t>
            </w:r>
          </w:p>
        </w:tc>
        <w:tc>
          <w:tcPr>
            <w:tcW w:w="7892" w:type="dxa"/>
            <w:tcBorders>
              <w:top w:val="single" w:sz="4" w:space="0" w:color="1A171C"/>
              <w:left w:val="single" w:sz="4" w:space="0" w:color="1A171C"/>
              <w:bottom w:val="single" w:sz="4" w:space="0" w:color="1A171C"/>
              <w:right w:val="nil"/>
            </w:tcBorders>
          </w:tcPr>
          <w:p w14:paraId="7FE1B9DB" w14:textId="77777777" w:rsidR="00B81226" w:rsidRDefault="00B82AC2">
            <w:pPr>
              <w:pStyle w:val="P68B1DB1-TableParagraph14"/>
              <w:spacing w:before="108"/>
              <w:ind w:left="85"/>
              <w:jc w:val="both"/>
              <w:rPr>
                <w:bCs/>
              </w:rPr>
            </w:pPr>
            <w:r>
              <w:t>Ottolainaus</w:t>
            </w:r>
          </w:p>
          <w:p w14:paraId="7FE1B9DC" w14:textId="77777777" w:rsidR="00B81226" w:rsidRDefault="00B82AC2">
            <w:pPr>
              <w:pStyle w:val="P68B1DB1-TableParagraph17"/>
              <w:spacing w:before="108"/>
              <w:ind w:left="85"/>
            </w:pPr>
            <w:r>
              <w:t>Ottolainaus tukkumarkkinoilla rahoitusalan vastapuolilta (mukaan lukien takaisinostosopimukset, pankkien välinen ottolainaus, yritystodistukset, talletustodistukset, rahamarkkinarahastot, luottolimiitit, omaisuusvakuudelliset yritystodistukset ja haltuun uskotut talletukset).</w:t>
            </w:r>
          </w:p>
        </w:tc>
      </w:tr>
      <w:tr w:rsidR="00B81226" w14:paraId="7FE1B9E1" w14:textId="77777777">
        <w:tc>
          <w:tcPr>
            <w:tcW w:w="1191" w:type="dxa"/>
            <w:tcBorders>
              <w:top w:val="single" w:sz="4" w:space="0" w:color="1A171C"/>
              <w:left w:val="nil"/>
              <w:bottom w:val="single" w:sz="4" w:space="0" w:color="1A171C"/>
              <w:right w:val="single" w:sz="4" w:space="0" w:color="1A171C"/>
            </w:tcBorders>
          </w:tcPr>
          <w:p w14:paraId="7FE1B9DE" w14:textId="77777777" w:rsidR="00B81226" w:rsidRDefault="00B82AC2">
            <w:pPr>
              <w:pStyle w:val="P68B1DB1-TableParagraph13"/>
              <w:spacing w:before="108"/>
              <w:ind w:left="85"/>
              <w:jc w:val="both"/>
              <w:rPr>
                <w:rFonts w:eastAsia="Cambria"/>
              </w:rPr>
            </w:pPr>
            <w:r>
              <w:t>0330</w:t>
            </w:r>
          </w:p>
        </w:tc>
        <w:tc>
          <w:tcPr>
            <w:tcW w:w="7892" w:type="dxa"/>
            <w:tcBorders>
              <w:top w:val="single" w:sz="4" w:space="0" w:color="1A171C"/>
              <w:left w:val="single" w:sz="4" w:space="0" w:color="1A171C"/>
              <w:bottom w:val="single" w:sz="4" w:space="0" w:color="1A171C"/>
              <w:right w:val="nil"/>
            </w:tcBorders>
          </w:tcPr>
          <w:p w14:paraId="7FE1B9DF" w14:textId="77777777" w:rsidR="00B81226" w:rsidRDefault="00B82AC2">
            <w:pPr>
              <w:pStyle w:val="P68B1DB1-TableParagraph14"/>
              <w:spacing w:before="108"/>
              <w:ind w:left="85"/>
              <w:jc w:val="both"/>
              <w:rPr>
                <w:bCs/>
              </w:rPr>
            </w:pPr>
            <w:r>
              <w:t>Johdannaiset (varat)</w:t>
            </w:r>
          </w:p>
          <w:p w14:paraId="7FE1B9E0" w14:textId="77777777" w:rsidR="00B81226" w:rsidRDefault="00B82AC2">
            <w:pPr>
              <w:pStyle w:val="P68B1DB1-TableParagraph17"/>
              <w:spacing w:before="108"/>
              <w:ind w:left="85"/>
            </w:pPr>
            <w:r>
              <w:t>Kaikki taseen vastaavaa-puolella ilmoitetut johdannaistoimet rahoitusalan vastapuolten kanssa. Toisin kuin kohdassa ”Pääomamarkkinat”, ”Tukkurahoituksessa” johdannaisiin kuuluvat kaikki rahoitusalan vastapuolten kanssa tehdyt johdannaissopimukset (eivät rajoitu HFT-kauppaan).</w:t>
            </w:r>
          </w:p>
        </w:tc>
      </w:tr>
      <w:tr w:rsidR="00B81226" w14:paraId="7FE1B9E5" w14:textId="77777777">
        <w:tc>
          <w:tcPr>
            <w:tcW w:w="1191" w:type="dxa"/>
            <w:tcBorders>
              <w:top w:val="single" w:sz="4" w:space="0" w:color="1A171C"/>
              <w:left w:val="nil"/>
              <w:bottom w:val="single" w:sz="4" w:space="0" w:color="1A171C"/>
              <w:right w:val="single" w:sz="4" w:space="0" w:color="1A171C"/>
            </w:tcBorders>
          </w:tcPr>
          <w:p w14:paraId="7FE1B9E2" w14:textId="77777777" w:rsidR="00B81226" w:rsidRDefault="00B82AC2">
            <w:pPr>
              <w:pStyle w:val="P68B1DB1-TableParagraph13"/>
              <w:spacing w:before="108"/>
              <w:ind w:left="85"/>
              <w:jc w:val="both"/>
              <w:rPr>
                <w:rFonts w:eastAsia="Cambria"/>
              </w:rPr>
            </w:pPr>
            <w:r>
              <w:t>0340</w:t>
            </w:r>
          </w:p>
        </w:tc>
        <w:tc>
          <w:tcPr>
            <w:tcW w:w="7892" w:type="dxa"/>
            <w:tcBorders>
              <w:top w:val="single" w:sz="4" w:space="0" w:color="1A171C"/>
              <w:left w:val="single" w:sz="4" w:space="0" w:color="1A171C"/>
              <w:bottom w:val="single" w:sz="4" w:space="0" w:color="1A171C"/>
              <w:right w:val="nil"/>
            </w:tcBorders>
          </w:tcPr>
          <w:p w14:paraId="7FE1B9E3" w14:textId="77777777" w:rsidR="00B81226" w:rsidRDefault="00B82AC2">
            <w:pPr>
              <w:pStyle w:val="P68B1DB1-TableParagraph14"/>
              <w:spacing w:before="108"/>
              <w:ind w:left="85"/>
              <w:jc w:val="both"/>
              <w:rPr>
                <w:bCs/>
              </w:rPr>
            </w:pPr>
            <w:r>
              <w:t>Antolainaus</w:t>
            </w:r>
          </w:p>
          <w:p w14:paraId="7FE1B9E4" w14:textId="77777777" w:rsidR="00B81226" w:rsidRDefault="00B82AC2">
            <w:pPr>
              <w:pStyle w:val="P68B1DB1-TableParagraph17"/>
              <w:spacing w:before="108"/>
              <w:ind w:left="85"/>
            </w:pPr>
            <w:r>
              <w:t>Antolainaus tukkumarkkinoilla rahoitusalan vastapuolille (mukaan lukien takaisinmyyntisopimukset, yritystodistukset, talletustodistukset, rahamarkkinarahastot, luottolimiitit, omaisuusvakuudelliset yritystodistukset ja haltuun uskotut talletukset).</w:t>
            </w:r>
          </w:p>
        </w:tc>
      </w:tr>
      <w:tr w:rsidR="00B81226" w14:paraId="7FE1B9E9" w14:textId="77777777">
        <w:tc>
          <w:tcPr>
            <w:tcW w:w="1191" w:type="dxa"/>
            <w:tcBorders>
              <w:top w:val="single" w:sz="4" w:space="0" w:color="1A171C"/>
              <w:left w:val="nil"/>
              <w:bottom w:val="single" w:sz="4" w:space="0" w:color="1A171C"/>
              <w:right w:val="single" w:sz="4" w:space="0" w:color="1A171C"/>
            </w:tcBorders>
          </w:tcPr>
          <w:p w14:paraId="7FE1B9E6" w14:textId="77777777" w:rsidR="00B81226" w:rsidRDefault="00B82AC2">
            <w:pPr>
              <w:pStyle w:val="P68B1DB1-TableParagraph13"/>
              <w:spacing w:before="108"/>
              <w:ind w:left="85"/>
              <w:jc w:val="both"/>
              <w:rPr>
                <w:rFonts w:eastAsia="Cambria"/>
              </w:rPr>
            </w:pPr>
            <w:r>
              <w:t>0350</w:t>
            </w:r>
          </w:p>
        </w:tc>
        <w:tc>
          <w:tcPr>
            <w:tcW w:w="7892" w:type="dxa"/>
            <w:tcBorders>
              <w:top w:val="single" w:sz="4" w:space="0" w:color="1A171C"/>
              <w:left w:val="single" w:sz="4" w:space="0" w:color="1A171C"/>
              <w:bottom w:val="single" w:sz="4" w:space="0" w:color="1A171C"/>
              <w:right w:val="nil"/>
            </w:tcBorders>
          </w:tcPr>
          <w:p w14:paraId="7FE1B9E7" w14:textId="77777777" w:rsidR="00B81226" w:rsidRDefault="00B82AC2">
            <w:pPr>
              <w:pStyle w:val="P68B1DB1-TableParagraph14"/>
              <w:spacing w:before="108"/>
              <w:ind w:left="85"/>
              <w:jc w:val="both"/>
              <w:rPr>
                <w:bCs/>
              </w:rPr>
            </w:pPr>
            <w:r>
              <w:t>Johdannaiset (velat)</w:t>
            </w:r>
          </w:p>
          <w:p w14:paraId="7FE1B9E8" w14:textId="77777777" w:rsidR="00B81226" w:rsidRDefault="00B82AC2">
            <w:pPr>
              <w:pStyle w:val="P68B1DB1-TableParagraph17"/>
              <w:spacing w:before="108"/>
              <w:ind w:left="85"/>
              <w:jc w:val="both"/>
            </w:pPr>
            <w:r>
              <w:t xml:space="preserve">Kaikki taseen vastattavaa-puolella ilmoitetut johdannaistoimet rahoitusalan vastapuolten kanssa. </w:t>
            </w:r>
          </w:p>
        </w:tc>
      </w:tr>
      <w:tr w:rsidR="00B81226" w14:paraId="7FE1B9ED" w14:textId="77777777">
        <w:tc>
          <w:tcPr>
            <w:tcW w:w="1191" w:type="dxa"/>
            <w:tcBorders>
              <w:top w:val="single" w:sz="4" w:space="0" w:color="1A171C"/>
              <w:left w:val="nil"/>
              <w:bottom w:val="single" w:sz="4" w:space="0" w:color="1A171C"/>
              <w:right w:val="single" w:sz="4" w:space="0" w:color="1A171C"/>
            </w:tcBorders>
          </w:tcPr>
          <w:p w14:paraId="7FE1B9EA" w14:textId="77777777" w:rsidR="00B81226" w:rsidRDefault="00B82AC2">
            <w:pPr>
              <w:pStyle w:val="P68B1DB1-TableParagraph17"/>
              <w:spacing w:before="108"/>
              <w:ind w:left="85"/>
              <w:jc w:val="both"/>
            </w:pPr>
            <w:r>
              <w:t>0360–0380</w:t>
            </w:r>
          </w:p>
        </w:tc>
        <w:tc>
          <w:tcPr>
            <w:tcW w:w="7892" w:type="dxa"/>
            <w:tcBorders>
              <w:top w:val="single" w:sz="4" w:space="0" w:color="1A171C"/>
              <w:left w:val="single" w:sz="4" w:space="0" w:color="1A171C"/>
              <w:bottom w:val="single" w:sz="4" w:space="0" w:color="1A171C"/>
              <w:right w:val="nil"/>
            </w:tcBorders>
          </w:tcPr>
          <w:p w14:paraId="7FE1B9EB" w14:textId="77777777" w:rsidR="00B81226" w:rsidRDefault="00B82AC2">
            <w:pPr>
              <w:pStyle w:val="P68B1DB1-TableParagraph14"/>
              <w:spacing w:before="108"/>
              <w:ind w:left="85"/>
              <w:jc w:val="both"/>
              <w:rPr>
                <w:bCs/>
              </w:rPr>
            </w:pPr>
            <w:r>
              <w:t>Muut tuotetyypit (1), (2) ja (3)</w:t>
            </w:r>
          </w:p>
          <w:p w14:paraId="7FE1B9EC" w14:textId="77777777" w:rsidR="00B81226" w:rsidRDefault="00B82AC2">
            <w:pPr>
              <w:pStyle w:val="P68B1DB1-TableParagraph17"/>
              <w:spacing w:before="108"/>
              <w:ind w:left="85"/>
            </w:pPr>
            <w:r>
              <w:t>Kaikki taloudellisen toiminnon ”Tukkurahoitus” toiminnot, jotka eivät sisälly edellä oleviin.</w:t>
            </w:r>
          </w:p>
        </w:tc>
      </w:tr>
    </w:tbl>
    <w:p w14:paraId="7FE1B9EE" w14:textId="77777777" w:rsidR="00B81226" w:rsidRDefault="00B81226">
      <w:pPr>
        <w:pStyle w:val="InstructionsText2"/>
        <w:numPr>
          <w:ilvl w:val="0"/>
          <w:numId w:val="0"/>
        </w:numPr>
        <w:ind w:left="1440" w:firstLine="18"/>
        <w:rPr>
          <w:rFonts w:ascii="Times New Roman" w:hAnsi="Times New Roman" w:cs="Times New Roman"/>
          <w:sz w:val="20"/>
          <w:szCs w:val="20"/>
        </w:rPr>
      </w:pPr>
    </w:p>
    <w:p w14:paraId="7FE1B9EF" w14:textId="3D9C3A6F" w:rsidR="00B81226" w:rsidRDefault="00B82AC2">
      <w:pPr>
        <w:pStyle w:val="P68B1DB1-Instructionsberschrift25"/>
        <w:numPr>
          <w:ilvl w:val="1"/>
          <w:numId w:val="49"/>
        </w:numPr>
        <w:ind w:left="357" w:hanging="357"/>
      </w:pPr>
      <w:bookmarkStart w:id="108" w:name="_Toc208245445"/>
      <w:r>
        <w:t>Z 07.01.1 FUNC 1 DEP</w:t>
      </w:r>
      <w:bookmarkEnd w:id="108"/>
    </w:p>
    <w:p w14:paraId="7FE1B9F9" w14:textId="77777777" w:rsidR="00B81226" w:rsidRDefault="00B81226">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B81226" w14:paraId="7FE1B9FC"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9FA" w14:textId="77777777" w:rsidR="00B81226" w:rsidRDefault="00B82AC2">
            <w:pPr>
              <w:pStyle w:val="P68B1DB1-TableParagraph17"/>
              <w:spacing w:before="108"/>
              <w:ind w:left="85"/>
              <w:jc w:val="both"/>
            </w:pPr>
            <w:r>
              <w:t>Sarakkeet</w:t>
            </w:r>
          </w:p>
        </w:tc>
        <w:tc>
          <w:tcPr>
            <w:tcW w:w="8003" w:type="dxa"/>
            <w:tcBorders>
              <w:top w:val="single" w:sz="4" w:space="0" w:color="1A171C"/>
              <w:left w:val="single" w:sz="4" w:space="0" w:color="1A171C"/>
              <w:bottom w:val="single" w:sz="4" w:space="0" w:color="1A171C"/>
              <w:right w:val="nil"/>
            </w:tcBorders>
            <w:shd w:val="clear" w:color="auto" w:fill="E4E5E5"/>
          </w:tcPr>
          <w:p w14:paraId="7FE1B9FB" w14:textId="77777777" w:rsidR="00B81226" w:rsidRDefault="00B82AC2">
            <w:pPr>
              <w:pStyle w:val="P68B1DB1-TableParagraph17"/>
              <w:spacing w:before="108"/>
              <w:ind w:left="85" w:right="1"/>
              <w:jc w:val="both"/>
            </w:pPr>
            <w:r>
              <w:t>Ohjeet</w:t>
            </w:r>
          </w:p>
        </w:tc>
      </w:tr>
      <w:tr w:rsidR="00B81226" w14:paraId="7FE1BA00" w14:textId="77777777">
        <w:tc>
          <w:tcPr>
            <w:tcW w:w="1080" w:type="dxa"/>
            <w:tcBorders>
              <w:top w:val="single" w:sz="4" w:space="0" w:color="1A171C"/>
              <w:left w:val="nil"/>
              <w:bottom w:val="single" w:sz="4" w:space="0" w:color="1A171C"/>
              <w:right w:val="single" w:sz="4" w:space="0" w:color="1A171C"/>
            </w:tcBorders>
            <w:vAlign w:val="center"/>
          </w:tcPr>
          <w:p w14:paraId="7FE1B9FD" w14:textId="77777777" w:rsidR="00B81226" w:rsidRDefault="00B82AC2">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9FE" w14:textId="77777777" w:rsidR="00B81226" w:rsidRDefault="00B82AC2">
            <w:pPr>
              <w:pStyle w:val="P68B1DB1-TableParagraph14"/>
              <w:spacing w:before="108"/>
              <w:ind w:left="85"/>
              <w:jc w:val="both"/>
              <w:rPr>
                <w:bCs/>
              </w:rPr>
            </w:pPr>
            <w:r>
              <w:t>Taloudellisen toiminnon kuvaus</w:t>
            </w:r>
          </w:p>
          <w:p w14:paraId="7FE1B9FF" w14:textId="2DF858EE" w:rsidR="00B81226" w:rsidRDefault="00B82AC2">
            <w:pPr>
              <w:pStyle w:val="P68B1DB1-TableParagraph17"/>
              <w:spacing w:before="108"/>
              <w:ind w:left="85"/>
            </w:pPr>
            <w:r>
              <w:t xml:space="preserve">Jos taloudellinen toiminto on tyyppiä ”Muu” (toiminnot kohdissa 0050–0070), tästä toiminnosta on annettava kuvaus. </w:t>
            </w:r>
          </w:p>
        </w:tc>
      </w:tr>
      <w:tr w:rsidR="00B81226" w14:paraId="7FE1BA04" w14:textId="77777777">
        <w:tc>
          <w:tcPr>
            <w:tcW w:w="1080" w:type="dxa"/>
            <w:tcBorders>
              <w:top w:val="single" w:sz="4" w:space="0" w:color="1A171C"/>
              <w:left w:val="nil"/>
              <w:bottom w:val="single" w:sz="4" w:space="0" w:color="1A171C"/>
              <w:right w:val="single" w:sz="4" w:space="0" w:color="1A171C"/>
            </w:tcBorders>
            <w:vAlign w:val="center"/>
          </w:tcPr>
          <w:p w14:paraId="7FE1BA01" w14:textId="77777777" w:rsidR="00B81226" w:rsidRDefault="00B82AC2">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02" w14:textId="77777777" w:rsidR="00B81226" w:rsidRDefault="00B82AC2">
            <w:pPr>
              <w:pStyle w:val="P68B1DB1-TableParagraph14"/>
              <w:spacing w:before="108"/>
              <w:ind w:left="85"/>
              <w:jc w:val="both"/>
              <w:rPr>
                <w:bCs/>
              </w:rPr>
            </w:pPr>
            <w:r>
              <w:t xml:space="preserve">Markkinaosuus </w:t>
            </w:r>
          </w:p>
          <w:p w14:paraId="7FE1BA03" w14:textId="2B787841" w:rsidR="00B81226" w:rsidRDefault="00B82AC2">
            <w:pPr>
              <w:pStyle w:val="P68B1DB1-TableParagraph17"/>
              <w:spacing w:before="108"/>
              <w:ind w:left="85"/>
            </w:pPr>
            <w:r>
              <w:lastRenderedPageBreak/>
              <w:t>Arvio laitoksen tai konsernin markkinaosuudesta kyseisen taloudellisen toiminnon osalta kussakin maassa tai kullakin taloudellisella alueella. Prosenttiosuutena koko markkinasta laskettuna tilikorkoarvoisesti.</w:t>
            </w:r>
          </w:p>
        </w:tc>
      </w:tr>
      <w:tr w:rsidR="00B81226" w14:paraId="7FE1BA09" w14:textId="77777777">
        <w:tc>
          <w:tcPr>
            <w:tcW w:w="1080" w:type="dxa"/>
            <w:tcBorders>
              <w:top w:val="single" w:sz="4" w:space="0" w:color="1A171C"/>
              <w:left w:val="nil"/>
              <w:bottom w:val="single" w:sz="4" w:space="0" w:color="1A171C"/>
              <w:right w:val="single" w:sz="4" w:space="0" w:color="1A171C"/>
            </w:tcBorders>
            <w:vAlign w:val="center"/>
          </w:tcPr>
          <w:p w14:paraId="7FE1BA05" w14:textId="77777777" w:rsidR="00B81226" w:rsidRDefault="00B82AC2">
            <w:pPr>
              <w:pStyle w:val="P68B1DB1-TableParagraph17"/>
              <w:spacing w:before="108"/>
              <w:ind w:left="85"/>
              <w:jc w:val="both"/>
            </w:pPr>
            <w:r>
              <w:lastRenderedPageBreak/>
              <w:t>0030</w:t>
            </w:r>
          </w:p>
        </w:tc>
        <w:tc>
          <w:tcPr>
            <w:tcW w:w="8003" w:type="dxa"/>
            <w:tcBorders>
              <w:top w:val="single" w:sz="4" w:space="0" w:color="1A171C"/>
              <w:left w:val="single" w:sz="4" w:space="0" w:color="1A171C"/>
              <w:bottom w:val="single" w:sz="4" w:space="0" w:color="1A171C"/>
              <w:right w:val="nil"/>
            </w:tcBorders>
            <w:vAlign w:val="center"/>
          </w:tcPr>
          <w:p w14:paraId="7FE1BA06" w14:textId="77777777" w:rsidR="00B81226" w:rsidRDefault="00B82AC2">
            <w:pPr>
              <w:pStyle w:val="P68B1DB1-TableParagraph14"/>
              <w:spacing w:before="108"/>
              <w:jc w:val="both"/>
              <w:rPr>
                <w:bCs/>
              </w:rPr>
            </w:pPr>
            <w:r>
              <w:t>Arvo tileillä</w:t>
            </w:r>
          </w:p>
          <w:p w14:paraId="7FE1BA07" w14:textId="77777777" w:rsidR="00B81226" w:rsidRDefault="00B82AC2">
            <w:pPr>
              <w:pStyle w:val="P68B1DB1-TableParagraph17"/>
              <w:spacing w:before="108"/>
            </w:pPr>
            <w:r>
              <w:t>Hyväksyttyjen talletusten kirjanpitoarvo (kertyneet korot mukaan luettuina)</w:t>
            </w:r>
          </w:p>
          <w:p w14:paraId="7FE1BA08" w14:textId="77777777" w:rsidR="00B81226" w:rsidRDefault="00B82AC2">
            <w:pPr>
              <w:pStyle w:val="P68B1DB1-TableParagraph17"/>
              <w:spacing w:before="108"/>
            </w:pPr>
            <w:r>
              <w:t>Viiteasiakirjat: FINREP-raportoinnin liitteet III ja IV, lomake F 08.01 ja liitteessä V olevan 2 osan 97 kohta.</w:t>
            </w:r>
          </w:p>
        </w:tc>
      </w:tr>
      <w:tr w:rsidR="00B81226" w14:paraId="7FE1BA0D" w14:textId="77777777">
        <w:tc>
          <w:tcPr>
            <w:tcW w:w="1080" w:type="dxa"/>
            <w:tcBorders>
              <w:top w:val="single" w:sz="4" w:space="0" w:color="1A171C"/>
              <w:left w:val="nil"/>
              <w:bottom w:val="single" w:sz="4" w:space="0" w:color="1A171C"/>
              <w:right w:val="single" w:sz="4" w:space="0" w:color="1A171C"/>
            </w:tcBorders>
            <w:vAlign w:val="center"/>
          </w:tcPr>
          <w:p w14:paraId="7FE1BA0A" w14:textId="47AA2EA1" w:rsidR="00B81226" w:rsidRDefault="00B82AC2">
            <w:pPr>
              <w:pStyle w:val="P68B1DB1-TableParagraph17"/>
              <w:spacing w:before="108"/>
              <w:ind w:left="85"/>
              <w:jc w:val="both"/>
            </w:pPr>
            <w:r>
              <w:t>0035</w:t>
            </w:r>
          </w:p>
        </w:tc>
        <w:tc>
          <w:tcPr>
            <w:tcW w:w="8003" w:type="dxa"/>
            <w:tcBorders>
              <w:top w:val="single" w:sz="4" w:space="0" w:color="1A171C"/>
              <w:left w:val="single" w:sz="4" w:space="0" w:color="1A171C"/>
              <w:bottom w:val="single" w:sz="4" w:space="0" w:color="1A171C"/>
              <w:right w:val="nil"/>
            </w:tcBorders>
            <w:vAlign w:val="center"/>
          </w:tcPr>
          <w:p w14:paraId="7FE1BA0B" w14:textId="66CBA83C" w:rsidR="00B81226" w:rsidRDefault="00B82AC2">
            <w:pPr>
              <w:pStyle w:val="P68B1DB1-TableParagraph14"/>
              <w:spacing w:before="108"/>
              <w:jc w:val="both"/>
              <w:rPr>
                <w:bCs/>
              </w:rPr>
            </w:pPr>
            <w:bookmarkStart w:id="109" w:name="_Hlk162030772"/>
            <w:r>
              <w:t>Joista vakuuttamattomia</w:t>
            </w:r>
          </w:p>
          <w:p w14:paraId="7FE1BA0C" w14:textId="464500AA" w:rsidR="00B81226" w:rsidRDefault="00B82AC2">
            <w:pPr>
              <w:pStyle w:val="P68B1DB1-TableParagraph13"/>
              <w:spacing w:before="108"/>
              <w:rPr>
                <w:rFonts w:eastAsia="Cambria"/>
              </w:rPr>
            </w:pPr>
            <w:r>
              <w:t>Sellaisten talletusten kirjanpitoarvo (kertyneet korot mukaan luettuina), joiden tilin saldo on yli 100000.00 euroa.</w:t>
            </w:r>
            <w:bookmarkEnd w:id="109"/>
            <w:r>
              <w:t>Ainoastaan 100, 000 euroa ylittävä määrä ilmoitetaan tässä.</w:t>
            </w:r>
          </w:p>
        </w:tc>
      </w:tr>
      <w:tr w:rsidR="00B81226" w14:paraId="7FE1BA14" w14:textId="77777777">
        <w:tc>
          <w:tcPr>
            <w:tcW w:w="1080" w:type="dxa"/>
            <w:tcBorders>
              <w:top w:val="single" w:sz="4" w:space="0" w:color="1A171C"/>
              <w:left w:val="nil"/>
              <w:bottom w:val="single" w:sz="4" w:space="0" w:color="1A171C"/>
              <w:right w:val="single" w:sz="4" w:space="0" w:color="1A171C"/>
            </w:tcBorders>
            <w:vAlign w:val="center"/>
          </w:tcPr>
          <w:p w14:paraId="7FE1BA0E" w14:textId="13FF7421" w:rsidR="00B81226" w:rsidRDefault="00B82AC2">
            <w:pPr>
              <w:pStyle w:val="P68B1DB1-TableParagraph17"/>
              <w:spacing w:before="108"/>
              <w:ind w:left="85"/>
              <w:jc w:val="both"/>
            </w:pPr>
            <w:r>
              <w:t>0036</w:t>
            </w:r>
          </w:p>
        </w:tc>
        <w:tc>
          <w:tcPr>
            <w:tcW w:w="8003" w:type="dxa"/>
            <w:tcBorders>
              <w:top w:val="single" w:sz="4" w:space="0" w:color="1A171C"/>
              <w:left w:val="single" w:sz="4" w:space="0" w:color="1A171C"/>
              <w:bottom w:val="single" w:sz="4" w:space="0" w:color="1A171C"/>
              <w:right w:val="nil"/>
            </w:tcBorders>
            <w:vAlign w:val="center"/>
          </w:tcPr>
          <w:p w14:paraId="7FE1BA0F" w14:textId="4A16C5CB" w:rsidR="00B81226" w:rsidRDefault="00B82AC2">
            <w:pPr>
              <w:pStyle w:val="P68B1DB1-TableParagraph14"/>
              <w:spacing w:before="108"/>
              <w:ind w:left="85"/>
              <w:jc w:val="both"/>
              <w:rPr>
                <w:bCs/>
              </w:rPr>
            </w:pPr>
            <w:bookmarkStart w:id="110" w:name="_Hlk162030782"/>
            <w:r>
              <w:t>Joista toistuvia</w:t>
            </w:r>
          </w:p>
          <w:p w14:paraId="7FE1BA12" w14:textId="14AEAE5C" w:rsidR="00B81226" w:rsidRDefault="00B82AC2">
            <w:pPr>
              <w:pStyle w:val="P68B1DB1-TableParagraph13"/>
              <w:spacing w:before="108"/>
              <w:ind w:left="85"/>
              <w:jc w:val="both"/>
            </w:pPr>
            <w:bookmarkStart w:id="111" w:name="_Hlk170377814"/>
            <w:bookmarkStart w:id="112" w:name="_Hlk162030851"/>
            <w:r>
              <w:t xml:space="preserve">Sellaisten vastaanotettujen talletusten kirjanpitoarvo (kertyneet korot mukaan lukien), jotka ovat toistuvilla talletustileillä.  Toistuvat talletustilit ovat talletustilejä, joiden tiliä on veloitettu tai hyvitetty keskimäärin vähintään viidellä kuukausittaisella tapahtumalla cut off -päivää edeltäneiden kuuden kuukauden aikana, lukuun ottamatta tiliin liittyviä vuosimaksuja, muita maksuja ja korkoja. </w:t>
            </w:r>
            <w:bookmarkEnd w:id="111"/>
          </w:p>
          <w:bookmarkEnd w:id="110"/>
          <w:bookmarkEnd w:id="112"/>
          <w:p w14:paraId="7FE1BA13" w14:textId="0C63C868" w:rsidR="00B81226" w:rsidRDefault="00B81226">
            <w:pPr>
              <w:pStyle w:val="TableParagraph"/>
              <w:spacing w:before="108"/>
              <w:ind w:left="85"/>
              <w:jc w:val="both"/>
              <w:rPr>
                <w:rFonts w:ascii="Times New Roman" w:hAnsi="Times New Roman" w:cs="Times New Roman"/>
                <w:color w:val="000000" w:themeColor="text1"/>
                <w:sz w:val="20"/>
                <w:szCs w:val="20"/>
              </w:rPr>
            </w:pPr>
          </w:p>
        </w:tc>
      </w:tr>
      <w:tr w:rsidR="00B81226" w14:paraId="7FE1BA18" w14:textId="77777777">
        <w:tc>
          <w:tcPr>
            <w:tcW w:w="1080" w:type="dxa"/>
            <w:tcBorders>
              <w:top w:val="single" w:sz="4" w:space="0" w:color="1A171C"/>
              <w:left w:val="nil"/>
              <w:bottom w:val="single" w:sz="4" w:space="0" w:color="1A171C"/>
              <w:right w:val="single" w:sz="4" w:space="0" w:color="1A171C"/>
            </w:tcBorders>
            <w:vAlign w:val="center"/>
          </w:tcPr>
          <w:p w14:paraId="7FE1BA15" w14:textId="56462D7A" w:rsidR="00B81226" w:rsidRDefault="00B82AC2">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16" w14:textId="77777777" w:rsidR="00B81226" w:rsidRDefault="00B82AC2">
            <w:pPr>
              <w:pStyle w:val="P68B1DB1-TableParagraph14"/>
              <w:spacing w:before="108"/>
              <w:ind w:left="85"/>
              <w:jc w:val="both"/>
              <w:rPr>
                <w:bCs/>
              </w:rPr>
            </w:pPr>
            <w:r>
              <w:t>Asiakkaiden lukumäärä</w:t>
            </w:r>
          </w:p>
          <w:p w14:paraId="7FE1BA17" w14:textId="77777777" w:rsidR="00B81226" w:rsidRDefault="00B82AC2">
            <w:pPr>
              <w:pStyle w:val="P68B1DB1-TableParagraph13"/>
              <w:spacing w:before="108"/>
              <w:ind w:left="85"/>
              <w:jc w:val="both"/>
            </w:pPr>
            <w:r>
              <w:t>Niiden asiakkaiden kokonaismäärä, jotka tallensivat sarakkeessa 0030 ”arvo tileillä” ilmoitetut rahamäärät. Jos yksi asiakas käyttää useampaa kuin yhtä talletustuotetta tai -tiliä, asiakas lasketaan mukaan vain kerran.</w:t>
            </w:r>
          </w:p>
        </w:tc>
      </w:tr>
      <w:tr w:rsidR="00B81226" w14:paraId="7FE1BA1F" w14:textId="77777777">
        <w:tc>
          <w:tcPr>
            <w:tcW w:w="1080" w:type="dxa"/>
            <w:tcBorders>
              <w:top w:val="single" w:sz="4" w:space="0" w:color="1A171C"/>
              <w:left w:val="nil"/>
              <w:bottom w:val="single" w:sz="4" w:space="0" w:color="1A171C"/>
              <w:right w:val="single" w:sz="4" w:space="0" w:color="1A171C"/>
            </w:tcBorders>
            <w:vAlign w:val="center"/>
          </w:tcPr>
          <w:p w14:paraId="7FE1BA19" w14:textId="5D4B8FB0" w:rsidR="00B81226" w:rsidRDefault="00B82AC2">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A1A" w14:textId="77777777" w:rsidR="00B81226" w:rsidRDefault="00B82AC2">
            <w:pPr>
              <w:pStyle w:val="P68B1DB1-TableParagraph14"/>
              <w:spacing w:before="108"/>
              <w:ind w:left="85"/>
              <w:jc w:val="both"/>
              <w:rPr>
                <w:bCs/>
              </w:rPr>
            </w:pPr>
            <w:r>
              <w:t>Tilien lukumäärä</w:t>
            </w:r>
          </w:p>
          <w:p w14:paraId="7FE1BA1B" w14:textId="77777777" w:rsidR="00B81226" w:rsidRDefault="00B82AC2">
            <w:pPr>
              <w:pStyle w:val="P68B1DB1-TableParagraph13"/>
              <w:spacing w:before="108"/>
              <w:ind w:left="85"/>
              <w:jc w:val="both"/>
            </w:pPr>
            <w:r>
              <w:t>Käyttötilien/yön yli -talletuksia, määräaikaistalletuksia ja irtisanomisehtoisia talletuksia koskevien tilien kokonaismäärä.</w:t>
            </w:r>
          </w:p>
          <w:p w14:paraId="7FE1BA1C" w14:textId="36D44222" w:rsidR="00B81226" w:rsidRDefault="00B82AC2">
            <w:pPr>
              <w:pStyle w:val="P68B1DB1-TableParagraph13"/>
              <w:spacing w:before="108"/>
              <w:ind w:left="85"/>
              <w:jc w:val="both"/>
            </w:pPr>
            <w:r>
              <w:t>Irtisanomisehtoiset talletukset Yhteistilit otetaan huomioon vain kerran. Edellä kuvattujen tavaroiden</w:t>
            </w:r>
          </w:p>
          <w:p w14:paraId="7FE1BA1D" w14:textId="07F9DB1C" w:rsidR="00B81226" w:rsidRDefault="00B82AC2">
            <w:pPr>
              <w:pStyle w:val="P68B1DB1-TableParagraph13"/>
              <w:spacing w:before="108"/>
              <w:ind w:left="85"/>
              <w:jc w:val="both"/>
            </w:pPr>
            <w:r>
              <w:t>tässä sarakkeessa ilmoitettujen tilien kokonaismäärän on vastattava sarakkeessa 0030 ilmoitettua arvoa.</w:t>
            </w:r>
          </w:p>
          <w:p w14:paraId="7FE1BA1E" w14:textId="77777777" w:rsidR="00B81226" w:rsidRDefault="00B82AC2">
            <w:pPr>
              <w:pStyle w:val="P68B1DB1-TableParagraph13"/>
              <w:spacing w:before="108"/>
              <w:ind w:left="85"/>
              <w:jc w:val="both"/>
              <w:rPr>
                <w:b/>
                <w:bCs/>
              </w:rPr>
            </w:pPr>
            <w:r>
              <w:t>”kirjanpitoarvo”.</w:t>
            </w:r>
          </w:p>
        </w:tc>
      </w:tr>
      <w:tr w:rsidR="00B81226" w14:paraId="7FE1BA23" w14:textId="77777777">
        <w:tc>
          <w:tcPr>
            <w:tcW w:w="1080" w:type="dxa"/>
            <w:tcBorders>
              <w:top w:val="single" w:sz="4" w:space="0" w:color="1A171C"/>
              <w:left w:val="nil"/>
              <w:bottom w:val="single" w:sz="4" w:space="0" w:color="1A171C"/>
              <w:right w:val="single" w:sz="4" w:space="0" w:color="1A171C"/>
            </w:tcBorders>
            <w:vAlign w:val="center"/>
          </w:tcPr>
          <w:p w14:paraId="7FE1BA20" w14:textId="175782F6" w:rsidR="00B81226" w:rsidRDefault="00B82AC2">
            <w:pPr>
              <w:pStyle w:val="P68B1DB1-TableParagraph17"/>
              <w:spacing w:before="108"/>
              <w:ind w:left="85"/>
              <w:jc w:val="both"/>
            </w:pPr>
            <w:r>
              <w:t>0055</w:t>
            </w:r>
          </w:p>
        </w:tc>
        <w:tc>
          <w:tcPr>
            <w:tcW w:w="8003" w:type="dxa"/>
            <w:tcBorders>
              <w:top w:val="single" w:sz="4" w:space="0" w:color="1A171C"/>
              <w:left w:val="single" w:sz="4" w:space="0" w:color="1A171C"/>
              <w:bottom w:val="single" w:sz="4" w:space="0" w:color="1A171C"/>
              <w:right w:val="nil"/>
            </w:tcBorders>
            <w:vAlign w:val="center"/>
          </w:tcPr>
          <w:p w14:paraId="7FE1BA21" w14:textId="1347DD47" w:rsidR="00B81226" w:rsidRDefault="00B82AC2">
            <w:pPr>
              <w:pStyle w:val="P68B1DB1-TableParagraph14"/>
              <w:spacing w:before="108"/>
              <w:ind w:left="85"/>
              <w:jc w:val="both"/>
              <w:rPr>
                <w:bCs/>
              </w:rPr>
            </w:pPr>
            <w:r>
              <w:t>Joista toistuvia</w:t>
            </w:r>
          </w:p>
          <w:p w14:paraId="7FE1BA22" w14:textId="00C60993" w:rsidR="00B81226" w:rsidRDefault="00B82AC2">
            <w:pPr>
              <w:pStyle w:val="P68B1DB1-TableParagraph13"/>
              <w:spacing w:before="108"/>
              <w:ind w:left="85"/>
              <w:jc w:val="both"/>
            </w:pPr>
            <w:r>
              <w:t>Kohdassa c0036 määriteltyjen määräaikaisten tilien kokonaismäärä</w:t>
            </w:r>
          </w:p>
        </w:tc>
      </w:tr>
      <w:tr w:rsidR="00B81226" w14:paraId="7FE1BA2B" w14:textId="77777777">
        <w:tc>
          <w:tcPr>
            <w:tcW w:w="1080" w:type="dxa"/>
            <w:tcBorders>
              <w:top w:val="single" w:sz="4" w:space="0" w:color="1A171C"/>
              <w:left w:val="nil"/>
              <w:bottom w:val="single" w:sz="4" w:space="0" w:color="1A171C"/>
              <w:right w:val="single" w:sz="4" w:space="0" w:color="1A171C"/>
            </w:tcBorders>
            <w:vAlign w:val="center"/>
          </w:tcPr>
          <w:p w14:paraId="7FE1BA24" w14:textId="486A03B3" w:rsidR="00B81226" w:rsidRDefault="00B82AC2">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25" w14:textId="77777777" w:rsidR="00B81226" w:rsidRDefault="00B82AC2">
            <w:pPr>
              <w:pStyle w:val="P68B1DB1-TableParagraph14"/>
              <w:spacing w:before="108"/>
              <w:ind w:left="85"/>
              <w:jc w:val="both"/>
              <w:rPr>
                <w:bCs/>
              </w:rPr>
            </w:pPr>
            <w:r>
              <w:t>Rajat ylittävä arvo</w:t>
            </w:r>
          </w:p>
          <w:p w14:paraId="7FE1BA26" w14:textId="77777777" w:rsidR="00B81226" w:rsidRDefault="00B82AC2">
            <w:pPr>
              <w:pStyle w:val="P68B1DB1-TableParagraph13"/>
              <w:spacing w:before="108"/>
              <w:ind w:left="85"/>
              <w:jc w:val="both"/>
            </w:pPr>
            <w:r>
              <w:t>Muiden kuin kotimaisten henkilöiden (ulkomaisten henkilöiden) tileillä olevien talletusten kokonaisarvo. Kotimaiset henkilöt ovat muun muassa seuraavat: (i)</w:t>
            </w:r>
          </w:p>
          <w:p w14:paraId="7FE1BA27" w14:textId="77777777" w:rsidR="00B81226" w:rsidRDefault="00B82AC2">
            <w:pPr>
              <w:pStyle w:val="P68B1DB1-TableParagraph13"/>
              <w:spacing w:before="108"/>
              <w:ind w:left="85"/>
              <w:jc w:val="both"/>
            </w:pPr>
            <w:r>
              <w:t>henkilöt, joilla on pääasiallinen taloudellinen intressi (taloudellinen toiminta vähintään vuoden ajan;</w:t>
            </w:r>
          </w:p>
          <w:p w14:paraId="7FE1BA28" w14:textId="77777777" w:rsidR="00B81226" w:rsidRDefault="00B82AC2">
            <w:pPr>
              <w:pStyle w:val="P68B1DB1-TableParagraph13"/>
              <w:spacing w:before="108"/>
              <w:ind w:left="85"/>
              <w:jc w:val="both"/>
            </w:pPr>
            <w:r>
              <w:t>aineellisen omaisuuden omistajuus katsotaan riittäväksi todisteeksi) maassa, jossa</w:t>
            </w:r>
          </w:p>
          <w:p w14:paraId="7FE1BA29" w14:textId="77777777" w:rsidR="00B81226" w:rsidRDefault="00B82AC2">
            <w:pPr>
              <w:pStyle w:val="P68B1DB1-TableParagraph13"/>
              <w:spacing w:before="108"/>
              <w:ind w:left="85"/>
              <w:jc w:val="both"/>
            </w:pPr>
            <w:r>
              <w:t>raportoiva yhteisö ja (ii) raportoivan yhteisön asiakkaiden ulkomaiset sivuliikkeet.</w:t>
            </w:r>
          </w:p>
          <w:p w14:paraId="7FE1BA2A" w14:textId="77777777" w:rsidR="00B81226" w:rsidRDefault="00B82AC2">
            <w:pPr>
              <w:pStyle w:val="P68B1DB1-TableParagraph13"/>
              <w:spacing w:before="108"/>
              <w:ind w:left="85"/>
              <w:jc w:val="both"/>
              <w:rPr>
                <w:b/>
                <w:bCs/>
              </w:rPr>
            </w:pPr>
            <w:r>
              <w:t xml:space="preserve">Viite </w:t>
            </w:r>
          </w:p>
        </w:tc>
      </w:tr>
      <w:tr w:rsidR="00B81226" w14:paraId="7FE1BA34" w14:textId="77777777">
        <w:tc>
          <w:tcPr>
            <w:tcW w:w="1080" w:type="dxa"/>
            <w:tcBorders>
              <w:top w:val="single" w:sz="4" w:space="0" w:color="1A171C"/>
              <w:left w:val="nil"/>
              <w:bottom w:val="single" w:sz="4" w:space="0" w:color="1A171C"/>
              <w:right w:val="single" w:sz="4" w:space="0" w:color="1A171C"/>
            </w:tcBorders>
            <w:vAlign w:val="center"/>
          </w:tcPr>
          <w:p w14:paraId="7FE1BA2C" w14:textId="38DDB56C" w:rsidR="00B81226" w:rsidRDefault="00B82AC2">
            <w:pPr>
              <w:pStyle w:val="P68B1DB1-TableParagraph17"/>
              <w:spacing w:before="108"/>
              <w:jc w:val="both"/>
            </w:pPr>
            <w:r>
              <w:t>0070–0140</w:t>
            </w:r>
          </w:p>
        </w:tc>
        <w:tc>
          <w:tcPr>
            <w:tcW w:w="8003" w:type="dxa"/>
            <w:tcBorders>
              <w:top w:val="single" w:sz="4" w:space="0" w:color="1A171C"/>
              <w:left w:val="single" w:sz="4" w:space="0" w:color="1A171C"/>
              <w:bottom w:val="single" w:sz="4" w:space="0" w:color="1A171C"/>
              <w:right w:val="nil"/>
            </w:tcBorders>
            <w:vAlign w:val="center"/>
          </w:tcPr>
          <w:p w14:paraId="7FE1BA2D" w14:textId="77777777" w:rsidR="00B81226" w:rsidRDefault="00B82AC2">
            <w:pPr>
              <w:pStyle w:val="P68B1DB1-TableParagraph14"/>
              <w:spacing w:before="108"/>
              <w:jc w:val="both"/>
              <w:rPr>
                <w:bCs/>
              </w:rPr>
            </w:pPr>
            <w:r>
              <w:t>Vaikutus- ja korvattavuusanalyysit</w:t>
            </w:r>
          </w:p>
          <w:p w14:paraId="7FE1BA2E" w14:textId="2C85C98D" w:rsidR="00B81226" w:rsidRDefault="00B82AC2">
            <w:pPr>
              <w:pStyle w:val="P68B1DB1-Normal31"/>
              <w:spacing w:line="276" w:lineRule="auto"/>
              <w:jc w:val="both"/>
            </w:pPr>
            <w:r>
              <w:lastRenderedPageBreak/>
              <w:t>Kolmansiin osapuoliin kohdistuvan vaikutuksen arviointikriteereihin on sisällyttävä seuraavat osatekijät komission delegoidun asetuksen (EU) 2016/778 mukaisesti:</w:t>
            </w:r>
          </w:p>
          <w:p w14:paraId="7FE1BA2F" w14:textId="77777777" w:rsidR="00B81226" w:rsidRDefault="00B82AC2">
            <w:pPr>
              <w:pStyle w:val="P68B1DB1-ListParagraph32"/>
              <w:numPr>
                <w:ilvl w:val="0"/>
                <w:numId w:val="131"/>
              </w:numPr>
              <w:spacing w:line="276" w:lineRule="auto"/>
              <w:rPr>
                <w:b/>
                <w:bCs/>
              </w:rPr>
            </w:pPr>
            <w:r>
              <w:rPr>
                <w:b/>
              </w:rPr>
              <w:t>toiminnan luonne ja laajuus,</w:t>
            </w:r>
            <w:r>
              <w:t xml:space="preserve"> maailmanlaajuinen, kansallinen tai alueellinen ulottuvuus sekä transaktioiden volyymi ja lukumäärä; asiakkaiden ja vastapuolten lukumäärä; niiden asiakkaiden lukumäärä, joille laitos on ainoa tai pääasiallinen pankkikumppani;</w:t>
            </w:r>
          </w:p>
          <w:p w14:paraId="7FE1BA30" w14:textId="77777777" w:rsidR="00B81226" w:rsidRDefault="00B82AC2">
            <w:pPr>
              <w:pStyle w:val="P68B1DB1-ListParagraph32"/>
              <w:numPr>
                <w:ilvl w:val="0"/>
                <w:numId w:val="131"/>
              </w:numPr>
              <w:spacing w:line="276" w:lineRule="auto"/>
              <w:rPr>
                <w:b/>
                <w:bCs/>
              </w:rPr>
            </w:pPr>
            <w:r>
              <w:rPr>
                <w:b/>
              </w:rPr>
              <w:t>laitoksen merkitys</w:t>
            </w:r>
            <w:r>
              <w:t xml:space="preserve"> paikallisella, alueellisella, kansallisella tai Euroopan tasolla asianomaisista markkinoista riippuen. Laitoksen merkitystä voidaan arvioida markkinaosuuden, sidosten, monitahoisuuden ja valtioiden rajat ylittävän toiminnan perusteella.</w:t>
            </w:r>
          </w:p>
          <w:p w14:paraId="7FE1BA31" w14:textId="77777777" w:rsidR="00B81226" w:rsidRDefault="00B82AC2">
            <w:pPr>
              <w:pStyle w:val="P68B1DB1-ListParagraph32"/>
              <w:numPr>
                <w:ilvl w:val="0"/>
                <w:numId w:val="131"/>
              </w:numPr>
              <w:spacing w:line="276" w:lineRule="auto"/>
              <w:rPr>
                <w:b/>
                <w:bCs/>
              </w:rPr>
            </w:pPr>
            <w:r>
              <w:rPr>
                <w:b/>
              </w:rPr>
              <w:t>niiden asiakkaiden ja sidosryhmien luonne, joihin toiminto vaikuttaa</w:t>
            </w:r>
            <w:r>
              <w:t xml:space="preserve">, kuten muun muassa vähittäisasiakkaat, yritysasiakkaat, pankkien väliset asiakkaat, keskusvastapuoliyhteisöt ja julkisyhteisöt; </w:t>
            </w:r>
          </w:p>
          <w:p w14:paraId="7FE1BA32" w14:textId="77777777" w:rsidR="00B81226" w:rsidRDefault="00B82AC2">
            <w:pPr>
              <w:pStyle w:val="P68B1DB1-ListParagraph32"/>
              <w:numPr>
                <w:ilvl w:val="0"/>
                <w:numId w:val="131"/>
              </w:numPr>
              <w:spacing w:line="276" w:lineRule="auto"/>
              <w:rPr>
                <w:b/>
                <w:bCs/>
              </w:rPr>
            </w:pPr>
            <w:r>
              <w:rPr>
                <w:b/>
              </w:rPr>
              <w:t>toiminnon mahdollisesti aiheuttama häiriö markkinoilla, infrastruktuureissa, asiakkaiden keskuudessa ja julkisissa palveluissa</w:t>
            </w:r>
            <w:r>
              <w:t>. Arvioinnissa voidaan ottaa huomioon erityisesti vaikutus kyseisten markkinoiden likvidiyteen, asiakasyrityksissä aiheutuneen häiriön vaikutus ja laajuus sekä lyhyen aikavälin likviditeettitarpeet; merkityksellisyys vastapuolten, asiakkaiden ja yleisön kannalta; asiakkaiden reagointikyky ja -nopeus; merkitys muiden markkinoiden toiminnan kannalta; vaikutus muiden markkinoiden likvidiyteen, toimintoihin ja rakenteeseen; vaikutus tärkeimpiin asiakkaisiin sidossuhteessa oleviin muihin vastapuoliin ja toiminno</w:t>
            </w:r>
            <w:r>
              <w:t>n vuorovaikutus muiden palveluiden kanssa.</w:t>
            </w:r>
          </w:p>
          <w:p w14:paraId="7FE1BA33" w14:textId="77777777" w:rsidR="00B81226" w:rsidRDefault="00B81226">
            <w:pPr>
              <w:pStyle w:val="TableParagraph"/>
              <w:spacing w:before="108"/>
              <w:ind w:left="85"/>
              <w:jc w:val="both"/>
              <w:rPr>
                <w:rFonts w:ascii="Times New Roman" w:hAnsi="Times New Roman" w:cs="Times New Roman"/>
                <w:b/>
                <w:bCs/>
                <w:color w:val="000000" w:themeColor="text1"/>
                <w:sz w:val="20"/>
                <w:szCs w:val="20"/>
              </w:rPr>
            </w:pPr>
          </w:p>
        </w:tc>
      </w:tr>
      <w:tr w:rsidR="00B81226" w14:paraId="7FE1BA38" w14:textId="77777777">
        <w:tc>
          <w:tcPr>
            <w:tcW w:w="1080" w:type="dxa"/>
            <w:tcBorders>
              <w:top w:val="single" w:sz="4" w:space="0" w:color="1A171C"/>
              <w:left w:val="nil"/>
              <w:bottom w:val="single" w:sz="4" w:space="0" w:color="1A171C"/>
              <w:right w:val="single" w:sz="4" w:space="0" w:color="1A171C"/>
            </w:tcBorders>
            <w:vAlign w:val="center"/>
          </w:tcPr>
          <w:p w14:paraId="7FE1BA35" w14:textId="3050578F" w:rsidR="00B81226" w:rsidRDefault="00B82AC2">
            <w:pPr>
              <w:pStyle w:val="P68B1DB1-TableParagraph17"/>
              <w:spacing w:before="108"/>
              <w:jc w:val="both"/>
            </w:pPr>
            <w:r>
              <w:lastRenderedPageBreak/>
              <w:t>0070–0090</w:t>
            </w:r>
          </w:p>
        </w:tc>
        <w:tc>
          <w:tcPr>
            <w:tcW w:w="8003" w:type="dxa"/>
            <w:tcBorders>
              <w:top w:val="single" w:sz="4" w:space="0" w:color="1A171C"/>
              <w:left w:val="single" w:sz="4" w:space="0" w:color="1A171C"/>
              <w:bottom w:val="single" w:sz="4" w:space="0" w:color="1A171C"/>
              <w:right w:val="nil"/>
            </w:tcBorders>
            <w:vAlign w:val="center"/>
          </w:tcPr>
          <w:p w14:paraId="7FE1BA36" w14:textId="77777777" w:rsidR="00B81226" w:rsidRDefault="00B82AC2">
            <w:pPr>
              <w:pStyle w:val="P68B1DB1-TableParagraph14"/>
              <w:spacing w:before="108"/>
              <w:ind w:left="85"/>
              <w:jc w:val="both"/>
              <w:rPr>
                <w:bCs/>
              </w:rPr>
            </w:pPr>
            <w:r>
              <w:t xml:space="preserve">Luonne ja laajuus </w:t>
            </w:r>
          </w:p>
          <w:p w14:paraId="7FE1BA37" w14:textId="77777777" w:rsidR="00B81226" w:rsidRDefault="00B82AC2">
            <w:pPr>
              <w:pStyle w:val="P68B1DB1-TableParagraph33"/>
              <w:spacing w:before="108"/>
              <w:ind w:left="85"/>
              <w:jc w:val="both"/>
              <w:rPr>
                <w:rFonts w:cs="Times New Roman"/>
                <w:b/>
                <w:bCs/>
                <w:color w:val="000000" w:themeColor="text1"/>
              </w:rPr>
            </w:pPr>
            <w:r>
              <w:t>Maailmanlaajuinen, kansallinen tai alueellinen ulottuvuus sekä transaktioiden volyymi ja lukumäärä; asiakkaiden ja vastapuolten lukumäärä; niiden asiakkaiden lukumäärä, joille laitos on ainoa tai pääasiallinen pankkikumppani;</w:t>
            </w:r>
          </w:p>
        </w:tc>
      </w:tr>
      <w:tr w:rsidR="00B81226" w14:paraId="7FE1BA3F" w14:textId="77777777">
        <w:tc>
          <w:tcPr>
            <w:tcW w:w="1080" w:type="dxa"/>
            <w:tcBorders>
              <w:top w:val="single" w:sz="4" w:space="0" w:color="1A171C"/>
              <w:left w:val="nil"/>
              <w:bottom w:val="single" w:sz="4" w:space="0" w:color="1A171C"/>
              <w:right w:val="single" w:sz="4" w:space="0" w:color="1A171C"/>
            </w:tcBorders>
            <w:vAlign w:val="center"/>
          </w:tcPr>
          <w:p w14:paraId="7FE1BA39" w14:textId="153BD48E" w:rsidR="00B81226" w:rsidRDefault="00B82AC2">
            <w:pPr>
              <w:pStyle w:val="P68B1DB1-TableParagraph17"/>
              <w:spacing w:before="108"/>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A3A" w14:textId="77777777" w:rsidR="00B81226" w:rsidRDefault="00B82AC2">
            <w:pPr>
              <w:pStyle w:val="P68B1DB1-TableParagraph14"/>
              <w:spacing w:before="108"/>
              <w:ind w:left="85"/>
              <w:jc w:val="both"/>
              <w:rPr>
                <w:bCs/>
              </w:rPr>
            </w:pPr>
            <w:r>
              <w:t>Kokoindikaattori 1</w:t>
            </w:r>
          </w:p>
          <w:p w14:paraId="7FE1BA3B" w14:textId="0CA29815" w:rsidR="00B81226" w:rsidRDefault="00B82AC2">
            <w:pPr>
              <w:pStyle w:val="P68B1DB1-Normal31"/>
              <w:spacing w:line="276" w:lineRule="auto"/>
              <w:jc w:val="both"/>
            </w:pPr>
            <w:r>
              <w:t>Arvioi pankin merkitystä näissä toiminnoissa. Tämä arvio ilmaistaan laadullisesti seuraavasti: ”korkea”, ”keskitasoinen”, ”keskitasoinen” tai ”alhainen”. Ilmoitetaan ”High”, jos funktio on suuri, ”keskikokoinen”, jos se on keskitasoinen, ”keskikokoinen”, jos se on pieni, ja ”pieni”, jos se on vähäinen. Tämän laadullisen arvioinnin vertailuarvona käytetään makrotaloudellisia muuttujia, kuten BKT:tä, väestöä (talletukset, luotonanto, maksut, käteisvarat, selvitys- ja säilytyspalvelut) tai markkinoiden kokoa (</w:t>
            </w:r>
            <w:r>
              <w:t xml:space="preserve">pääomamarkkinoiden ja tukkurahoituksen osalta). </w:t>
            </w:r>
          </w:p>
          <w:p w14:paraId="7FE1BA3C" w14:textId="77777777" w:rsidR="00B81226" w:rsidRDefault="00B82AC2">
            <w:pPr>
              <w:pStyle w:val="P68B1DB1-ListParagraph32"/>
              <w:numPr>
                <w:ilvl w:val="0"/>
                <w:numId w:val="130"/>
              </w:numPr>
              <w:spacing w:line="276" w:lineRule="auto"/>
            </w:pPr>
            <w:r>
              <w:t xml:space="preserve">Asiantuntija-arvio tileillä olevan </w:t>
            </w:r>
            <w:r>
              <w:rPr>
                <w:b/>
              </w:rPr>
              <w:t>arvon</w:t>
            </w:r>
            <w:r>
              <w:t xml:space="preserve"> koosta (sarake 0030) </w:t>
            </w:r>
            <w:r>
              <w:rPr>
                <w:b/>
              </w:rPr>
              <w:t>EU:n</w:t>
            </w:r>
            <w:r>
              <w:t xml:space="preserve"> näkökulmasta </w:t>
            </w:r>
            <w:r>
              <w:rPr>
                <w:i/>
              </w:rPr>
              <w:t>[yksi taso merkityksellisiä markkinoita korkeammalla. Tämä tarkoittaa, että kun merkitykselliset markkinat ovat alueelliset, koko 1 = kansallinen; jos se on kansallinen, koko 1 = EU; kun kyseessä on EU, koko 1 = maailmanlaajuinen]</w:t>
            </w:r>
            <w:r>
              <w:t>:</w:t>
            </w:r>
          </w:p>
          <w:p w14:paraId="7FE1BA3D" w14:textId="77777777" w:rsidR="00B81226" w:rsidRDefault="00B82AC2">
            <w:pPr>
              <w:pStyle w:val="P68B1DB1-ListParagraph32"/>
              <w:numPr>
                <w:ilvl w:val="1"/>
                <w:numId w:val="129"/>
              </w:numPr>
              <w:spacing w:line="276" w:lineRule="auto"/>
            </w:pPr>
            <w:r>
              <w:t xml:space="preserve">Kuinka merkittäväksi arvioitte laitoksenne tileillä olevien talletusten kokonaisarvon EU:n näkökulmasta tarkasteltuna? </w:t>
            </w:r>
          </w:p>
          <w:p w14:paraId="7FE1BA3E" w14:textId="77777777" w:rsidR="00B81226" w:rsidRDefault="00B81226">
            <w:pPr>
              <w:pStyle w:val="TableParagraph"/>
              <w:spacing w:before="108"/>
              <w:ind w:left="85"/>
              <w:jc w:val="both"/>
              <w:rPr>
                <w:rFonts w:ascii="Times New Roman" w:hAnsi="Times New Roman" w:cs="Times New Roman"/>
                <w:b/>
                <w:bCs/>
                <w:color w:val="000000" w:themeColor="text1"/>
                <w:sz w:val="20"/>
                <w:szCs w:val="20"/>
              </w:rPr>
            </w:pPr>
          </w:p>
        </w:tc>
      </w:tr>
      <w:tr w:rsidR="00B81226" w14:paraId="7FE1BA46" w14:textId="77777777">
        <w:tc>
          <w:tcPr>
            <w:tcW w:w="1080" w:type="dxa"/>
            <w:tcBorders>
              <w:top w:val="single" w:sz="4" w:space="0" w:color="1A171C"/>
              <w:left w:val="nil"/>
              <w:bottom w:val="single" w:sz="4" w:space="0" w:color="1A171C"/>
              <w:right w:val="single" w:sz="4" w:space="0" w:color="1A171C"/>
            </w:tcBorders>
            <w:vAlign w:val="center"/>
          </w:tcPr>
          <w:p w14:paraId="7FE1BA40" w14:textId="54B11659" w:rsidR="00B81226" w:rsidRDefault="00B82AC2">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A41" w14:textId="77777777" w:rsidR="00B81226" w:rsidRDefault="00B82AC2">
            <w:pPr>
              <w:pStyle w:val="P68B1DB1-TableParagraph14"/>
              <w:spacing w:before="108"/>
              <w:ind w:left="85"/>
              <w:jc w:val="both"/>
              <w:rPr>
                <w:bCs/>
              </w:rPr>
            </w:pPr>
            <w:r>
              <w:t>Kokoindikaattori 2</w:t>
            </w:r>
          </w:p>
          <w:p w14:paraId="3B32AD4C" w14:textId="77777777" w:rsidR="00B81226" w:rsidRDefault="00B82AC2">
            <w:pPr>
              <w:pStyle w:val="P68B1DB1-Normal31"/>
              <w:spacing w:line="276" w:lineRule="auto"/>
              <w:jc w:val="both"/>
            </w:pPr>
            <w:r>
              <w:t xml:space="preserve">Arvioi pankin merkitystä näissä toiminnoissa. Tämä arvio ilmaistaan laadullisesti seuraavasti: ”korkea”, ”keskitasoinen”, ”keskitasoinen” tai ”alhainen”. Ilmoitetaan ”High”, jos funktio on suuri, ”keskikokoinen”, jos se on keskitasoinen, ”keskikokoinen”, jos se on pieni, ja ”pieni”, jos se on vähäinen. Tämän laadullisen arvioinnin vertailuarvona käytetään makrotaloudellisia muuttujia, </w:t>
            </w:r>
            <w:r>
              <w:lastRenderedPageBreak/>
              <w:t xml:space="preserve">kuten BKT:tä, väestöä (talletukset, luotonanto, maksut, käteisvarat, selvitys- ja säilytyspalvelut) tai markkinoiden kokoa (pääomamarkkinoiden ja tukkurahoituksen osalta). </w:t>
            </w:r>
          </w:p>
          <w:p w14:paraId="7FE1BA42" w14:textId="7FE1DE6A" w:rsidR="00B81226" w:rsidRDefault="00B81226">
            <w:pPr>
              <w:spacing w:line="276" w:lineRule="auto"/>
              <w:jc w:val="both"/>
              <w:rPr>
                <w:rFonts w:ascii="Times New Roman" w:eastAsia="Times New Roman" w:hAnsi="Times New Roman" w:cs="Times New Roman"/>
                <w:sz w:val="20"/>
                <w:szCs w:val="20"/>
              </w:rPr>
            </w:pPr>
          </w:p>
          <w:p w14:paraId="7FE1BA43" w14:textId="77777777" w:rsidR="00B81226" w:rsidRDefault="00B82AC2">
            <w:pPr>
              <w:pStyle w:val="P68B1DB1-ListParagraph32"/>
              <w:numPr>
                <w:ilvl w:val="0"/>
                <w:numId w:val="124"/>
              </w:numPr>
              <w:spacing w:line="276" w:lineRule="auto"/>
            </w:pPr>
            <w:r>
              <w:t xml:space="preserve">Asiantuntija-arvio asiakkaiden </w:t>
            </w:r>
            <w:r>
              <w:rPr>
                <w:b/>
              </w:rPr>
              <w:t>määrästä</w:t>
            </w:r>
            <w:r>
              <w:t xml:space="preserve"> (sarake 0040) </w:t>
            </w:r>
            <w:r>
              <w:rPr>
                <w:b/>
              </w:rPr>
              <w:t>kansallisesta</w:t>
            </w:r>
            <w:r>
              <w:t xml:space="preserve"> näkökulmasta [</w:t>
            </w:r>
            <w:r>
              <w:rPr>
                <w:i/>
              </w:rPr>
              <w:t>merkityksellisten markkinoiden tasolla</w:t>
            </w:r>
            <w:r>
              <w:t>]:</w:t>
            </w:r>
          </w:p>
          <w:p w14:paraId="7FE1BA44" w14:textId="77777777" w:rsidR="00B81226" w:rsidRDefault="00B82AC2">
            <w:pPr>
              <w:pStyle w:val="P68B1DB1-ListParagraph32"/>
              <w:numPr>
                <w:ilvl w:val="1"/>
                <w:numId w:val="122"/>
              </w:numPr>
              <w:spacing w:line="276" w:lineRule="auto"/>
            </w:pPr>
            <w:r>
              <w:t>Kuinka merkittäväksi arvioitte laitoksenne asiakasmäärän kansallisesta näkökulmasta tarkasteltuna?</w:t>
            </w:r>
          </w:p>
          <w:p w14:paraId="7FE1BA45" w14:textId="77777777" w:rsidR="00B81226" w:rsidRDefault="00B81226">
            <w:pPr>
              <w:pStyle w:val="TableParagraph"/>
              <w:spacing w:before="108"/>
              <w:ind w:left="85"/>
              <w:jc w:val="both"/>
              <w:rPr>
                <w:rFonts w:ascii="Times New Roman" w:hAnsi="Times New Roman" w:cs="Times New Roman"/>
                <w:b/>
                <w:bCs/>
                <w:color w:val="000000" w:themeColor="text1"/>
                <w:sz w:val="20"/>
                <w:szCs w:val="20"/>
              </w:rPr>
            </w:pPr>
          </w:p>
        </w:tc>
      </w:tr>
      <w:tr w:rsidR="00B81226" w14:paraId="7FE1BA51" w14:textId="77777777">
        <w:tc>
          <w:tcPr>
            <w:tcW w:w="1080" w:type="dxa"/>
            <w:tcBorders>
              <w:top w:val="single" w:sz="4" w:space="0" w:color="1A171C"/>
              <w:left w:val="nil"/>
              <w:bottom w:val="single" w:sz="4" w:space="0" w:color="1A171C"/>
              <w:right w:val="single" w:sz="4" w:space="0" w:color="1A171C"/>
            </w:tcBorders>
            <w:vAlign w:val="center"/>
          </w:tcPr>
          <w:p w14:paraId="7FE1BA47" w14:textId="171E9753" w:rsidR="00B81226" w:rsidRDefault="00B82AC2">
            <w:pPr>
              <w:pStyle w:val="P68B1DB1-TableParagraph17"/>
              <w:spacing w:before="108"/>
              <w:jc w:val="both"/>
            </w:pPr>
            <w:r>
              <w:lastRenderedPageBreak/>
              <w:t>0090</w:t>
            </w:r>
          </w:p>
        </w:tc>
        <w:tc>
          <w:tcPr>
            <w:tcW w:w="8003" w:type="dxa"/>
            <w:tcBorders>
              <w:top w:val="single" w:sz="4" w:space="0" w:color="1A171C"/>
              <w:left w:val="single" w:sz="4" w:space="0" w:color="1A171C"/>
              <w:bottom w:val="single" w:sz="4" w:space="0" w:color="1A171C"/>
              <w:right w:val="nil"/>
            </w:tcBorders>
            <w:vAlign w:val="center"/>
          </w:tcPr>
          <w:p w14:paraId="7FE1BA48" w14:textId="77777777" w:rsidR="00B81226" w:rsidRDefault="00B82AC2">
            <w:pPr>
              <w:pStyle w:val="P68B1DB1-TableParagraph14"/>
              <w:spacing w:before="108"/>
              <w:ind w:left="85"/>
              <w:jc w:val="both"/>
              <w:rPr>
                <w:bCs/>
              </w:rPr>
            </w:pPr>
            <w:r>
              <w:t>Rajatylittävää toimintaa koskeva indikaattori</w:t>
            </w:r>
          </w:p>
          <w:p w14:paraId="7FE1BA49" w14:textId="77777777" w:rsidR="00B81226" w:rsidRDefault="00B82AC2">
            <w:pPr>
              <w:pStyle w:val="P68B1DB1-Normal31"/>
              <w:spacing w:line="276" w:lineRule="auto"/>
              <w:jc w:val="both"/>
            </w:pPr>
            <w:r>
              <w:t>Arvioida rajat ylittävän toiminnan suhteellista merkitystä eri taloudellisille toiminnoille.</w:t>
            </w:r>
          </w:p>
          <w:p w14:paraId="7FE1BA4A" w14:textId="77777777" w:rsidR="00B81226" w:rsidRDefault="00B82AC2">
            <w:pPr>
              <w:pStyle w:val="P68B1DB1-Normal31"/>
              <w:spacing w:line="276" w:lineRule="auto"/>
              <w:jc w:val="both"/>
            </w:pPr>
            <w:r>
              <w:t xml:space="preserve">Tätä ei tarvitse arvioida, jos kyse on raporteista, joissa merkitykselliset markkinat ovat alueelliset. </w:t>
            </w:r>
          </w:p>
          <w:p w14:paraId="7FE1BA4B" w14:textId="77777777" w:rsidR="00B81226" w:rsidRDefault="00B82AC2">
            <w:pPr>
              <w:pStyle w:val="P68B1DB1-ListParagraph32"/>
              <w:numPr>
                <w:ilvl w:val="0"/>
                <w:numId w:val="118"/>
              </w:numPr>
              <w:rPr>
                <w:i/>
                <w:iCs/>
              </w:rPr>
            </w:pPr>
            <w:r>
              <w:t xml:space="preserve">Niiden EU:n jäsenvaltioiden lukumäärä, joiden osalta on arvioitu, että raportoivan yhteisön kansallinen markkinaosuus on yli 2 %. Mietintö: </w:t>
            </w:r>
          </w:p>
          <w:p w14:paraId="7FE1BA4C" w14:textId="380A40CA" w:rsidR="00B81226" w:rsidRDefault="00B82AC2">
            <w:pPr>
              <w:pStyle w:val="P68B1DB1-ListParagraph32"/>
              <w:numPr>
                <w:ilvl w:val="1"/>
                <w:numId w:val="118"/>
              </w:numPr>
              <w:rPr>
                <w:i/>
                <w:iCs/>
              </w:rPr>
            </w:pPr>
            <w:r>
              <w:t xml:space="preserve">≤ 1 maa; </w:t>
            </w:r>
          </w:p>
          <w:p w14:paraId="7FE1BA4D" w14:textId="152EAA32" w:rsidR="00B81226" w:rsidRDefault="00B82AC2">
            <w:pPr>
              <w:pStyle w:val="P68B1DB1-ListParagraph32"/>
              <w:numPr>
                <w:ilvl w:val="1"/>
                <w:numId w:val="118"/>
              </w:numPr>
              <w:rPr>
                <w:i/>
                <w:iCs/>
              </w:rPr>
            </w:pPr>
            <w:r>
              <w:t xml:space="preserve">Kahteen tai kolmeen maahan </w:t>
            </w:r>
          </w:p>
          <w:p w14:paraId="7FE1BA4E" w14:textId="5E1FD2A4" w:rsidR="00B81226" w:rsidRDefault="00B82AC2">
            <w:pPr>
              <w:pStyle w:val="P68B1DB1-ListParagraph32"/>
              <w:numPr>
                <w:ilvl w:val="1"/>
                <w:numId w:val="118"/>
              </w:numPr>
              <w:rPr>
                <w:i/>
                <w:iCs/>
              </w:rPr>
            </w:pPr>
            <w:r>
              <w:t xml:space="preserve">4–5 maata, </w:t>
            </w:r>
          </w:p>
          <w:p w14:paraId="7FE1BA4F" w14:textId="744AB982" w:rsidR="00B81226" w:rsidRDefault="00B82AC2">
            <w:pPr>
              <w:pStyle w:val="P68B1DB1-ListParagraph32"/>
              <w:numPr>
                <w:ilvl w:val="1"/>
                <w:numId w:val="118"/>
              </w:numPr>
              <w:rPr>
                <w:i/>
                <w:iCs/>
              </w:rPr>
            </w:pPr>
            <w:r>
              <w:t>&gt; 5 maata.</w:t>
            </w:r>
          </w:p>
          <w:p w14:paraId="7FE1BA50" w14:textId="77777777" w:rsidR="00B81226" w:rsidRDefault="00B81226">
            <w:pPr>
              <w:pStyle w:val="TableParagraph"/>
              <w:spacing w:before="108"/>
              <w:jc w:val="both"/>
              <w:rPr>
                <w:rFonts w:ascii="Times New Roman" w:hAnsi="Times New Roman" w:cs="Times New Roman"/>
                <w:b/>
                <w:bCs/>
                <w:color w:val="000000" w:themeColor="text1"/>
                <w:sz w:val="20"/>
                <w:szCs w:val="20"/>
              </w:rPr>
            </w:pPr>
          </w:p>
        </w:tc>
      </w:tr>
      <w:tr w:rsidR="00B81226" w14:paraId="7FE1BA60" w14:textId="77777777">
        <w:tc>
          <w:tcPr>
            <w:tcW w:w="1080" w:type="dxa"/>
            <w:tcBorders>
              <w:top w:val="single" w:sz="4" w:space="0" w:color="1A171C"/>
              <w:left w:val="nil"/>
              <w:bottom w:val="single" w:sz="4" w:space="0" w:color="1A171C"/>
              <w:right w:val="single" w:sz="4" w:space="0" w:color="1A171C"/>
            </w:tcBorders>
            <w:vAlign w:val="center"/>
          </w:tcPr>
          <w:p w14:paraId="7FE1BA52" w14:textId="05E0D2FF" w:rsidR="00B81226" w:rsidRDefault="00B82AC2">
            <w:pPr>
              <w:pStyle w:val="P68B1DB1-TableParagraph17"/>
              <w:spacing w:before="108"/>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A53" w14:textId="77777777" w:rsidR="00B81226" w:rsidRDefault="00B82AC2">
            <w:pPr>
              <w:pStyle w:val="P68B1DB1-TableParagraph14"/>
              <w:spacing w:before="108"/>
              <w:ind w:left="85"/>
              <w:jc w:val="both"/>
              <w:rPr>
                <w:bCs/>
              </w:rPr>
            </w:pPr>
            <w:r>
              <w:t xml:space="preserve">Merkityksellisyys — </w:t>
            </w:r>
          </w:p>
          <w:p w14:paraId="7FE1BA54" w14:textId="77777777" w:rsidR="00B81226" w:rsidRDefault="00B82AC2">
            <w:pPr>
              <w:pStyle w:val="P68B1DB1-TableParagraph33"/>
              <w:spacing w:before="108"/>
              <w:ind w:left="85"/>
              <w:jc w:val="both"/>
            </w:pPr>
            <w:r>
              <w:t>Paikallisella, alueellisella, kansallisella tai Euroopan tasolla asianomaisista markkinoista riippuen. Laitoksen merkitystä voidaan arvioida markkinaosuuden, sidosten, monitahoisuuden ja valtioiden rajat ylittävän toiminnan perusteella.</w:t>
            </w:r>
          </w:p>
          <w:p w14:paraId="7FE1BA55" w14:textId="77777777" w:rsidR="00B81226" w:rsidRDefault="00B82AC2">
            <w:pPr>
              <w:pStyle w:val="P68B1DB1-TableParagraph14"/>
              <w:spacing w:before="108"/>
              <w:ind w:left="85"/>
              <w:jc w:val="both"/>
              <w:rPr>
                <w:bCs/>
              </w:rPr>
            </w:pPr>
            <w:r>
              <w:t>Markkinaosuus</w:t>
            </w:r>
          </w:p>
          <w:p w14:paraId="7FE1BA56" w14:textId="77777777" w:rsidR="00B81226" w:rsidRDefault="00B82AC2">
            <w:pPr>
              <w:pStyle w:val="P68B1DB1-Normal31"/>
              <w:spacing w:line="276" w:lineRule="auto"/>
              <w:jc w:val="both"/>
            </w:pPr>
            <w:r>
              <w:t xml:space="preserve">Arvioitava raportoivan yhteisön markkinaosuuden merkitys verrattuna lomakkeessa ilmoitettuihin kansallisiin tai muihin merkityksellisiin markkinoihin. Tämä arvio ilmaistaan laadullisesti seuraavasti: </w:t>
            </w:r>
          </w:p>
          <w:p w14:paraId="7FE1BA57" w14:textId="4FBBC6A6" w:rsidR="00B81226" w:rsidRDefault="00B82AC2">
            <w:pPr>
              <w:pStyle w:val="P68B1DB1-ListParagraph32"/>
              <w:numPr>
                <w:ilvl w:val="0"/>
                <w:numId w:val="276"/>
              </w:numPr>
              <w:spacing w:line="276" w:lineRule="auto"/>
              <w:jc w:val="both"/>
            </w:pPr>
            <w:r>
              <w:t>Suuri, jos markkinaosuus on suuri</w:t>
            </w:r>
          </w:p>
          <w:p w14:paraId="7FE1BA58" w14:textId="71C0B34E" w:rsidR="00B81226" w:rsidRDefault="00B82AC2">
            <w:pPr>
              <w:pStyle w:val="P68B1DB1-ListParagraph32"/>
              <w:numPr>
                <w:ilvl w:val="0"/>
                <w:numId w:val="276"/>
              </w:numPr>
              <w:spacing w:line="276" w:lineRule="auto"/>
              <w:jc w:val="both"/>
            </w:pPr>
            <w:r>
              <w:t>Keskikorkea, jos markkinaosuus on keskisuuri</w:t>
            </w:r>
          </w:p>
          <w:p w14:paraId="7FE1BA59" w14:textId="08ABB1D9" w:rsidR="00B81226" w:rsidRDefault="00B82AC2">
            <w:pPr>
              <w:pStyle w:val="P68B1DB1-ListParagraph32"/>
              <w:numPr>
                <w:ilvl w:val="0"/>
                <w:numId w:val="276"/>
              </w:numPr>
              <w:spacing w:line="276" w:lineRule="auto"/>
              <w:jc w:val="both"/>
            </w:pPr>
            <w:r>
              <w:t xml:space="preserve">Keskisuuri-pieni, jos markkinaosuus on pieni, tai </w:t>
            </w:r>
          </w:p>
          <w:p w14:paraId="7FE1BA5A" w14:textId="3DD284B5" w:rsidR="00B81226" w:rsidRDefault="00B82AC2">
            <w:pPr>
              <w:pStyle w:val="P68B1DB1-ListParagraph32"/>
              <w:numPr>
                <w:ilvl w:val="0"/>
                <w:numId w:val="276"/>
              </w:numPr>
              <w:spacing w:line="276" w:lineRule="auto"/>
              <w:jc w:val="both"/>
            </w:pPr>
            <w:r>
              <w:t xml:space="preserve">Pieni, jos markkinaosuus on vähäinen. </w:t>
            </w:r>
          </w:p>
          <w:p w14:paraId="7FE1BA5B" w14:textId="77777777" w:rsidR="00B81226" w:rsidRDefault="00B82AC2">
            <w:pPr>
              <w:pStyle w:val="P68B1DB1-Normal31"/>
              <w:spacing w:line="276" w:lineRule="auto"/>
              <w:jc w:val="both"/>
            </w:pPr>
            <w:r>
              <w:t xml:space="preserve">Arvioinnissa otetaan huomioon raportoivan yhteisön maan (tai muiden merkityksellisten markkinoiden) markkinarakenne ja markkinaosuudet, jotka ilmoitetaan osassa 2. </w:t>
            </w:r>
          </w:p>
          <w:p w14:paraId="7FE1BA5C" w14:textId="77777777" w:rsidR="00B81226" w:rsidRDefault="00B82AC2">
            <w:pPr>
              <w:pStyle w:val="P68B1DB1-Normal31"/>
              <w:spacing w:line="276" w:lineRule="auto"/>
              <w:jc w:val="both"/>
            </w:pPr>
            <w:r>
              <w:t>2.Kvantitatiiviset tiedot:</w:t>
            </w:r>
          </w:p>
          <w:p w14:paraId="7FE1BA5D" w14:textId="77777777" w:rsidR="00B81226" w:rsidRDefault="00B82AC2">
            <w:pPr>
              <w:pStyle w:val="P68B1DB1-ListParagraph32"/>
              <w:numPr>
                <w:ilvl w:val="0"/>
                <w:numId w:val="117"/>
              </w:numPr>
              <w:spacing w:line="276" w:lineRule="auto"/>
              <w:jc w:val="both"/>
              <w:rPr>
                <w:i/>
                <w:iCs/>
              </w:rPr>
            </w:pPr>
            <w:r>
              <w:t xml:space="preserve">Asiantuntija-arvio </w:t>
            </w:r>
            <w:r>
              <w:rPr>
                <w:b/>
              </w:rPr>
              <w:t xml:space="preserve">kansallisesta </w:t>
            </w:r>
            <w:r>
              <w:t>markkinaosuudesta (ilmoitettu sarakkeessa 0020, lukuun ottamatta tapauksia, joissa raportti annetaan eri merkityksellisten markkinoiden tasolla, jolloin on tehtävä arviointi merkityksellisten markkinoiden osuudesta)</w:t>
            </w:r>
          </w:p>
          <w:p w14:paraId="7FE1BA5E" w14:textId="77777777" w:rsidR="00B81226" w:rsidRDefault="00B81226">
            <w:pPr>
              <w:spacing w:line="276" w:lineRule="auto"/>
              <w:jc w:val="both"/>
              <w:rPr>
                <w:rFonts w:ascii="Times New Roman" w:eastAsia="Times New Roman" w:hAnsi="Times New Roman" w:cs="Times New Roman"/>
                <w:sz w:val="20"/>
                <w:szCs w:val="20"/>
              </w:rPr>
            </w:pPr>
          </w:p>
          <w:p w14:paraId="7FE1BA5F" w14:textId="77777777" w:rsidR="00B81226" w:rsidRDefault="00B81226">
            <w:pPr>
              <w:pStyle w:val="TableParagraph"/>
              <w:spacing w:before="108"/>
              <w:ind w:left="85"/>
              <w:jc w:val="both"/>
              <w:rPr>
                <w:rFonts w:ascii="Times New Roman" w:hAnsi="Times New Roman" w:cs="Times New Roman"/>
                <w:b/>
                <w:bCs/>
                <w:color w:val="000000" w:themeColor="text1"/>
                <w:sz w:val="20"/>
                <w:szCs w:val="20"/>
              </w:rPr>
            </w:pPr>
          </w:p>
        </w:tc>
      </w:tr>
      <w:tr w:rsidR="00B81226" w14:paraId="7FE1BA6E" w14:textId="77777777">
        <w:tc>
          <w:tcPr>
            <w:tcW w:w="1080" w:type="dxa"/>
            <w:tcBorders>
              <w:top w:val="single" w:sz="4" w:space="0" w:color="1A171C"/>
              <w:left w:val="nil"/>
              <w:bottom w:val="single" w:sz="4" w:space="0" w:color="1A171C"/>
              <w:right w:val="single" w:sz="4" w:space="0" w:color="1A171C"/>
            </w:tcBorders>
            <w:vAlign w:val="center"/>
          </w:tcPr>
          <w:p w14:paraId="7FE1BA61" w14:textId="5039FA68" w:rsidR="00B81226" w:rsidRDefault="00B82AC2">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A62" w14:textId="77777777" w:rsidR="00B81226" w:rsidRDefault="00B82AC2">
            <w:pPr>
              <w:pStyle w:val="P68B1DB1-TableParagraph14"/>
              <w:spacing w:before="108"/>
              <w:ind w:left="85"/>
              <w:jc w:val="both"/>
              <w:rPr>
                <w:bCs/>
              </w:rPr>
            </w:pPr>
            <w:r>
              <w:t>Markkinoiden rakenne – markkinoiden keskittyminen</w:t>
            </w:r>
          </w:p>
          <w:p w14:paraId="7FE1BA63" w14:textId="77777777" w:rsidR="00B81226" w:rsidRDefault="00B82AC2">
            <w:pPr>
              <w:pStyle w:val="P68B1DB1-Normal31"/>
              <w:jc w:val="both"/>
            </w:pPr>
            <w:r>
              <w:t xml:space="preserve">Markkinoiden keskittyminen mitattuna markkinoilla tällä hetkellä toimivien kilpailijoiden lukumäärällä </w:t>
            </w:r>
          </w:p>
          <w:p w14:paraId="7FE1BA64" w14:textId="77777777" w:rsidR="00B81226" w:rsidRDefault="00B82AC2">
            <w:pPr>
              <w:pStyle w:val="P68B1DB1-Normal31"/>
              <w:jc w:val="both"/>
            </w:pPr>
            <w:r>
              <w:t xml:space="preserve">samankaltaiset taloudelliset toiminnot ja/tai vastaavien palvelujen tarjoaminen yhtäläisin ehdoin (eli </w:t>
            </w:r>
          </w:p>
          <w:p w14:paraId="7FE1BA65" w14:textId="77777777" w:rsidR="00B81226" w:rsidRDefault="00B82AC2">
            <w:pPr>
              <w:pStyle w:val="P68B1DB1-Normal31"/>
              <w:jc w:val="both"/>
            </w:pPr>
            <w:r>
              <w:t xml:space="preserve">määrältään, laadultaan ja kustannuksiltaan vertailukelpoiset), jotka mahdollisesti otetaan haltuun </w:t>
            </w:r>
          </w:p>
          <w:p w14:paraId="7FE1BA66" w14:textId="77777777" w:rsidR="00B81226" w:rsidRDefault="00B82AC2">
            <w:pPr>
              <w:pStyle w:val="P68B1DB1-Normal31"/>
              <w:jc w:val="both"/>
            </w:pPr>
            <w:r>
              <w:t xml:space="preserve">raportoivan yhteisön (tai sen osan) asiakkaat ja/tai liiketoiminta kohtuullisen ajan kuluessa. </w:t>
            </w:r>
          </w:p>
          <w:p w14:paraId="7FE1BA67" w14:textId="77777777" w:rsidR="00B81226" w:rsidRDefault="00B82AC2">
            <w:pPr>
              <w:pStyle w:val="P68B1DB1-Normal31"/>
              <w:jc w:val="both"/>
            </w:pPr>
            <w:r>
              <w:t xml:space="preserve">Tämä on ilmoitettava alaluokissa, jotka ovat samat kullekin alatoiminnolle. </w:t>
            </w:r>
          </w:p>
          <w:p w14:paraId="7FE1BA68" w14:textId="5B483BC6" w:rsidR="00B81226" w:rsidRDefault="00B82AC2">
            <w:pPr>
              <w:pStyle w:val="P68B1DB1-ListParagraph32"/>
              <w:numPr>
                <w:ilvl w:val="0"/>
                <w:numId w:val="277"/>
              </w:numPr>
              <w:jc w:val="both"/>
            </w:pPr>
            <w:bookmarkStart w:id="113" w:name="_Hlk194417513"/>
            <w:r>
              <w:t xml:space="preserve">&gt; 20 kilpailijaa; </w:t>
            </w:r>
          </w:p>
          <w:p w14:paraId="7FE1BA69" w14:textId="7D2A0C84" w:rsidR="00B81226" w:rsidRDefault="00B82AC2">
            <w:pPr>
              <w:pStyle w:val="P68B1DB1-ListParagraph32"/>
              <w:numPr>
                <w:ilvl w:val="0"/>
                <w:numId w:val="277"/>
              </w:numPr>
              <w:jc w:val="both"/>
            </w:pPr>
            <w:r>
              <w:t xml:space="preserve">11–20 kilpailijaa; </w:t>
            </w:r>
          </w:p>
          <w:p w14:paraId="7FE1BA6A" w14:textId="5EF3634F" w:rsidR="00B81226" w:rsidRDefault="00B82AC2">
            <w:pPr>
              <w:pStyle w:val="P68B1DB1-ListParagraph32"/>
              <w:numPr>
                <w:ilvl w:val="0"/>
                <w:numId w:val="277"/>
              </w:numPr>
              <w:jc w:val="both"/>
            </w:pPr>
            <w:r>
              <w:lastRenderedPageBreak/>
              <w:t xml:space="preserve">5–10 kilpailijaa, </w:t>
            </w:r>
          </w:p>
          <w:p w14:paraId="7FE1BA6B" w14:textId="3A6E6804" w:rsidR="00B81226" w:rsidRDefault="00B82AC2">
            <w:pPr>
              <w:pStyle w:val="P68B1DB1-ListParagraph32"/>
              <w:numPr>
                <w:ilvl w:val="0"/>
                <w:numId w:val="277"/>
              </w:numPr>
              <w:jc w:val="both"/>
              <w:rPr>
                <w:b/>
                <w:bCs/>
                <w:color w:val="000000" w:themeColor="text1"/>
              </w:rPr>
            </w:pPr>
            <w:r>
              <w:t>&amp;5</w:t>
            </w:r>
            <w:bookmarkEnd w:id="113"/>
            <w:r>
              <w:t xml:space="preserve"> kilpailijaa</w:t>
            </w:r>
          </w:p>
          <w:p w14:paraId="7FE1BA6C" w14:textId="77777777" w:rsidR="00B81226" w:rsidRDefault="00B82AC2">
            <w:pPr>
              <w:pStyle w:val="P68B1DB1-Normal34"/>
              <w:ind w:left="360"/>
              <w:jc w:val="both"/>
              <w:rPr>
                <w:i/>
                <w:iCs/>
              </w:rPr>
            </w:pPr>
            <w:r>
              <w:t xml:space="preserve">Asiantuntija-arvio </w:t>
            </w:r>
            <w:r>
              <w:rPr>
                <w:b/>
              </w:rPr>
              <w:t xml:space="preserve">kansallisesta </w:t>
            </w:r>
            <w:r>
              <w:t>markkinaosuudesta (ilmoitettu sarakkeessa 0020, lukuun ottamatta tapauksia, joissa raportti annetaan eri merkityksellisten markkinoiden tasolla, jolloin on tehtävä arviointi merkityksellisten markkinoiden osuudesta)</w:t>
            </w:r>
          </w:p>
          <w:p w14:paraId="7FE1BA6D" w14:textId="77777777" w:rsidR="00B81226" w:rsidRDefault="00B81226">
            <w:pPr>
              <w:jc w:val="both"/>
              <w:rPr>
                <w:rFonts w:ascii="Times New Roman" w:hAnsi="Times New Roman"/>
                <w:b/>
                <w:bCs/>
                <w:color w:val="000000" w:themeColor="text1"/>
                <w:sz w:val="20"/>
                <w:szCs w:val="20"/>
              </w:rPr>
            </w:pPr>
          </w:p>
        </w:tc>
      </w:tr>
      <w:tr w:rsidR="00B81226" w14:paraId="7FE1BA81" w14:textId="77777777">
        <w:tc>
          <w:tcPr>
            <w:tcW w:w="1080" w:type="dxa"/>
            <w:tcBorders>
              <w:top w:val="single" w:sz="4" w:space="0" w:color="1A171C"/>
              <w:left w:val="nil"/>
              <w:bottom w:val="single" w:sz="4" w:space="0" w:color="1A171C"/>
              <w:right w:val="single" w:sz="4" w:space="0" w:color="1A171C"/>
            </w:tcBorders>
            <w:vAlign w:val="center"/>
          </w:tcPr>
          <w:p w14:paraId="7FE1BA6F" w14:textId="38765705" w:rsidR="00B81226" w:rsidRDefault="00B82AC2">
            <w:pPr>
              <w:pStyle w:val="P68B1DB1-TableParagraph17"/>
              <w:spacing w:before="108"/>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A70" w14:textId="77777777" w:rsidR="00B81226" w:rsidRDefault="00B82AC2">
            <w:pPr>
              <w:pStyle w:val="P68B1DB1-TableParagraph14"/>
              <w:spacing w:before="108"/>
              <w:ind w:left="85"/>
              <w:jc w:val="both"/>
              <w:rPr>
                <w:bCs/>
              </w:rPr>
            </w:pPr>
            <w:r>
              <w:t>Ajoitus – Korvauksen odotettu aika</w:t>
            </w:r>
          </w:p>
          <w:p w14:paraId="7FE1BA71" w14:textId="77777777" w:rsidR="00B81226" w:rsidRDefault="00B82AC2">
            <w:pPr>
              <w:pStyle w:val="P68B1DB1-Normal31"/>
              <w:jc w:val="both"/>
            </w:pPr>
            <w:r>
              <w:t>Arvioi raportoinnin tarjoaman taloudellisen toiminnon edellyttämä aika</w:t>
            </w:r>
          </w:p>
          <w:p w14:paraId="7FE1BA72" w14:textId="77777777" w:rsidR="00B81226" w:rsidRDefault="00B82AC2">
            <w:pPr>
              <w:pStyle w:val="P68B1DB1-Normal31"/>
              <w:jc w:val="both"/>
            </w:pPr>
            <w:r>
              <w:t xml:space="preserve">yhteisö, jonka markkinat absorboivat kriisitilanteessa. Määrä sisältää </w:t>
            </w:r>
          </w:p>
          <w:p w14:paraId="7FE1BA73" w14:textId="77777777" w:rsidR="00B81226" w:rsidRDefault="00B82AC2">
            <w:pPr>
              <w:pStyle w:val="P68B1DB1-ListParagraph32"/>
              <w:numPr>
                <w:ilvl w:val="0"/>
                <w:numId w:val="274"/>
              </w:numPr>
              <w:jc w:val="both"/>
            </w:pPr>
            <w:r>
              <w:t xml:space="preserve">aika, jonka yksi tai useampi kilpailija tarvitsee toiminnon toteuttamiseen tarvittavien oikeudellisten ja teknisten toimenpiteiden toteuttamiseen; sekä  </w:t>
            </w:r>
          </w:p>
          <w:p w14:paraId="7FE1BA74" w14:textId="77777777" w:rsidR="00B81226" w:rsidRDefault="00B82AC2">
            <w:pPr>
              <w:pStyle w:val="P68B1DB1-ListParagraph32"/>
              <w:numPr>
                <w:ilvl w:val="0"/>
                <w:numId w:val="274"/>
              </w:numPr>
              <w:jc w:val="both"/>
            </w:pPr>
            <w:r>
              <w:t xml:space="preserve">aika, jonka palvelun käyttäjät tarvitsevat toiseen palveluntarjoajaan siirtymiseen. </w:t>
            </w:r>
          </w:p>
          <w:p w14:paraId="7FE1BA75" w14:textId="77777777" w:rsidR="00B81226" w:rsidRDefault="00B81226">
            <w:pPr>
              <w:jc w:val="both"/>
              <w:rPr>
                <w:rFonts w:ascii="Times New Roman" w:eastAsia="Times New Roman" w:hAnsi="Times New Roman" w:cs="Times New Roman"/>
                <w:sz w:val="20"/>
                <w:szCs w:val="20"/>
              </w:rPr>
            </w:pPr>
          </w:p>
          <w:p w14:paraId="7FE1BA76" w14:textId="77777777" w:rsidR="00B81226" w:rsidRDefault="00B82AC2">
            <w:pPr>
              <w:pStyle w:val="P68B1DB1-Normal31"/>
              <w:jc w:val="both"/>
            </w:pPr>
            <w:r>
              <w:t xml:space="preserve">Talletuksista korvaamisella tarkoitetaan pääasiassa vaihtoehtoisten tarjoajien rahoituksellisia, toiminnallisia ja teknisiä valmiuksia tarjota talletusten vastaanottopalveluja raportoivan pankin asiakkaille eikä talletusten siirtämisestä toiselle palveluntarjoajalle viranomaisen toiminnan seurauksena tai talletusten vakuusjärjestelmästä maksettavan korvauksen saamiseen kuluvaa aikaa. </w:t>
            </w:r>
          </w:p>
          <w:p w14:paraId="7FE1BA77" w14:textId="77777777" w:rsidR="00B81226" w:rsidRDefault="00B81226">
            <w:pPr>
              <w:jc w:val="both"/>
              <w:rPr>
                <w:rFonts w:ascii="Times New Roman" w:eastAsia="Times New Roman" w:hAnsi="Times New Roman" w:cs="Times New Roman"/>
                <w:sz w:val="20"/>
                <w:szCs w:val="20"/>
              </w:rPr>
            </w:pPr>
          </w:p>
          <w:p w14:paraId="7FE1BA78" w14:textId="77777777" w:rsidR="00B81226" w:rsidRDefault="00B82AC2">
            <w:pPr>
              <w:pStyle w:val="P68B1DB1-Normal31"/>
              <w:jc w:val="both"/>
            </w:pPr>
            <w:r>
              <w:t>Edellisen osalta voitte arvioida, kuinka paljon aikaa raportoiva laitos tarvitsisi voidakseen kattaa laitoksenne liiketoiminnan (tai sen osan) kohtuullisin kustannuksin kriisitilanteessa. Ilmoitetaan arvioitu korvaamisaika lomakkeessa esitetyissä alaluokissa:</w:t>
            </w:r>
          </w:p>
          <w:p w14:paraId="7FE1BA79" w14:textId="77777777" w:rsidR="00B81226" w:rsidRDefault="00B81226">
            <w:pPr>
              <w:jc w:val="both"/>
              <w:rPr>
                <w:rFonts w:ascii="Times New Roman" w:hAnsi="Times New Roman" w:cs="Times New Roman"/>
                <w:color w:val="000000" w:themeColor="text1"/>
                <w:sz w:val="20"/>
                <w:szCs w:val="20"/>
              </w:rPr>
            </w:pPr>
          </w:p>
          <w:p w14:paraId="7FE1BA7A" w14:textId="77777777" w:rsidR="00B81226" w:rsidRDefault="00B82AC2">
            <w:pPr>
              <w:pStyle w:val="P68B1DB1-Normal31"/>
              <w:jc w:val="both"/>
            </w:pPr>
            <w:bookmarkStart w:id="114" w:name="_Hlk194476514"/>
            <w:r>
              <w:t xml:space="preserve">Alaluokat: </w:t>
            </w:r>
          </w:p>
          <w:p w14:paraId="7FE1BA7B" w14:textId="013EC0AB" w:rsidR="00B81226" w:rsidRDefault="00B82AC2">
            <w:pPr>
              <w:pStyle w:val="P68B1DB1-ListParagraph32"/>
              <w:numPr>
                <w:ilvl w:val="0"/>
                <w:numId w:val="280"/>
              </w:numPr>
              <w:jc w:val="both"/>
            </w:pPr>
            <w:r>
              <w:t xml:space="preserve">&amp; 1 viikko; </w:t>
            </w:r>
          </w:p>
          <w:p w14:paraId="7FE1BA7C" w14:textId="6818EF73" w:rsidR="00B81226" w:rsidRDefault="00B82AC2">
            <w:pPr>
              <w:pStyle w:val="P68B1DB1-ListParagraph32"/>
              <w:numPr>
                <w:ilvl w:val="0"/>
                <w:numId w:val="280"/>
              </w:numPr>
              <w:jc w:val="both"/>
            </w:pPr>
            <w:r>
              <w:t xml:space="preserve">1 viikko-1 kuukausi; </w:t>
            </w:r>
          </w:p>
          <w:p w14:paraId="7FE1BA7D" w14:textId="05597976" w:rsidR="00B81226" w:rsidRDefault="00B82AC2">
            <w:pPr>
              <w:pStyle w:val="P68B1DB1-ListParagraph32"/>
              <w:numPr>
                <w:ilvl w:val="0"/>
                <w:numId w:val="280"/>
              </w:numPr>
              <w:jc w:val="both"/>
            </w:pPr>
            <w:r>
              <w:t xml:space="preserve">1–6 kuukautta </w:t>
            </w:r>
          </w:p>
          <w:p w14:paraId="7FE1BA7E" w14:textId="0D41F489" w:rsidR="00B81226" w:rsidRDefault="00B82AC2">
            <w:pPr>
              <w:pStyle w:val="P68B1DB1-ListParagraph32"/>
              <w:numPr>
                <w:ilvl w:val="0"/>
                <w:numId w:val="280"/>
              </w:numPr>
              <w:jc w:val="both"/>
            </w:pPr>
            <w:r>
              <w:t xml:space="preserve">&gt; 6 kuukautta  </w:t>
            </w:r>
          </w:p>
          <w:bookmarkEnd w:id="114"/>
          <w:p w14:paraId="7FE1BA7F" w14:textId="77777777" w:rsidR="00B81226" w:rsidRDefault="00B81226">
            <w:pPr>
              <w:jc w:val="both"/>
              <w:rPr>
                <w:rFonts w:ascii="Times New Roman" w:eastAsia="Times New Roman" w:hAnsi="Times New Roman" w:cs="Times New Roman"/>
                <w:sz w:val="20"/>
                <w:szCs w:val="20"/>
              </w:rPr>
            </w:pPr>
          </w:p>
          <w:p w14:paraId="7FE1BA80" w14:textId="77777777" w:rsidR="00B81226" w:rsidRDefault="00B81226">
            <w:pPr>
              <w:jc w:val="both"/>
              <w:rPr>
                <w:rFonts w:ascii="Times New Roman" w:hAnsi="Times New Roman" w:cs="Times New Roman"/>
                <w:color w:val="000000" w:themeColor="text1"/>
                <w:sz w:val="20"/>
                <w:szCs w:val="20"/>
              </w:rPr>
            </w:pPr>
          </w:p>
        </w:tc>
      </w:tr>
      <w:tr w:rsidR="00B81226" w14:paraId="7FE1BA84" w14:textId="77777777">
        <w:tc>
          <w:tcPr>
            <w:tcW w:w="1080" w:type="dxa"/>
            <w:tcBorders>
              <w:top w:val="single" w:sz="4" w:space="0" w:color="1A171C"/>
              <w:left w:val="nil"/>
              <w:bottom w:val="single" w:sz="4" w:space="0" w:color="1A171C"/>
              <w:right w:val="single" w:sz="4" w:space="0" w:color="1A171C"/>
            </w:tcBorders>
            <w:vAlign w:val="center"/>
          </w:tcPr>
          <w:p w14:paraId="7FE1BA82" w14:textId="28D0359B" w:rsidR="00B81226" w:rsidRDefault="00B82AC2">
            <w:pPr>
              <w:pStyle w:val="P68B1DB1-TableParagraph17"/>
              <w:spacing w:before="108"/>
              <w:jc w:val="both"/>
            </w:pPr>
            <w:r>
              <w:t>0130–0140</w:t>
            </w:r>
          </w:p>
        </w:tc>
        <w:tc>
          <w:tcPr>
            <w:tcW w:w="8003" w:type="dxa"/>
            <w:tcBorders>
              <w:top w:val="single" w:sz="4" w:space="0" w:color="1A171C"/>
              <w:left w:val="single" w:sz="4" w:space="0" w:color="1A171C"/>
              <w:bottom w:val="single" w:sz="4" w:space="0" w:color="1A171C"/>
              <w:right w:val="nil"/>
            </w:tcBorders>
            <w:vAlign w:val="center"/>
          </w:tcPr>
          <w:p w14:paraId="7FE1BA83" w14:textId="77777777" w:rsidR="00B81226" w:rsidRDefault="00B82AC2">
            <w:pPr>
              <w:pStyle w:val="P68B1DB1-TableParagraph14"/>
              <w:spacing w:before="108"/>
              <w:ind w:left="85"/>
              <w:jc w:val="both"/>
              <w:rPr>
                <w:bCs/>
              </w:rPr>
            </w:pPr>
            <w:r>
              <w:t>Korvaamiskyky</w:t>
            </w:r>
          </w:p>
        </w:tc>
      </w:tr>
      <w:tr w:rsidR="00B81226" w14:paraId="7FE1BA8E" w14:textId="77777777">
        <w:tc>
          <w:tcPr>
            <w:tcW w:w="1080" w:type="dxa"/>
            <w:tcBorders>
              <w:top w:val="single" w:sz="4" w:space="0" w:color="1A171C"/>
              <w:left w:val="nil"/>
              <w:bottom w:val="single" w:sz="4" w:space="0" w:color="1A171C"/>
              <w:right w:val="single" w:sz="4" w:space="0" w:color="1A171C"/>
            </w:tcBorders>
            <w:vAlign w:val="center"/>
          </w:tcPr>
          <w:p w14:paraId="7FE1BA85" w14:textId="56A54470" w:rsidR="00B81226" w:rsidRDefault="00B82AC2">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A86" w14:textId="77777777" w:rsidR="00B81226" w:rsidRDefault="00B82AC2">
            <w:pPr>
              <w:pStyle w:val="P68B1DB1-Normal35"/>
              <w:jc w:val="both"/>
              <w:rPr>
                <w:bCs/>
              </w:rPr>
            </w:pPr>
            <w:r>
              <w:t>Markkinoille pääsyä tai laajentumista koskevat lainsäädäntöiset esteet</w:t>
            </w:r>
          </w:p>
          <w:p w14:paraId="7FE1BA87" w14:textId="77777777" w:rsidR="00B81226" w:rsidRDefault="00B81226">
            <w:pPr>
              <w:jc w:val="both"/>
              <w:rPr>
                <w:rFonts w:ascii="Times New Roman" w:eastAsia="Times New Roman" w:hAnsi="Times New Roman" w:cs="Times New Roman"/>
                <w:b/>
                <w:bCs/>
                <w:color w:val="000000" w:themeColor="text1"/>
                <w:sz w:val="20"/>
                <w:szCs w:val="20"/>
              </w:rPr>
            </w:pPr>
          </w:p>
          <w:p w14:paraId="7FE1BA88" w14:textId="77777777" w:rsidR="00B81226" w:rsidRDefault="00B82AC2">
            <w:pPr>
              <w:pStyle w:val="P68B1DB1-Normal36"/>
              <w:jc w:val="both"/>
            </w:pPr>
            <w:r>
              <w:t xml:space="preserve">Oikeudelliset esteet, jotka estävät kilpailijoita tarjoamasta palvelua. Luottolaitosten liiketoiminnan harjoittamista koskevia oikeudellisia vaatimuksia (esim. pankkitoimilupia tai pääomavaatimuksia) ei pidetä ylitsepääsemättöminä esteinä vaihtoehtoisten palveluntarjoajien läsnäololle. Tämä indikaattori on ilmoitettava alaluokissa, jotka ovat samat kullekin alatoiminnolle: </w:t>
            </w:r>
          </w:p>
          <w:p w14:paraId="7FE1BA89" w14:textId="4702A48A" w:rsidR="00B81226" w:rsidRDefault="00B82AC2">
            <w:pPr>
              <w:pStyle w:val="P68B1DB1-ListParagraph37"/>
              <w:numPr>
                <w:ilvl w:val="0"/>
                <w:numId w:val="275"/>
              </w:numPr>
              <w:jc w:val="both"/>
            </w:pPr>
            <w:r>
              <w:t xml:space="preserve">ei merkittäviä esteitä, </w:t>
            </w:r>
          </w:p>
          <w:p w14:paraId="7FE1BA8A" w14:textId="10C89312" w:rsidR="00B81226" w:rsidRDefault="00B82AC2">
            <w:pPr>
              <w:pStyle w:val="P68B1DB1-ListParagraph37"/>
              <w:numPr>
                <w:ilvl w:val="0"/>
                <w:numId w:val="275"/>
              </w:numPr>
              <w:jc w:val="both"/>
            </w:pPr>
            <w:r>
              <w:t xml:space="preserve">joitakin esteitä, </w:t>
            </w:r>
          </w:p>
          <w:p w14:paraId="7FE1BA8B" w14:textId="4451FB21" w:rsidR="00B81226" w:rsidRDefault="00B82AC2">
            <w:pPr>
              <w:pStyle w:val="P68B1DB1-ListParagraph37"/>
              <w:numPr>
                <w:ilvl w:val="0"/>
                <w:numId w:val="275"/>
              </w:numPr>
              <w:jc w:val="both"/>
            </w:pPr>
            <w:r>
              <w:t xml:space="preserve">merkittävät (mutta ylitsepääsemättömät) esteet, </w:t>
            </w:r>
          </w:p>
          <w:p w14:paraId="7FE1BA8D" w14:textId="48C5B820" w:rsidR="00B81226" w:rsidRDefault="00B82AC2">
            <w:pPr>
              <w:pStyle w:val="P68B1DB1-ListParagraph37"/>
              <w:numPr>
                <w:ilvl w:val="0"/>
                <w:numId w:val="275"/>
              </w:numPr>
              <w:jc w:val="both"/>
              <w:rPr>
                <w:b/>
                <w:bCs/>
              </w:rPr>
            </w:pPr>
            <w:r>
              <w:t>kriittiset esteet (vaikeudet hävittää).</w:t>
            </w:r>
          </w:p>
        </w:tc>
      </w:tr>
      <w:tr w:rsidR="00B81226" w14:paraId="7FE1BA9E" w14:textId="77777777">
        <w:tc>
          <w:tcPr>
            <w:tcW w:w="1080" w:type="dxa"/>
            <w:tcBorders>
              <w:top w:val="single" w:sz="4" w:space="0" w:color="1A171C"/>
              <w:left w:val="nil"/>
              <w:bottom w:val="single" w:sz="4" w:space="0" w:color="1A171C"/>
              <w:right w:val="single" w:sz="4" w:space="0" w:color="1A171C"/>
            </w:tcBorders>
            <w:vAlign w:val="center"/>
          </w:tcPr>
          <w:p w14:paraId="7FE1BA8F" w14:textId="6435816F" w:rsidR="00B81226" w:rsidRDefault="00B82AC2">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tcPr>
          <w:p w14:paraId="7FE1BA90" w14:textId="77777777" w:rsidR="00B81226" w:rsidRDefault="00B82AC2">
            <w:pPr>
              <w:pStyle w:val="P68B1DB1-Normal35"/>
              <w:jc w:val="both"/>
              <w:rPr>
                <w:bCs/>
              </w:rPr>
            </w:pPr>
            <w:r>
              <w:t>Markkinoille pääsyä tai laajentumista koskevat toiminnalliset vaatimukset</w:t>
            </w:r>
          </w:p>
          <w:p w14:paraId="7FE1BA91" w14:textId="77777777" w:rsidR="00B81226" w:rsidRDefault="00B81226">
            <w:pPr>
              <w:jc w:val="both"/>
              <w:rPr>
                <w:rFonts w:ascii="Times New Roman" w:eastAsia="Times New Roman" w:hAnsi="Times New Roman" w:cs="Times New Roman"/>
                <w:b/>
                <w:bCs/>
                <w:color w:val="000000" w:themeColor="text1"/>
                <w:sz w:val="20"/>
                <w:szCs w:val="20"/>
              </w:rPr>
            </w:pPr>
          </w:p>
          <w:p w14:paraId="7FE1BA92" w14:textId="77777777" w:rsidR="00B81226" w:rsidRDefault="00B82AC2">
            <w:pPr>
              <w:pStyle w:val="P68B1DB1-Normal36"/>
              <w:jc w:val="both"/>
            </w:pPr>
            <w:r>
              <w:t xml:space="preserve">Organisatoriset, tekniset ja infrastruktuurivaatimukset, joita kilpailijoilla on palvelun tarjoamiseksi. (Ala)toimintoon liittyvien palvelujen tarjoaminen edellyttää, että palveluntarjoajat investoivat (uusiin tai täydentäviin) infrastruktuureihin tai muuttavat organisaatioitaan. Arvioitava markkinoiden kykyä ottaa vastaan tietty liiketoiminta esimerkiksi pääomavaatimusten osalta. Luotonannolle on otettava huomioon luotonantoon liittyvät riskipainotetut varat (ilmoitettu kysymyksessä 17) </w:t>
            </w:r>
          </w:p>
          <w:p w14:paraId="7FE1BA93" w14:textId="77777777" w:rsidR="00B81226" w:rsidRDefault="00B82AC2">
            <w:pPr>
              <w:pStyle w:val="P68B1DB1-Normal36"/>
              <w:jc w:val="both"/>
            </w:pPr>
            <w:r>
              <w:t xml:space="preserve">Tämä indikaattori on ilmoitettava alaluokissa, jotka ovat samat kullekin alatoiminnolle: </w:t>
            </w:r>
          </w:p>
          <w:p w14:paraId="7FE1BA94" w14:textId="2E9A8492" w:rsidR="00B81226" w:rsidRDefault="00B82AC2">
            <w:pPr>
              <w:pStyle w:val="P68B1DB1-ListParagraph37"/>
              <w:numPr>
                <w:ilvl w:val="0"/>
                <w:numId w:val="278"/>
              </w:numPr>
              <w:jc w:val="both"/>
            </w:pPr>
            <w:r>
              <w:t xml:space="preserve">ei merkittäviä vaatimuksia, </w:t>
            </w:r>
          </w:p>
          <w:p w14:paraId="7FE1BA95" w14:textId="2C17AA9E" w:rsidR="00B81226" w:rsidRDefault="00B82AC2">
            <w:pPr>
              <w:pStyle w:val="P68B1DB1-ListParagraph37"/>
              <w:numPr>
                <w:ilvl w:val="0"/>
                <w:numId w:val="278"/>
              </w:numPr>
              <w:jc w:val="both"/>
            </w:pPr>
            <w:r>
              <w:t xml:space="preserve">joitakin vaatimuksia, </w:t>
            </w:r>
          </w:p>
          <w:p w14:paraId="7FE1BA96" w14:textId="3197B4B5" w:rsidR="00B81226" w:rsidRDefault="00B82AC2">
            <w:pPr>
              <w:pStyle w:val="P68B1DB1-ListParagraph37"/>
              <w:numPr>
                <w:ilvl w:val="0"/>
                <w:numId w:val="278"/>
              </w:numPr>
              <w:jc w:val="both"/>
            </w:pPr>
            <w:r>
              <w:t xml:space="preserve">olennaiset (mutta ylitsepääsemättömät) vaatimukset, </w:t>
            </w:r>
          </w:p>
          <w:p w14:paraId="7FE1BA97" w14:textId="64928FFB" w:rsidR="00B81226" w:rsidRDefault="00B82AC2">
            <w:pPr>
              <w:pStyle w:val="P68B1DB1-ListParagraph37"/>
              <w:numPr>
                <w:ilvl w:val="0"/>
                <w:numId w:val="278"/>
              </w:numPr>
              <w:jc w:val="both"/>
            </w:pPr>
            <w:r>
              <w:t>kriittiset vaatimukset (vaikeudet selviytyä).</w:t>
            </w:r>
          </w:p>
          <w:p w14:paraId="7FE1BA9D" w14:textId="77777777" w:rsidR="00B81226" w:rsidRDefault="00B81226">
            <w:pPr>
              <w:pStyle w:val="ListParagraph"/>
              <w:jc w:val="both"/>
              <w:rPr>
                <w:rFonts w:ascii="Times New Roman" w:hAnsi="Times New Roman"/>
                <w:b/>
                <w:bCs/>
                <w:color w:val="000000" w:themeColor="text1"/>
                <w:sz w:val="20"/>
                <w:szCs w:val="20"/>
              </w:rPr>
            </w:pPr>
          </w:p>
        </w:tc>
      </w:tr>
      <w:tr w:rsidR="00B81226" w14:paraId="7FE1BAA9" w14:textId="77777777">
        <w:tc>
          <w:tcPr>
            <w:tcW w:w="1080" w:type="dxa"/>
            <w:tcBorders>
              <w:top w:val="single" w:sz="4" w:space="0" w:color="1A171C"/>
              <w:left w:val="nil"/>
              <w:bottom w:val="single" w:sz="4" w:space="0" w:color="1A171C"/>
              <w:right w:val="single" w:sz="4" w:space="0" w:color="1A171C"/>
            </w:tcBorders>
            <w:vAlign w:val="center"/>
          </w:tcPr>
          <w:p w14:paraId="7FE1BAA2" w14:textId="663C9747" w:rsidR="00B81226" w:rsidRDefault="00B82AC2">
            <w:pPr>
              <w:pStyle w:val="P68B1DB1-TableParagraph17"/>
              <w:spacing w:before="108"/>
              <w:jc w:val="both"/>
            </w:pPr>
            <w:r>
              <w:lastRenderedPageBreak/>
              <w:t>0145</w:t>
            </w:r>
          </w:p>
        </w:tc>
        <w:tc>
          <w:tcPr>
            <w:tcW w:w="8003" w:type="dxa"/>
            <w:tcBorders>
              <w:top w:val="single" w:sz="4" w:space="0" w:color="1A171C"/>
              <w:left w:val="single" w:sz="4" w:space="0" w:color="1A171C"/>
              <w:bottom w:val="single" w:sz="4" w:space="0" w:color="1A171C"/>
              <w:right w:val="nil"/>
            </w:tcBorders>
            <w:vAlign w:val="center"/>
          </w:tcPr>
          <w:p w14:paraId="7FE1BAA3" w14:textId="7BD86DC3" w:rsidR="00B81226" w:rsidRDefault="00B82AC2">
            <w:pPr>
              <w:pStyle w:val="P68B1DB1-TableParagraph14"/>
              <w:spacing w:before="108"/>
              <w:jc w:val="both"/>
              <w:rPr>
                <w:bCs/>
              </w:rPr>
            </w:pPr>
            <w:r>
              <w:t>Perehdytyskapasiteetti – Uusilta asiakkailta yhden työpäivän aikana saatujen hakemusten lukumäärä (tilien lukumäärä)</w:t>
            </w:r>
          </w:p>
          <w:p w14:paraId="7FE1BAA4" w14:textId="404DC9AB" w:rsidR="00B81226" w:rsidRDefault="00B82AC2">
            <w:pPr>
              <w:pStyle w:val="P68B1DB1-TableParagraph13"/>
              <w:spacing w:before="108"/>
              <w:jc w:val="both"/>
            </w:pPr>
            <w:r>
              <w:t>Laitoksia pyydetään toimittamaan suurin määrä hakemuksia, jos laitos on validoinut pankkipalvelupyynnön.</w:t>
            </w:r>
          </w:p>
          <w:p w14:paraId="1312271B" w14:textId="5ECEF0C0" w:rsidR="00B81226" w:rsidRDefault="00B82AC2">
            <w:pPr>
              <w:pStyle w:val="P68B1DB1-TableParagraph13"/>
              <w:spacing w:before="108"/>
              <w:jc w:val="both"/>
            </w:pPr>
            <w:r>
              <w:t>Uusien tilien määrä ilmaistaan yhden työpäivän kuluessa.</w:t>
            </w:r>
          </w:p>
          <w:p w14:paraId="7FE1BAA8" w14:textId="06166E4A" w:rsidR="00B81226" w:rsidRDefault="00B82AC2">
            <w:pPr>
              <w:pStyle w:val="P68B1DB1-TableParagraph13"/>
              <w:spacing w:before="108"/>
              <w:jc w:val="both"/>
              <w:rPr>
                <w:b/>
                <w:bCs/>
              </w:rPr>
            </w:pPr>
            <w:r>
              <w:t>Toimielinten odotetaan ottavan huomioon uusien asiakkaiden perehdyttämisen aikataulun, koska uusi asiakas on hakenut pankkipalvelua.</w:t>
            </w:r>
          </w:p>
        </w:tc>
      </w:tr>
      <w:tr w:rsidR="00B81226" w14:paraId="7FE1BAAC" w14:textId="77777777">
        <w:tc>
          <w:tcPr>
            <w:tcW w:w="1080" w:type="dxa"/>
            <w:tcBorders>
              <w:top w:val="single" w:sz="4" w:space="0" w:color="1A171C"/>
              <w:left w:val="nil"/>
              <w:bottom w:val="single" w:sz="4" w:space="0" w:color="1A171C"/>
              <w:right w:val="single" w:sz="4" w:space="0" w:color="1A171C"/>
            </w:tcBorders>
            <w:vAlign w:val="center"/>
          </w:tcPr>
          <w:p w14:paraId="7FE1BAAA" w14:textId="71AB9851" w:rsidR="00B81226" w:rsidRDefault="00B82AC2">
            <w:pPr>
              <w:pStyle w:val="P68B1DB1-TableParagraph17"/>
              <w:spacing w:before="108"/>
              <w:jc w:val="both"/>
            </w:pPr>
            <w:r>
              <w:t>0150–0170</w:t>
            </w:r>
          </w:p>
        </w:tc>
        <w:tc>
          <w:tcPr>
            <w:tcW w:w="8003" w:type="dxa"/>
            <w:tcBorders>
              <w:top w:val="single" w:sz="4" w:space="0" w:color="1A171C"/>
              <w:left w:val="single" w:sz="4" w:space="0" w:color="1A171C"/>
              <w:bottom w:val="single" w:sz="4" w:space="0" w:color="1A171C"/>
              <w:right w:val="nil"/>
            </w:tcBorders>
            <w:vAlign w:val="center"/>
          </w:tcPr>
          <w:p w14:paraId="7FE1BAAB" w14:textId="77777777" w:rsidR="00B81226" w:rsidRDefault="00B82AC2">
            <w:pPr>
              <w:pStyle w:val="P68B1DB1-TableParagraph14"/>
              <w:spacing w:before="108"/>
              <w:jc w:val="both"/>
              <w:rPr>
                <w:bCs/>
              </w:rPr>
            </w:pPr>
            <w:r>
              <w:t>Kriittisyysarviointi</w:t>
            </w:r>
          </w:p>
        </w:tc>
      </w:tr>
      <w:tr w:rsidR="00B81226" w14:paraId="7FE1BAB2" w14:textId="77777777">
        <w:tc>
          <w:tcPr>
            <w:tcW w:w="1080" w:type="dxa"/>
            <w:tcBorders>
              <w:top w:val="single" w:sz="4" w:space="0" w:color="1A171C"/>
              <w:left w:val="nil"/>
              <w:bottom w:val="single" w:sz="4" w:space="0" w:color="1A171C"/>
              <w:right w:val="single" w:sz="4" w:space="0" w:color="1A171C"/>
            </w:tcBorders>
            <w:vAlign w:val="center"/>
          </w:tcPr>
          <w:p w14:paraId="7FE1BAAD" w14:textId="5EFF4F1D" w:rsidR="00B81226" w:rsidRDefault="00B82AC2">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AAE" w14:textId="77777777" w:rsidR="00B81226" w:rsidRDefault="00B82AC2">
            <w:pPr>
              <w:pStyle w:val="P68B1DB1-TableParagraph14"/>
              <w:spacing w:before="108"/>
              <w:jc w:val="both"/>
              <w:rPr>
                <w:bCs/>
              </w:rPr>
            </w:pPr>
            <w:r>
              <w:t xml:space="preserve">Vaikutus markkinoihin </w:t>
            </w:r>
          </w:p>
          <w:p w14:paraId="7FE1BAAF" w14:textId="77777777" w:rsidR="00B81226" w:rsidRDefault="00B82AC2">
            <w:pPr>
              <w:pStyle w:val="P68B1DB1-TableParagraph13"/>
              <w:spacing w:before="108"/>
              <w:jc w:val="both"/>
            </w:pPr>
            <w:r>
              <w:t>Toiminnon yhtäkkisen keskeytymisen arvioitu vaikutus kolmansiin osapuoliin, rahoitusmarkkinoihin ja reaalitalouteen, kun otetaan huomioon laitoksen koko, markkinaosuus kyseisessä maassa, ulkoiset ja sisäiset sidokset, monitahoisuus ja rajatylittävä toiminta.</w:t>
            </w:r>
          </w:p>
          <w:p w14:paraId="7FE1BAB0" w14:textId="765F6584" w:rsidR="00B81226" w:rsidRDefault="00B82AC2">
            <w:pPr>
              <w:pStyle w:val="P68B1DB1-TableParagraph13"/>
              <w:spacing w:before="108"/>
              <w:jc w:val="both"/>
            </w:pPr>
            <w:r>
              <w:t>Tämä arvio ilmaistaan laadullisesti seuraavasti: ”korkea”, ”keskitasoinen”, ”keskitasoinen” tai ”alhainen”.</w:t>
            </w:r>
          </w:p>
          <w:p w14:paraId="7FE1BAB1" w14:textId="14727254" w:rsidR="00B81226" w:rsidRDefault="00B82AC2">
            <w:pPr>
              <w:pStyle w:val="P68B1DB1-TableParagraph13"/>
              <w:spacing w:before="108"/>
              <w:jc w:val="both"/>
              <w:rPr>
                <w:b/>
                <w:bCs/>
              </w:rPr>
            </w:pPr>
            <w:r>
              <w:t>Ilmoitetaan ”High”, jos toiminnon keskeytyminen vaikuttaa hyvin merkittävästi kansallisiin markkinoihin; ”MH”, jos vaikutus on merkittävä; ”Medium-Low”, jos vaikutus on olennainen mutta rajallinen; ja ”Low”, jos vaikutus on vähäinen.</w:t>
            </w:r>
          </w:p>
        </w:tc>
      </w:tr>
      <w:tr w:rsidR="00B81226" w14:paraId="7FE1BABF" w14:textId="77777777">
        <w:tc>
          <w:tcPr>
            <w:tcW w:w="1080" w:type="dxa"/>
            <w:tcBorders>
              <w:top w:val="single" w:sz="4" w:space="0" w:color="1A171C"/>
              <w:left w:val="nil"/>
              <w:bottom w:val="single" w:sz="4" w:space="0" w:color="1A171C"/>
              <w:right w:val="single" w:sz="4" w:space="0" w:color="1A171C"/>
            </w:tcBorders>
            <w:vAlign w:val="center"/>
          </w:tcPr>
          <w:p w14:paraId="7FE1BAB3" w14:textId="0598BE56" w:rsidR="00B81226" w:rsidRDefault="00B82AC2">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AB4" w14:textId="77777777" w:rsidR="00B81226" w:rsidRDefault="00B82AC2">
            <w:pPr>
              <w:pStyle w:val="P68B1DB1-TableParagraph14"/>
              <w:spacing w:before="108"/>
              <w:jc w:val="both"/>
              <w:rPr>
                <w:bCs/>
              </w:rPr>
            </w:pPr>
            <w:r>
              <w:t>Korvattavuus</w:t>
            </w:r>
          </w:p>
          <w:p w14:paraId="7FE1BAB5" w14:textId="77777777" w:rsidR="00B81226" w:rsidRDefault="00B82AC2">
            <w:pPr>
              <w:pStyle w:val="P68B1DB1-TableParagraph13"/>
              <w:spacing w:before="108"/>
              <w:jc w:val="both"/>
            </w:pPr>
            <w:r>
              <w:t>Delegoidun asetuksen (EU) 2016/778 6 artiklan 3 kohta.</w:t>
            </w:r>
          </w:p>
          <w:p w14:paraId="7FE1BAB6" w14:textId="77777777" w:rsidR="00B81226" w:rsidRDefault="00B82AC2">
            <w:pPr>
              <w:pStyle w:val="P68B1DB1-TableParagraph13"/>
              <w:spacing w:before="108"/>
              <w:jc w:val="both"/>
            </w:pPr>
            <w:r>
              <w:t>Toiminto katsotaan korvattavissa olevaksi, jos se voidaan korvata hyväksyttävällä tavalla ja kohtuullisessa ajassa samalla, kun vältetään järjestelmätason ongelmat reaalitaloudessa ja finanssimarkkinoilla. Seuraavat tekijät on otettava huomioon:</w:t>
            </w:r>
          </w:p>
          <w:p w14:paraId="7FE1BAB7" w14:textId="77777777" w:rsidR="00B81226" w:rsidRDefault="00B82AC2">
            <w:pPr>
              <w:pStyle w:val="P68B1DB1-TableParagraph13"/>
              <w:spacing w:before="108"/>
              <w:jc w:val="both"/>
            </w:pPr>
            <w:r>
              <w:t xml:space="preserve">(a) kyseisen toiminnon markkinoiden rakenne ja korvaavien tarjoajien saatavilla olo; </w:t>
            </w:r>
          </w:p>
          <w:p w14:paraId="7FE1BAB8" w14:textId="77777777" w:rsidR="00B81226" w:rsidRDefault="00B82AC2">
            <w:pPr>
              <w:pStyle w:val="P68B1DB1-TableParagraph13"/>
              <w:spacing w:before="108"/>
              <w:jc w:val="both"/>
            </w:pPr>
            <w:r>
              <w:t xml:space="preserve">(b) muiden tarjoajien kapasiteettivalmiudet, toiminnon suorittamista koskevat vaatimukset ja mahdolliset markkinoille pääsyn tai toiminnan laajentamisen esteet; </w:t>
            </w:r>
          </w:p>
          <w:p w14:paraId="7FE1BAB9" w14:textId="77777777" w:rsidR="00B81226" w:rsidRDefault="00B82AC2">
            <w:pPr>
              <w:pStyle w:val="P68B1DB1-TableParagraph13"/>
              <w:spacing w:before="108"/>
              <w:jc w:val="both"/>
            </w:pPr>
            <w:r>
              <w:t xml:space="preserve">(c) muiden tarjoajien kannustimet alkaa harjoittaa kyseistä toimintaa; </w:t>
            </w:r>
          </w:p>
          <w:p w14:paraId="7FE1BABA" w14:textId="77777777" w:rsidR="00B81226" w:rsidRDefault="00B82AC2">
            <w:pPr>
              <w:pStyle w:val="P68B1DB1-TableParagraph13"/>
              <w:spacing w:before="108"/>
              <w:jc w:val="both"/>
            </w:pPr>
            <w:r>
              <w:t>(d) aika, jonka palvelun käyttäjät tarvitsevat siirtyäkseen uuteen palveluntarjoajaan, ja siirrosta aiheutuvat kustannukset, aika, jonka muut kilpailijat tarvitsevat alkaakseen hoitaa toimintoja, ja se, onko kyseinen aika riittävän pitkä merkittävien häiriöiden ehkäisemiseksi riippuen palvelun tyypistä.</w:t>
            </w:r>
          </w:p>
          <w:p w14:paraId="7FE1BABB" w14:textId="48F2EE45" w:rsidR="00B81226" w:rsidRDefault="00B82AC2">
            <w:pPr>
              <w:pStyle w:val="P68B1DB1-TableParagraph13"/>
              <w:spacing w:before="108"/>
              <w:jc w:val="both"/>
            </w:pPr>
            <w:r>
              <w:t xml:space="preserve">Esitettävä kokonaisarvio kunkin toiminnon odotetusta korvattavuuden asteesta ottaen huomioon aiemmin arvioidut eri ulottuvuudet (markkinaosuus, markkinoiden keskittyminen, korvaamisen aika, oikeudelliset esteet ja markkinoille tulon tai laajentumisen toiminnalliset vaatimukset). Tämä arvio ilmaistaan laadullisesti seuraavasti: ”korkea”, ”keskitasoinen”, ”keskitasoinen” tai ”alhainen”. </w:t>
            </w:r>
          </w:p>
          <w:p w14:paraId="7FE1BABC" w14:textId="47D04A62" w:rsidR="00B81226" w:rsidRDefault="00B82AC2">
            <w:pPr>
              <w:pStyle w:val="P68B1DB1-TableParagraph13"/>
              <w:spacing w:before="108"/>
              <w:jc w:val="both"/>
            </w:pPr>
            <w:r>
              <w:t>Ilmoitetaan ”H”, jos toinen pankki voi helposti tarjota toiminnon vastaavissa olosuhteissa kohtuullisessa ajassa;</w:t>
            </w:r>
          </w:p>
          <w:p w14:paraId="7FE1BABD" w14:textId="7FFD9091" w:rsidR="00B81226" w:rsidRDefault="00B82AC2">
            <w:pPr>
              <w:pStyle w:val="P68B1DB1-TableParagraph13"/>
              <w:spacing w:before="108"/>
              <w:jc w:val="both"/>
            </w:pPr>
            <w:r>
              <w:t xml:space="preserve">”L”, jos toimintoa ei voida korvata helposti tai nopeasti; </w:t>
            </w:r>
          </w:p>
          <w:p w14:paraId="7FE1BABE" w14:textId="29287980" w:rsidR="00B81226" w:rsidRDefault="00B82AC2">
            <w:pPr>
              <w:pStyle w:val="P68B1DB1-TableParagraph13"/>
              <w:spacing w:before="108"/>
              <w:jc w:val="both"/>
            </w:pPr>
            <w:r>
              <w:t>”MH” ja ”ML” välitapauksissa ottaen huomioon eri ulottuvuudet (esim. markkinaosuus, markkinoiden keskittyminen, korvaamiseen kuluva aika sekä maahantulon tai laajentumisen oikeudelliset esteet ja niihin liittyen toimintaa koskevat vaatimukset).</w:t>
            </w:r>
          </w:p>
        </w:tc>
      </w:tr>
      <w:tr w:rsidR="00B81226" w14:paraId="7FE1BAC4" w14:textId="77777777">
        <w:tc>
          <w:tcPr>
            <w:tcW w:w="1080" w:type="dxa"/>
            <w:tcBorders>
              <w:top w:val="single" w:sz="4" w:space="0" w:color="1A171C"/>
              <w:left w:val="nil"/>
              <w:bottom w:val="single" w:sz="4" w:space="0" w:color="1A171C"/>
              <w:right w:val="single" w:sz="4" w:space="0" w:color="1A171C"/>
            </w:tcBorders>
            <w:vAlign w:val="center"/>
          </w:tcPr>
          <w:p w14:paraId="7FE1BAC0" w14:textId="4FCA9719" w:rsidR="00B81226" w:rsidRDefault="00B82AC2">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AC1" w14:textId="77777777" w:rsidR="00B81226" w:rsidRDefault="00B82AC2">
            <w:pPr>
              <w:pStyle w:val="P68B1DB1-TableParagraph14"/>
              <w:spacing w:before="108"/>
              <w:jc w:val="both"/>
              <w:rPr>
                <w:bCs/>
              </w:rPr>
            </w:pPr>
            <w:r>
              <w:t>Kriittinen toiminto</w:t>
            </w:r>
          </w:p>
          <w:p w14:paraId="7FE1BAC2" w14:textId="77777777" w:rsidR="00B81226" w:rsidRDefault="00B82AC2">
            <w:pPr>
              <w:pStyle w:val="P68B1DB1-TableParagraph13"/>
              <w:spacing w:before="108"/>
              <w:jc w:val="both"/>
            </w:pPr>
            <w:r>
              <w:t xml:space="preserve">Tässä sarakkeessa ilmoitetaan, katsotaanko taloudellisen toiminnan olevan kyseisen maan markkinoiden kannalta kriittinen, kun otetaan huomioon instituution suorittama vaikutus- ja </w:t>
            </w:r>
            <w:r>
              <w:lastRenderedPageBreak/>
              <w:t>korvaavuusanalyysi.</w:t>
            </w:r>
          </w:p>
          <w:p w14:paraId="7FE1BAC3" w14:textId="77777777" w:rsidR="00B81226" w:rsidRDefault="00B82AC2">
            <w:pPr>
              <w:pStyle w:val="P68B1DB1-TableParagraph13"/>
              <w:spacing w:before="108"/>
              <w:jc w:val="both"/>
            </w:pPr>
            <w:r>
              <w:t>Ilmoitetaan ”Kyllä” tai ”Ei”.</w:t>
            </w:r>
          </w:p>
        </w:tc>
      </w:tr>
      <w:tr w:rsidR="00B81226" w14:paraId="7FE1BAC8" w14:textId="77777777">
        <w:tc>
          <w:tcPr>
            <w:tcW w:w="1080" w:type="dxa"/>
            <w:tcBorders>
              <w:top w:val="single" w:sz="4" w:space="0" w:color="1A171C"/>
              <w:left w:val="nil"/>
              <w:bottom w:val="single" w:sz="4" w:space="0" w:color="1A171C"/>
              <w:right w:val="single" w:sz="4" w:space="0" w:color="1A171C"/>
            </w:tcBorders>
            <w:vAlign w:val="center"/>
          </w:tcPr>
          <w:p w14:paraId="7FE1BAC5" w14:textId="2A137A37" w:rsidR="00B81226" w:rsidRDefault="00B82AC2">
            <w:pPr>
              <w:pStyle w:val="P68B1DB1-TableParagraph17"/>
              <w:spacing w:before="108"/>
              <w:jc w:val="both"/>
            </w:pPr>
            <w:r>
              <w:lastRenderedPageBreak/>
              <w:t>0180</w:t>
            </w:r>
          </w:p>
        </w:tc>
        <w:tc>
          <w:tcPr>
            <w:tcW w:w="8003" w:type="dxa"/>
            <w:tcBorders>
              <w:top w:val="single" w:sz="4" w:space="0" w:color="1A171C"/>
              <w:left w:val="single" w:sz="4" w:space="0" w:color="1A171C"/>
              <w:bottom w:val="single" w:sz="4" w:space="0" w:color="1A171C"/>
              <w:right w:val="nil"/>
            </w:tcBorders>
            <w:vAlign w:val="center"/>
          </w:tcPr>
          <w:p w14:paraId="7FE1BAC6" w14:textId="77777777" w:rsidR="00B81226" w:rsidRDefault="00B82AC2">
            <w:pPr>
              <w:pStyle w:val="P68B1DB1-TableParagraph14"/>
              <w:spacing w:before="108"/>
              <w:jc w:val="both"/>
              <w:rPr>
                <w:bCs/>
              </w:rPr>
            </w:pPr>
            <w:r>
              <w:t>Ryhmän huomautukset</w:t>
            </w:r>
          </w:p>
          <w:p w14:paraId="7FE1BAC7" w14:textId="77777777" w:rsidR="00B81226" w:rsidRDefault="00B82AC2">
            <w:pPr>
              <w:pStyle w:val="P68B1DB1-TableParagraph13"/>
              <w:spacing w:before="108"/>
              <w:jc w:val="both"/>
            </w:pPr>
            <w:r>
              <w:t>Tässä kentässä raportoiva yhteisö voi selittää kaikki oletukset, joita on käytetty arvioitaessa raportoitujen toimintojen kriittisyyttä.</w:t>
            </w:r>
          </w:p>
        </w:tc>
      </w:tr>
    </w:tbl>
    <w:p w14:paraId="7FE1BAC9" w14:textId="77777777" w:rsidR="00B81226" w:rsidRDefault="00B81226">
      <w:pPr>
        <w:rPr>
          <w:rFonts w:ascii="Times New Roman" w:hAnsi="Times New Roman" w:cs="Times New Roman"/>
          <w:color w:val="000000" w:themeColor="text1"/>
          <w:sz w:val="20"/>
          <w:szCs w:val="20"/>
        </w:rPr>
      </w:pPr>
    </w:p>
    <w:p w14:paraId="7FE1BACA" w14:textId="77777777" w:rsidR="00B81226" w:rsidRDefault="00B81226">
      <w:pPr>
        <w:rPr>
          <w:rFonts w:ascii="Times New Roman" w:hAnsi="Times New Roman" w:cs="Times New Roman"/>
          <w:color w:val="000000" w:themeColor="text1"/>
          <w:sz w:val="20"/>
          <w:szCs w:val="20"/>
        </w:rPr>
      </w:pPr>
    </w:p>
    <w:p w14:paraId="7FE1BACB" w14:textId="48446B8B" w:rsidR="00B81226" w:rsidRDefault="00B82AC2">
      <w:pPr>
        <w:pStyle w:val="P68B1DB1-Instructionsberschrift25"/>
        <w:numPr>
          <w:ilvl w:val="1"/>
          <w:numId w:val="49"/>
        </w:numPr>
        <w:ind w:left="357" w:hanging="357"/>
      </w:pPr>
      <w:bookmarkStart w:id="115" w:name="_Toc208245446"/>
      <w:r>
        <w:t>Z 07.01.2 FUNC 1 LEN</w:t>
      </w:r>
      <w:bookmarkEnd w:id="115"/>
    </w:p>
    <w:p w14:paraId="7FE1BAD5" w14:textId="77777777" w:rsidR="00B81226" w:rsidRDefault="00B81226">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B81226" w14:paraId="7FE1BAD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AD6" w14:textId="77777777" w:rsidR="00B81226" w:rsidRDefault="00B82AC2">
            <w:pPr>
              <w:pStyle w:val="P68B1DB1-TableParagraph17"/>
              <w:spacing w:before="108"/>
              <w:ind w:left="85"/>
              <w:jc w:val="both"/>
            </w:pPr>
            <w:bookmarkStart w:id="116" w:name="_Hlk162013303"/>
            <w:r>
              <w:t>Sarakkeet</w:t>
            </w:r>
          </w:p>
        </w:tc>
        <w:tc>
          <w:tcPr>
            <w:tcW w:w="8003" w:type="dxa"/>
            <w:tcBorders>
              <w:top w:val="single" w:sz="4" w:space="0" w:color="1A171C"/>
              <w:left w:val="single" w:sz="4" w:space="0" w:color="1A171C"/>
              <w:bottom w:val="single" w:sz="4" w:space="0" w:color="1A171C"/>
              <w:right w:val="nil"/>
            </w:tcBorders>
            <w:shd w:val="clear" w:color="auto" w:fill="E4E5E5"/>
          </w:tcPr>
          <w:p w14:paraId="7FE1BAD7" w14:textId="77777777" w:rsidR="00B81226" w:rsidRDefault="00B82AC2">
            <w:pPr>
              <w:pStyle w:val="P68B1DB1-TableParagraph17"/>
              <w:spacing w:before="108"/>
              <w:ind w:left="85" w:right="1"/>
              <w:jc w:val="both"/>
            </w:pPr>
            <w:r>
              <w:t>Ohjeet</w:t>
            </w:r>
          </w:p>
        </w:tc>
      </w:tr>
      <w:tr w:rsidR="00B81226" w14:paraId="7FE1BADC" w14:textId="77777777">
        <w:tc>
          <w:tcPr>
            <w:tcW w:w="1080" w:type="dxa"/>
            <w:tcBorders>
              <w:top w:val="single" w:sz="4" w:space="0" w:color="1A171C"/>
              <w:left w:val="nil"/>
              <w:bottom w:val="single" w:sz="4" w:space="0" w:color="1A171C"/>
              <w:right w:val="single" w:sz="4" w:space="0" w:color="1A171C"/>
            </w:tcBorders>
            <w:vAlign w:val="center"/>
          </w:tcPr>
          <w:p w14:paraId="7FE1BAD9" w14:textId="77777777" w:rsidR="00B81226" w:rsidRDefault="00B82AC2">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ADA" w14:textId="77777777" w:rsidR="00B81226" w:rsidRDefault="00B82AC2">
            <w:pPr>
              <w:pStyle w:val="P68B1DB1-TableParagraph14"/>
              <w:spacing w:before="108"/>
              <w:ind w:left="85"/>
              <w:jc w:val="both"/>
              <w:rPr>
                <w:bCs/>
              </w:rPr>
            </w:pPr>
            <w:r>
              <w:t>Taloudellisen toiminnon kuvaus</w:t>
            </w:r>
          </w:p>
          <w:p w14:paraId="7FE1BADB" w14:textId="0F1FA007" w:rsidR="00B81226" w:rsidRDefault="00B82AC2">
            <w:pPr>
              <w:pStyle w:val="P68B1DB1-TableParagraph17"/>
              <w:spacing w:before="108"/>
              <w:ind w:left="85"/>
            </w:pPr>
            <w:r>
              <w:t xml:space="preserve">Jos taloudellinen toiminto on tyyppiä ”Muu” (Z 07.01.2 FUNC 1 LEN r0130–r0150), tästä toiminnosta on annettava kuvaus. </w:t>
            </w:r>
          </w:p>
        </w:tc>
      </w:tr>
      <w:tr w:rsidR="00B81226" w14:paraId="7FE1BAE0" w14:textId="77777777">
        <w:tc>
          <w:tcPr>
            <w:tcW w:w="1080" w:type="dxa"/>
            <w:tcBorders>
              <w:top w:val="single" w:sz="4" w:space="0" w:color="1A171C"/>
              <w:left w:val="nil"/>
              <w:bottom w:val="single" w:sz="4" w:space="0" w:color="1A171C"/>
              <w:right w:val="single" w:sz="4" w:space="0" w:color="1A171C"/>
            </w:tcBorders>
            <w:vAlign w:val="center"/>
          </w:tcPr>
          <w:p w14:paraId="7FE1BADD" w14:textId="77777777" w:rsidR="00B81226" w:rsidRDefault="00B82AC2">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DE" w14:textId="77777777" w:rsidR="00B81226" w:rsidRDefault="00B82AC2">
            <w:pPr>
              <w:pStyle w:val="P68B1DB1-TableParagraph14"/>
              <w:spacing w:before="108"/>
              <w:ind w:left="85"/>
              <w:jc w:val="both"/>
              <w:rPr>
                <w:bCs/>
              </w:rPr>
            </w:pPr>
            <w:r>
              <w:t xml:space="preserve">Markkinaosuus </w:t>
            </w:r>
          </w:p>
          <w:p w14:paraId="7FE1BADF" w14:textId="4B4AE08B" w:rsidR="00B81226" w:rsidRDefault="00B82AC2">
            <w:pPr>
              <w:pStyle w:val="P68B1DB1-TableParagraph17"/>
              <w:spacing w:before="108"/>
              <w:ind w:left="85"/>
            </w:pPr>
            <w:r>
              <w:t>Arvio laitoksen tai konsernin markkinaosuudesta kyseisen taloudellisen toiminnon osalta kussakin maassa tai kullakin taloudellisella alueella. Prosenttiosuutena koko markkinasta arvon mukaan laskettuna.</w:t>
            </w:r>
          </w:p>
        </w:tc>
      </w:tr>
      <w:tr w:rsidR="00B81226" w14:paraId="7FE1BAE5" w14:textId="77777777">
        <w:tc>
          <w:tcPr>
            <w:tcW w:w="1080" w:type="dxa"/>
            <w:tcBorders>
              <w:top w:val="single" w:sz="4" w:space="0" w:color="1A171C"/>
              <w:left w:val="nil"/>
              <w:bottom w:val="single" w:sz="4" w:space="0" w:color="1A171C"/>
              <w:right w:val="single" w:sz="4" w:space="0" w:color="1A171C"/>
            </w:tcBorders>
            <w:vAlign w:val="center"/>
          </w:tcPr>
          <w:p w14:paraId="7FE1BAE1" w14:textId="77777777" w:rsidR="00B81226" w:rsidRDefault="00B82AC2">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E2" w14:textId="77777777" w:rsidR="00B81226" w:rsidRDefault="00B82AC2">
            <w:pPr>
              <w:pStyle w:val="P68B1DB1-TableParagraph14"/>
              <w:spacing w:before="108"/>
              <w:rPr>
                <w:bCs/>
              </w:rPr>
            </w:pPr>
            <w:r>
              <w:t>Luotonannon kokonaisarvo</w:t>
            </w:r>
          </w:p>
          <w:p w14:paraId="7FE1BAE3" w14:textId="77777777" w:rsidR="00B81226" w:rsidRDefault="00B82AC2">
            <w:pPr>
              <w:pStyle w:val="P68B1DB1-TableParagraph17"/>
              <w:spacing w:before="108"/>
            </w:pPr>
            <w:r>
              <w:t>Arvoltaan alentumattomien ja arvoltaan alentuneiden lainojen ja ennakkojen bruttokirjanpitoarvo (kertyneet korot mukaan luettuina).</w:t>
            </w:r>
          </w:p>
          <w:p w14:paraId="7FE1BAE4" w14:textId="77777777" w:rsidR="00B81226" w:rsidRDefault="00B82AC2">
            <w:pPr>
              <w:pStyle w:val="P68B1DB1-TableParagraph17"/>
              <w:spacing w:before="108"/>
            </w:pPr>
            <w:r>
              <w:t>korko). Lainakantaa käytetään arviona odotettavissa olevasta luotonannosta.</w:t>
            </w:r>
          </w:p>
        </w:tc>
      </w:tr>
      <w:tr w:rsidR="00B81226" w14:paraId="7FE1BAEB" w14:textId="77777777">
        <w:tc>
          <w:tcPr>
            <w:tcW w:w="1080" w:type="dxa"/>
            <w:tcBorders>
              <w:top w:val="single" w:sz="4" w:space="0" w:color="1A171C"/>
              <w:left w:val="nil"/>
              <w:bottom w:val="single" w:sz="4" w:space="0" w:color="1A171C"/>
              <w:right w:val="single" w:sz="4" w:space="0" w:color="1A171C"/>
            </w:tcBorders>
            <w:vAlign w:val="center"/>
          </w:tcPr>
          <w:p w14:paraId="7FE1BAE6" w14:textId="77777777" w:rsidR="00B81226" w:rsidRDefault="00B82AC2">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E7" w14:textId="77777777" w:rsidR="00B81226" w:rsidRDefault="00B82AC2">
            <w:pPr>
              <w:pStyle w:val="P68B1DB1-TableParagraph14"/>
              <w:spacing w:before="108"/>
              <w:rPr>
                <w:bCs/>
              </w:rPr>
            </w:pPr>
            <w:r>
              <w:t>Asiakkaiden lukumäärä</w:t>
            </w:r>
          </w:p>
          <w:p w14:paraId="7FE1BAE8" w14:textId="77777777" w:rsidR="00B81226" w:rsidRDefault="00B82AC2">
            <w:pPr>
              <w:pStyle w:val="P68B1DB1-TableParagraph17"/>
              <w:spacing w:before="108"/>
            </w:pPr>
            <w:r>
              <w:t>Niiden asiakkaiden kokonaismäärä, joille on myönnetty sarakkeessa 0030 ”luotonannon kokonaisarvo” ilmoitetut arvot.</w:t>
            </w:r>
          </w:p>
          <w:p w14:paraId="7FE1BAE9" w14:textId="77777777" w:rsidR="00B81226" w:rsidRDefault="00B82AC2">
            <w:pPr>
              <w:pStyle w:val="P68B1DB1-TableParagraph17"/>
              <w:spacing w:before="108"/>
            </w:pPr>
            <w:r>
              <w:t>keskeneräiset”. Jos asiakas käyttää useita lainatuotteita/-tilejä, asiakas lasketaan mukaan vain kerran.</w:t>
            </w:r>
          </w:p>
          <w:p w14:paraId="7FE1BAEA" w14:textId="77777777" w:rsidR="00B81226" w:rsidRDefault="00B82AC2">
            <w:pPr>
              <w:pStyle w:val="P68B1DB1-TableParagraph17"/>
              <w:spacing w:before="108"/>
            </w:pPr>
            <w:r>
              <w:t>vain kerran.</w:t>
            </w:r>
          </w:p>
        </w:tc>
      </w:tr>
      <w:tr w:rsidR="00B81226" w14:paraId="7FE1BAF5" w14:textId="77777777">
        <w:tc>
          <w:tcPr>
            <w:tcW w:w="1080" w:type="dxa"/>
            <w:tcBorders>
              <w:top w:val="single" w:sz="4" w:space="0" w:color="1A171C"/>
              <w:left w:val="nil"/>
              <w:bottom w:val="single" w:sz="4" w:space="0" w:color="1A171C"/>
              <w:right w:val="single" w:sz="4" w:space="0" w:color="1A171C"/>
            </w:tcBorders>
            <w:vAlign w:val="center"/>
          </w:tcPr>
          <w:p w14:paraId="7FE1BAF1" w14:textId="77777777" w:rsidR="00B81226" w:rsidRDefault="00B82AC2">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F2" w14:textId="77777777" w:rsidR="00B81226" w:rsidRDefault="00B82AC2">
            <w:pPr>
              <w:pStyle w:val="P68B1DB1-TableParagraph14"/>
              <w:spacing w:before="108"/>
              <w:ind w:left="85"/>
              <w:jc w:val="both"/>
              <w:rPr>
                <w:bCs/>
              </w:rPr>
            </w:pPr>
            <w:r>
              <w:t>Luotonannon kokonaisarvo – rajatylittävän toiminnan arvo</w:t>
            </w:r>
          </w:p>
          <w:p w14:paraId="7FE1BAF3" w14:textId="5BF86183" w:rsidR="00B81226" w:rsidRDefault="00B82AC2">
            <w:pPr>
              <w:pStyle w:val="P68B1DB1-TableParagraph13"/>
              <w:spacing w:before="108"/>
              <w:ind w:left="85"/>
              <w:jc w:val="both"/>
            </w:pPr>
            <w:r>
              <w:t>Ulkomaisille asiakkaille myönnettyjen lainojen kokonaisarvo (sarake 0030), vrt. ”Rajatylittävien tapahtumien arvo” (sarake 0060 ”Talletukset”).</w:t>
            </w:r>
          </w:p>
          <w:p w14:paraId="7FE1BAF4" w14:textId="77777777" w:rsidR="00B81226" w:rsidRDefault="00B82AC2">
            <w:pPr>
              <w:pStyle w:val="P68B1DB1-TableParagraph13"/>
              <w:spacing w:before="108"/>
              <w:ind w:left="85"/>
              <w:jc w:val="both"/>
              <w:rPr>
                <w:b/>
                <w:bCs/>
              </w:rPr>
            </w:pPr>
            <w:r>
              <w:t>arvo”.</w:t>
            </w:r>
          </w:p>
        </w:tc>
      </w:tr>
      <w:bookmarkEnd w:id="116"/>
      <w:tr w:rsidR="00B81226" w14:paraId="7FE1BB01" w14:textId="77777777">
        <w:tc>
          <w:tcPr>
            <w:tcW w:w="1080" w:type="dxa"/>
            <w:tcBorders>
              <w:top w:val="single" w:sz="4" w:space="0" w:color="1A171C"/>
              <w:left w:val="nil"/>
              <w:bottom w:val="single" w:sz="4" w:space="0" w:color="1A171C"/>
              <w:right w:val="single" w:sz="4" w:space="0" w:color="1A171C"/>
            </w:tcBorders>
            <w:vAlign w:val="center"/>
          </w:tcPr>
          <w:p w14:paraId="7FE1BAF9" w14:textId="14542C41" w:rsidR="00B81226" w:rsidRDefault="00B82AC2">
            <w:pPr>
              <w:pStyle w:val="P68B1DB1-TableParagraph17"/>
              <w:spacing w:before="108"/>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AFA" w14:textId="77777777" w:rsidR="00B81226" w:rsidRDefault="00B82AC2">
            <w:pPr>
              <w:pStyle w:val="P68B1DB1-TableParagraph14"/>
              <w:spacing w:before="108"/>
              <w:jc w:val="both"/>
              <w:rPr>
                <w:bCs/>
              </w:rPr>
            </w:pPr>
            <w:r>
              <w:t>Vaikutus- ja korvattavuusanalyysit</w:t>
            </w:r>
          </w:p>
          <w:p w14:paraId="7FE1BAFB" w14:textId="77777777" w:rsidR="00B81226" w:rsidRDefault="00B82AC2">
            <w:pPr>
              <w:pStyle w:val="P68B1DB1-TableParagraph13"/>
              <w:spacing w:before="108"/>
            </w:pPr>
            <w:r>
              <w:t>Kolmansiin osapuoliin kohdistuvan vaikutuksen arviointikriteereihin on sisällyttävä seuraavat osatekijät kriittisistä toiminnoista annetun komission delegoidun asetuksen (EU) 2016/778 mukaisesti:</w:t>
            </w:r>
          </w:p>
          <w:p w14:paraId="7FE1BAFC" w14:textId="77777777" w:rsidR="00B81226" w:rsidRDefault="00B82AC2">
            <w:pPr>
              <w:pStyle w:val="P68B1DB1-ListParagraph38"/>
              <w:numPr>
                <w:ilvl w:val="0"/>
                <w:numId w:val="131"/>
              </w:numPr>
              <w:spacing w:line="276" w:lineRule="auto"/>
            </w:pPr>
            <w:r>
              <w:t>toiminnan luonne ja laajuus, maailmanlaajuinen, kansallinen tai alueellinen ulottuvuus sekä transaktioiden volyymi ja lukumäärä; asiakkaiden ja vastapuolten lukumäärä; niiden asiakkaiden lukumäärä, joille laitos on ainoa tai pääasiallinen pankkikumppani;</w:t>
            </w:r>
          </w:p>
          <w:p w14:paraId="7FE1BAFD" w14:textId="77777777" w:rsidR="00B81226" w:rsidRDefault="00B82AC2">
            <w:pPr>
              <w:pStyle w:val="P68B1DB1-ListParagraph38"/>
              <w:numPr>
                <w:ilvl w:val="0"/>
                <w:numId w:val="131"/>
              </w:numPr>
              <w:spacing w:line="276" w:lineRule="auto"/>
            </w:pPr>
            <w:r>
              <w:t xml:space="preserve">laitoksen merkitys paikallisella, alueellisella, kansallisella tai Euroopan tasolla asianomaisista markkinoista riippuen. Laitoksen merkitystä voidaan arvioida </w:t>
            </w:r>
            <w:r>
              <w:lastRenderedPageBreak/>
              <w:t>markkinaosuuden, sidosten, monitahoisuuden ja valtioiden rajat ylittävän toiminnan perusteella.</w:t>
            </w:r>
          </w:p>
          <w:p w14:paraId="7FE1BAFE" w14:textId="77777777" w:rsidR="00B81226" w:rsidRDefault="00B82AC2">
            <w:pPr>
              <w:pStyle w:val="P68B1DB1-ListParagraph38"/>
              <w:numPr>
                <w:ilvl w:val="0"/>
                <w:numId w:val="131"/>
              </w:numPr>
              <w:spacing w:line="276" w:lineRule="auto"/>
            </w:pPr>
            <w:r>
              <w:t xml:space="preserve">niiden asiakkaiden ja sidosryhmien luonne, joihin toiminto vaikuttaa, kuten muun muassa vähittäisasiakkaat, yritysasiakkaat, pankkien väliset asiakkaat, keskusvastapuoliyhteisöt ja julkisyhteisöt; </w:t>
            </w:r>
          </w:p>
          <w:p w14:paraId="7FE1BAFF" w14:textId="77777777" w:rsidR="00B81226" w:rsidRDefault="00B82AC2">
            <w:pPr>
              <w:pStyle w:val="P68B1DB1-ListParagraph38"/>
              <w:numPr>
                <w:ilvl w:val="0"/>
                <w:numId w:val="131"/>
              </w:numPr>
              <w:spacing w:line="276" w:lineRule="auto"/>
            </w:pPr>
            <w:r>
              <w:t>toiminnon mahdollisesti aiheuttama häiriö markkinoilla, infrastruktuureissa, asiakkaiden keskuudessa ja julkisissa palveluissa. Arvioinnissa voidaan ottaa huomioon erityisesti vaikutus kyseisten markkinoiden likvidiyteen, asiakasyrityksissä aiheutuneen häiriön vaikutus ja laajuus sekä lyhyen aikavälin likviditeettitarpeet; merkityksellisyys vastapuolten, asiakkaiden ja yleisön kannalta; asiakkaiden reagointikyky ja -nopeus; merkitys muiden markkinoiden toiminnan kannalta; vaikutus muiden markkinoiden likvid</w:t>
            </w:r>
            <w:r>
              <w:t>iyteen, toimintoihin ja rakenteeseen; vaikutus tärkeimpiin asiakkaisiin sidossuhteessa oleviin muihin vastapuoliin ja toiminnon vuorovaikutus muiden palveluiden kanssa.</w:t>
            </w:r>
          </w:p>
          <w:p w14:paraId="7FE1BB00" w14:textId="77777777" w:rsidR="00B81226" w:rsidRDefault="00B81226">
            <w:pPr>
              <w:pStyle w:val="TableParagraph"/>
              <w:spacing w:before="108"/>
              <w:jc w:val="both"/>
              <w:rPr>
                <w:rFonts w:ascii="Times New Roman" w:hAnsi="Times New Roman" w:cs="Times New Roman"/>
                <w:color w:val="000000" w:themeColor="text1"/>
                <w:sz w:val="20"/>
                <w:szCs w:val="20"/>
              </w:rPr>
            </w:pPr>
          </w:p>
        </w:tc>
      </w:tr>
      <w:tr w:rsidR="00B81226" w14:paraId="7FE1BB05" w14:textId="77777777">
        <w:tc>
          <w:tcPr>
            <w:tcW w:w="1080" w:type="dxa"/>
            <w:tcBorders>
              <w:top w:val="single" w:sz="4" w:space="0" w:color="1A171C"/>
              <w:left w:val="nil"/>
              <w:bottom w:val="single" w:sz="4" w:space="0" w:color="1A171C"/>
              <w:right w:val="single" w:sz="4" w:space="0" w:color="1A171C"/>
            </w:tcBorders>
            <w:vAlign w:val="center"/>
          </w:tcPr>
          <w:p w14:paraId="7FE1BB02" w14:textId="36421503" w:rsidR="00B81226" w:rsidRDefault="00B82AC2">
            <w:pPr>
              <w:pStyle w:val="P68B1DB1-TableParagraph17"/>
              <w:spacing w:before="108"/>
              <w:jc w:val="both"/>
            </w:pPr>
            <w:r>
              <w:lastRenderedPageBreak/>
              <w:t>0080–0150</w:t>
            </w:r>
          </w:p>
        </w:tc>
        <w:tc>
          <w:tcPr>
            <w:tcW w:w="8003" w:type="dxa"/>
            <w:tcBorders>
              <w:top w:val="single" w:sz="4" w:space="0" w:color="1A171C"/>
              <w:left w:val="single" w:sz="4" w:space="0" w:color="1A171C"/>
              <w:bottom w:val="single" w:sz="4" w:space="0" w:color="1A171C"/>
              <w:right w:val="nil"/>
            </w:tcBorders>
            <w:vAlign w:val="center"/>
          </w:tcPr>
          <w:p w14:paraId="7FE1BB03" w14:textId="77777777" w:rsidR="00B81226" w:rsidRDefault="00B82AC2">
            <w:pPr>
              <w:pStyle w:val="P68B1DB1-TableParagraph14"/>
              <w:spacing w:before="108"/>
              <w:jc w:val="both"/>
              <w:rPr>
                <w:bCs/>
              </w:rPr>
            </w:pPr>
            <w:r>
              <w:t xml:space="preserve">Luonne ja laajuus </w:t>
            </w:r>
          </w:p>
          <w:p w14:paraId="7FE1BB04" w14:textId="77777777" w:rsidR="00B81226" w:rsidRDefault="00B82AC2">
            <w:pPr>
              <w:pStyle w:val="P68B1DB1-TableParagraph13"/>
              <w:spacing w:before="108"/>
              <w:jc w:val="both"/>
            </w:pPr>
            <w:r>
              <w:t>Maailmanlaajuinen, kansallinen tai alueellinen ulottuvuus sekä transaktioiden volyymi ja lukumäärä; asiakkaiden ja vastapuolten lukumäärä; niiden asiakkaiden lukumäärä, joille laitos on ainoa tai pääasiallinen pankkikumppani;</w:t>
            </w:r>
          </w:p>
        </w:tc>
      </w:tr>
      <w:tr w:rsidR="00B81226" w14:paraId="7FE1BB0C" w14:textId="77777777">
        <w:tc>
          <w:tcPr>
            <w:tcW w:w="1080" w:type="dxa"/>
            <w:tcBorders>
              <w:top w:val="single" w:sz="4" w:space="0" w:color="1A171C"/>
              <w:left w:val="nil"/>
              <w:bottom w:val="single" w:sz="4" w:space="0" w:color="1A171C"/>
              <w:right w:val="single" w:sz="4" w:space="0" w:color="1A171C"/>
            </w:tcBorders>
            <w:vAlign w:val="center"/>
          </w:tcPr>
          <w:p w14:paraId="7FE1BB06" w14:textId="202CD428" w:rsidR="00B81226" w:rsidRDefault="00B82AC2">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B07" w14:textId="77777777" w:rsidR="00B81226" w:rsidRDefault="00B82AC2">
            <w:pPr>
              <w:pStyle w:val="P68B1DB1-TableParagraph14"/>
              <w:spacing w:before="108"/>
              <w:jc w:val="both"/>
              <w:rPr>
                <w:bCs/>
              </w:rPr>
            </w:pPr>
            <w:r>
              <w:t>Kokoindikaattori 1</w:t>
            </w:r>
          </w:p>
          <w:p w14:paraId="50B226E0" w14:textId="77777777" w:rsidR="00B81226" w:rsidRDefault="00B82AC2">
            <w:pPr>
              <w:pStyle w:val="P68B1DB1-Normal31"/>
              <w:spacing w:line="276" w:lineRule="auto"/>
              <w:jc w:val="both"/>
            </w:pPr>
            <w:r>
              <w:t>Arvioi pankin merkitystä näissä toiminnoissa. Tämä arvio ilmaistaan laadullisesti seuraavasti: ”korkea”, ”keskitasoinen”, ”keskitasoinen” tai ”alhainen”. Ilmoitetaan ”High”, jos funktio on suuri, ”keskikokoinen”, jos se on keskitasoinen, ”keskikokoinen”, jos se on pieni, ja ”pieni”, jos se on vähäinen. Tämän laadullisen arvioinnin vertailuarvona käytetään makrotaloudellisia muuttujia, kuten BKT:tä, väestöä (talletukset, luotonanto, maksut, käteisvarat, selvitys- ja säilytyspalvelut) tai markkinoiden kokoa (</w:t>
            </w:r>
            <w:r>
              <w:t xml:space="preserve">pääomamarkkinoiden ja tukkurahoituksen osalta). </w:t>
            </w:r>
          </w:p>
          <w:p w14:paraId="7FE1BB08" w14:textId="658E0B92" w:rsidR="00B81226" w:rsidRDefault="00B81226">
            <w:pPr>
              <w:pStyle w:val="TableParagraph"/>
              <w:spacing w:before="108"/>
              <w:rPr>
                <w:rFonts w:ascii="Times New Roman" w:hAnsi="Times New Roman" w:cs="Times New Roman"/>
                <w:color w:val="000000" w:themeColor="text1"/>
                <w:sz w:val="20"/>
                <w:szCs w:val="20"/>
              </w:rPr>
            </w:pPr>
          </w:p>
          <w:p w14:paraId="7FE1BB09" w14:textId="199C9DE7" w:rsidR="00B81226" w:rsidRDefault="00B82AC2">
            <w:pPr>
              <w:pStyle w:val="P68B1DB1-ListParagraph32"/>
              <w:numPr>
                <w:ilvl w:val="0"/>
                <w:numId w:val="130"/>
              </w:numPr>
              <w:spacing w:line="276" w:lineRule="auto"/>
            </w:pPr>
            <w:r>
              <w:t xml:space="preserve">Asiantuntija-arvio luotonannon arvon koosta (sarake 0030) EU:n näkökulmasta </w:t>
            </w:r>
            <w:r>
              <w:rPr>
                <w:i/>
              </w:rPr>
              <w:t>[yksi taso merkityksellisiä markkinoita korkeammalla].</w:t>
            </w:r>
            <w:r>
              <w:t xml:space="preserve"> Ottakaa tämän kokoindikaattorin arviossa huomioon myös mahdolliset tulevat antolainausvirrat. Voit käyttää nykyistä antolainauskantaa tulevien lainanantovirtojen mittarina, jos katsot, että aiempi toiminta kuvastaa tarkasti suunniteltua lainanantotoimintaa lyhyellä ja keskipitkällä aikavälillä. </w:t>
            </w:r>
          </w:p>
          <w:p w14:paraId="7FE1BB0A" w14:textId="77777777" w:rsidR="00B81226" w:rsidRDefault="00B82AC2">
            <w:pPr>
              <w:pStyle w:val="P68B1DB1-ListParagraph32"/>
              <w:numPr>
                <w:ilvl w:val="1"/>
                <w:numId w:val="127"/>
              </w:numPr>
              <w:spacing w:line="276" w:lineRule="auto"/>
            </w:pPr>
            <w:r>
              <w:t>Kuinka merkittäväksi katsotte myönnettyjen lainojen ja sitoumusten sekä niiden perusteella arvioidun tulevan luotonannon arvon EU:n näkökulmasta tarkasteltuna?</w:t>
            </w:r>
          </w:p>
          <w:p w14:paraId="7FE1BB0B" w14:textId="77777777" w:rsidR="00B81226" w:rsidRDefault="00B81226">
            <w:pPr>
              <w:pStyle w:val="TableParagraph"/>
              <w:spacing w:before="108"/>
              <w:jc w:val="both"/>
              <w:rPr>
                <w:rFonts w:ascii="Times New Roman" w:hAnsi="Times New Roman" w:cs="Times New Roman"/>
                <w:color w:val="000000" w:themeColor="text1"/>
                <w:sz w:val="20"/>
                <w:szCs w:val="20"/>
              </w:rPr>
            </w:pPr>
          </w:p>
        </w:tc>
      </w:tr>
      <w:tr w:rsidR="00B81226" w14:paraId="7FE1BB18" w14:textId="77777777">
        <w:tc>
          <w:tcPr>
            <w:tcW w:w="1080" w:type="dxa"/>
            <w:tcBorders>
              <w:top w:val="single" w:sz="4" w:space="0" w:color="1A171C"/>
              <w:left w:val="nil"/>
              <w:bottom w:val="single" w:sz="4" w:space="0" w:color="1A171C"/>
              <w:right w:val="single" w:sz="4" w:space="0" w:color="1A171C"/>
            </w:tcBorders>
            <w:vAlign w:val="center"/>
          </w:tcPr>
          <w:p w14:paraId="7FE1BB0D" w14:textId="28626F4D" w:rsidR="00B81226" w:rsidRDefault="00B82AC2">
            <w:pPr>
              <w:pStyle w:val="P68B1DB1-TableParagraph17"/>
              <w:spacing w:before="108"/>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B0E" w14:textId="77777777" w:rsidR="00B81226" w:rsidRDefault="00B82AC2">
            <w:pPr>
              <w:pStyle w:val="P68B1DB1-TableParagraph14"/>
              <w:spacing w:before="108"/>
              <w:jc w:val="both"/>
              <w:rPr>
                <w:bCs/>
              </w:rPr>
            </w:pPr>
            <w:r>
              <w:t>Kokoindikaattori 2</w:t>
            </w:r>
          </w:p>
          <w:p w14:paraId="68B7FEDE" w14:textId="77777777" w:rsidR="00B81226" w:rsidRDefault="00B82AC2">
            <w:pPr>
              <w:pStyle w:val="P68B1DB1-Normal31"/>
              <w:spacing w:line="276" w:lineRule="auto"/>
              <w:jc w:val="both"/>
            </w:pPr>
            <w:r>
              <w:t>Arvioi pankin merkitystä näissä toiminnoissa. Tämä arvio ilmaistaan laadullisesti seuraavasti: ”korkea”, ”keskitasoinen”, ”keskitasoinen” tai ”alhainen”. Ilmoitetaan ”High”, jos funktio on suuri, ”keskikokoinen”, jos se on keskitasoinen, ”keskikokoinen”, jos se on pieni, ja ”pieni”, jos se on vähäinen. Tämän laadullisen arvioinnin vertailuarvona käytetään makrotaloudellisia muuttujia, kuten BKT:tä, väestöä (talletukset, luotonanto, maksut, käteisvarat, selvitys- ja säilytyspalvelut) tai markkinoiden kokoa (</w:t>
            </w:r>
            <w:r>
              <w:t xml:space="preserve">pääomamarkkinoiden ja tukkurahoituksen osalta). </w:t>
            </w:r>
          </w:p>
          <w:p w14:paraId="7FE1BB0F" w14:textId="40E27EAB" w:rsidR="00B81226" w:rsidRDefault="00B81226">
            <w:pPr>
              <w:pStyle w:val="TableParagraph"/>
              <w:spacing w:before="108"/>
              <w:rPr>
                <w:rFonts w:ascii="Times New Roman" w:hAnsi="Times New Roman" w:cs="Times New Roman"/>
                <w:color w:val="000000" w:themeColor="text1"/>
                <w:sz w:val="20"/>
                <w:szCs w:val="20"/>
              </w:rPr>
            </w:pPr>
          </w:p>
          <w:p w14:paraId="7FE1BB10" w14:textId="4C225025" w:rsidR="00B81226" w:rsidRDefault="00B82AC2">
            <w:pPr>
              <w:pStyle w:val="P68B1DB1-ListParagraph32"/>
              <w:numPr>
                <w:ilvl w:val="0"/>
                <w:numId w:val="121"/>
              </w:numPr>
              <w:spacing w:line="276" w:lineRule="auto"/>
            </w:pPr>
            <w:r>
              <w:t xml:space="preserve">Asiantuntija-arvio asiakkaiden </w:t>
            </w:r>
            <w:r>
              <w:rPr>
                <w:b/>
              </w:rPr>
              <w:t>määrästä</w:t>
            </w:r>
            <w:r>
              <w:t xml:space="preserve"> (sarake 0040) </w:t>
            </w:r>
            <w:r>
              <w:rPr>
                <w:b/>
              </w:rPr>
              <w:t>kansallisesta</w:t>
            </w:r>
            <w:r>
              <w:t xml:space="preserve"> näkökulmasta </w:t>
            </w:r>
            <w:r>
              <w:rPr>
                <w:i/>
              </w:rPr>
              <w:t>[merkityksellisten markkinoiden tasolla]</w:t>
            </w:r>
            <w:r>
              <w:t>:</w:t>
            </w:r>
          </w:p>
          <w:p w14:paraId="7FE1BB11" w14:textId="77777777" w:rsidR="00B81226" w:rsidRDefault="00B82AC2">
            <w:pPr>
              <w:pStyle w:val="P68B1DB1-ListParagraph32"/>
              <w:numPr>
                <w:ilvl w:val="1"/>
                <w:numId w:val="121"/>
              </w:numPr>
              <w:spacing w:line="276" w:lineRule="auto"/>
            </w:pPr>
            <w:r>
              <w:lastRenderedPageBreak/>
              <w:t>Kuinka merkittäväksi arvioitte laitoksenne asiakasmäärän kansallisesta näkökulmasta tarkasteltuna?</w:t>
            </w:r>
          </w:p>
          <w:p w14:paraId="7FE1BB17" w14:textId="77777777" w:rsidR="00B81226" w:rsidRDefault="00B81226">
            <w:pPr>
              <w:rPr>
                <w:rFonts w:ascii="Times New Roman" w:hAnsi="Times New Roman"/>
                <w:color w:val="000000" w:themeColor="text1"/>
                <w:sz w:val="20"/>
                <w:szCs w:val="20"/>
              </w:rPr>
            </w:pPr>
          </w:p>
        </w:tc>
      </w:tr>
      <w:tr w:rsidR="00B81226" w14:paraId="7FE1BB22" w14:textId="77777777">
        <w:tc>
          <w:tcPr>
            <w:tcW w:w="1080" w:type="dxa"/>
            <w:tcBorders>
              <w:top w:val="single" w:sz="4" w:space="0" w:color="1A171C"/>
              <w:left w:val="nil"/>
              <w:bottom w:val="single" w:sz="4" w:space="0" w:color="1A171C"/>
              <w:right w:val="single" w:sz="4" w:space="0" w:color="1A171C"/>
            </w:tcBorders>
            <w:vAlign w:val="center"/>
          </w:tcPr>
          <w:p w14:paraId="7FE1BB19" w14:textId="68DEE50C" w:rsidR="00B81226" w:rsidRDefault="00B82AC2">
            <w:pPr>
              <w:pStyle w:val="P68B1DB1-TableParagraph17"/>
              <w:spacing w:before="108"/>
              <w:jc w:val="both"/>
            </w:pPr>
            <w:r>
              <w:lastRenderedPageBreak/>
              <w:t>0100</w:t>
            </w:r>
          </w:p>
        </w:tc>
        <w:tc>
          <w:tcPr>
            <w:tcW w:w="8003" w:type="dxa"/>
            <w:tcBorders>
              <w:top w:val="single" w:sz="4" w:space="0" w:color="1A171C"/>
              <w:left w:val="single" w:sz="4" w:space="0" w:color="1A171C"/>
              <w:bottom w:val="single" w:sz="4" w:space="0" w:color="1A171C"/>
              <w:right w:val="nil"/>
            </w:tcBorders>
            <w:vAlign w:val="center"/>
          </w:tcPr>
          <w:p w14:paraId="7FE1BB1A" w14:textId="77777777" w:rsidR="00B81226" w:rsidRDefault="00B82AC2">
            <w:pPr>
              <w:pStyle w:val="P68B1DB1-TableParagraph14"/>
              <w:spacing w:before="108"/>
              <w:jc w:val="both"/>
              <w:rPr>
                <w:bCs/>
              </w:rPr>
            </w:pPr>
            <w:r>
              <w:t>Rajatylittävää toimintaa koskeva indikaattori</w:t>
            </w:r>
          </w:p>
          <w:p w14:paraId="7FE1BB1B" w14:textId="77777777" w:rsidR="00B81226" w:rsidRDefault="00B82AC2">
            <w:pPr>
              <w:pStyle w:val="P68B1DB1-TableParagraph13"/>
              <w:spacing w:before="108"/>
            </w:pPr>
            <w:r>
              <w:t>Arvioida rajat ylittävän toiminnan suhteellista merkitystä eri taloudellisille toiminnoille.</w:t>
            </w:r>
          </w:p>
          <w:p w14:paraId="7FE1BB1C" w14:textId="77777777" w:rsidR="00B81226" w:rsidRDefault="00B82AC2">
            <w:pPr>
              <w:pStyle w:val="P68B1DB1-TableParagraph13"/>
              <w:spacing w:before="108"/>
            </w:pPr>
            <w:r>
              <w:t xml:space="preserve">Tätä ei tarvitse arvioida, jos kyse on raporteista, joissa merkitykselliset markkinat ovat alueelliset. </w:t>
            </w:r>
          </w:p>
          <w:p w14:paraId="7FE1BB1D" w14:textId="77777777" w:rsidR="00B81226" w:rsidRDefault="00B82AC2">
            <w:pPr>
              <w:pStyle w:val="P68B1DB1-TableParagraph33"/>
              <w:spacing w:before="108"/>
              <w:jc w:val="both"/>
            </w:pPr>
            <w:r>
              <w:t xml:space="preserve">Niiden EU:n jäsenvaltioiden lukumäärä, joiden osalta raportoivan yhteisön markkinaosuus on yli 2 % (myönnettyjen lainojen arvon mukaan). Mietintö: </w:t>
            </w:r>
          </w:p>
          <w:p w14:paraId="7FE1BB1E" w14:textId="1382E45D" w:rsidR="00B81226" w:rsidRDefault="00B82AC2">
            <w:pPr>
              <w:pStyle w:val="P68B1DB1-TableParagraph33"/>
              <w:numPr>
                <w:ilvl w:val="0"/>
                <w:numId w:val="282"/>
              </w:numPr>
              <w:spacing w:before="108"/>
              <w:jc w:val="both"/>
            </w:pPr>
            <w:r>
              <w:t xml:space="preserve">≤ 1 maa; </w:t>
            </w:r>
          </w:p>
          <w:p w14:paraId="7FE1BB1F" w14:textId="1384F453" w:rsidR="00B81226" w:rsidRDefault="00B82AC2">
            <w:pPr>
              <w:pStyle w:val="P68B1DB1-TableParagraph33"/>
              <w:numPr>
                <w:ilvl w:val="0"/>
                <w:numId w:val="282"/>
              </w:numPr>
              <w:spacing w:before="108"/>
              <w:jc w:val="both"/>
            </w:pPr>
            <w:r>
              <w:t xml:space="preserve">Kahteen tai kolmeen maahan </w:t>
            </w:r>
          </w:p>
          <w:p w14:paraId="7FE1BB20" w14:textId="2782B087" w:rsidR="00B81226" w:rsidRDefault="00B82AC2">
            <w:pPr>
              <w:pStyle w:val="P68B1DB1-TableParagraph33"/>
              <w:numPr>
                <w:ilvl w:val="0"/>
                <w:numId w:val="282"/>
              </w:numPr>
              <w:spacing w:before="108"/>
              <w:jc w:val="both"/>
            </w:pPr>
            <w:r>
              <w:t xml:space="preserve">4–5 maata, </w:t>
            </w:r>
          </w:p>
          <w:p w14:paraId="7FE1BB21" w14:textId="6E7B19E5" w:rsidR="00B81226" w:rsidRDefault="00B82AC2">
            <w:pPr>
              <w:pStyle w:val="P68B1DB1-TableParagraph33"/>
              <w:numPr>
                <w:ilvl w:val="0"/>
                <w:numId w:val="282"/>
              </w:numPr>
              <w:spacing w:before="108"/>
              <w:jc w:val="both"/>
              <w:rPr>
                <w:rFonts w:cs="Times New Roman"/>
                <w:color w:val="000000" w:themeColor="text1"/>
              </w:rPr>
            </w:pPr>
            <w:r>
              <w:t>&gt; 5 maata.</w:t>
            </w:r>
          </w:p>
        </w:tc>
      </w:tr>
      <w:tr w:rsidR="00B81226" w14:paraId="7FE1BB31" w14:textId="77777777">
        <w:tc>
          <w:tcPr>
            <w:tcW w:w="1080" w:type="dxa"/>
            <w:tcBorders>
              <w:top w:val="single" w:sz="4" w:space="0" w:color="1A171C"/>
              <w:left w:val="nil"/>
              <w:bottom w:val="single" w:sz="4" w:space="0" w:color="1A171C"/>
              <w:right w:val="single" w:sz="4" w:space="0" w:color="1A171C"/>
            </w:tcBorders>
            <w:vAlign w:val="center"/>
          </w:tcPr>
          <w:p w14:paraId="7FE1BB23" w14:textId="4A05DE2B" w:rsidR="00B81226" w:rsidRDefault="00B82AC2">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24" w14:textId="77777777" w:rsidR="00B81226" w:rsidRDefault="00B82AC2">
            <w:pPr>
              <w:pStyle w:val="P68B1DB1-TableParagraph13"/>
              <w:spacing w:before="108"/>
              <w:jc w:val="both"/>
            </w:pPr>
            <w:r>
              <w:rPr>
                <w:b/>
              </w:rPr>
              <w:t xml:space="preserve">Merkityksellisyys </w:t>
            </w:r>
            <w:r>
              <w:t xml:space="preserve">— </w:t>
            </w:r>
          </w:p>
          <w:p w14:paraId="7FE1BB25" w14:textId="77777777" w:rsidR="00B81226" w:rsidRDefault="00B82AC2">
            <w:pPr>
              <w:pStyle w:val="P68B1DB1-TableParagraph13"/>
              <w:spacing w:before="108"/>
              <w:jc w:val="both"/>
            </w:pPr>
            <w:r>
              <w:t>Paikallisella, alueellisella, kansallisella tai Euroopan tasolla asianomaisista markkinoista riippuen. Laitoksen merkitystä voidaan arvioida markkinaosuuden, sidosten, monitahoisuuden ja valtioiden rajat ylittävän toiminnan perusteella.</w:t>
            </w:r>
          </w:p>
          <w:p w14:paraId="7FE1BB26" w14:textId="77777777" w:rsidR="00B81226" w:rsidRDefault="00B82AC2">
            <w:pPr>
              <w:pStyle w:val="P68B1DB1-TableParagraph14"/>
              <w:spacing w:before="108"/>
              <w:jc w:val="both"/>
              <w:rPr>
                <w:bCs/>
              </w:rPr>
            </w:pPr>
            <w:r>
              <w:t>Markkinaosuus</w:t>
            </w:r>
          </w:p>
          <w:p w14:paraId="4A7FDA65" w14:textId="77777777" w:rsidR="00B81226" w:rsidRDefault="00B82AC2">
            <w:pPr>
              <w:pStyle w:val="P68B1DB1-Normal31"/>
              <w:spacing w:line="276" w:lineRule="auto"/>
              <w:jc w:val="both"/>
            </w:pPr>
            <w:r>
              <w:t xml:space="preserve">Arvioitava raportoivan yhteisön markkinaosuuden merkitys verrattuna lomakkeessa ilmoitettuihin kansallisiin tai muihin merkityksellisiin markkinoihin. Tämä arvio ilmaistaan laadullisesti seuraavasti: </w:t>
            </w:r>
          </w:p>
          <w:p w14:paraId="25EA33C7" w14:textId="77777777" w:rsidR="00B81226" w:rsidRDefault="00B82AC2">
            <w:pPr>
              <w:pStyle w:val="P68B1DB1-ListParagraph32"/>
              <w:numPr>
                <w:ilvl w:val="0"/>
                <w:numId w:val="276"/>
              </w:numPr>
              <w:spacing w:line="276" w:lineRule="auto"/>
              <w:jc w:val="both"/>
            </w:pPr>
            <w:r>
              <w:t>Suuri, jos markkinaosuus on suuri</w:t>
            </w:r>
          </w:p>
          <w:p w14:paraId="24D12007" w14:textId="77777777" w:rsidR="00B81226" w:rsidRDefault="00B82AC2">
            <w:pPr>
              <w:pStyle w:val="P68B1DB1-ListParagraph32"/>
              <w:numPr>
                <w:ilvl w:val="0"/>
                <w:numId w:val="276"/>
              </w:numPr>
              <w:spacing w:line="276" w:lineRule="auto"/>
              <w:jc w:val="both"/>
            </w:pPr>
            <w:r>
              <w:t>Keskikorkea, jos markkinaosuus on keskisuuri</w:t>
            </w:r>
          </w:p>
          <w:p w14:paraId="05C67201" w14:textId="77777777" w:rsidR="00B81226" w:rsidRDefault="00B82AC2">
            <w:pPr>
              <w:pStyle w:val="P68B1DB1-ListParagraph32"/>
              <w:numPr>
                <w:ilvl w:val="0"/>
                <w:numId w:val="276"/>
              </w:numPr>
              <w:spacing w:line="276" w:lineRule="auto"/>
              <w:jc w:val="both"/>
            </w:pPr>
            <w:r>
              <w:t xml:space="preserve">Keskisuuri-pieni, jos markkinaosuus on pieni, tai </w:t>
            </w:r>
          </w:p>
          <w:p w14:paraId="29105274" w14:textId="77777777" w:rsidR="00B81226" w:rsidRDefault="00B82AC2">
            <w:pPr>
              <w:pStyle w:val="P68B1DB1-ListParagraph32"/>
              <w:numPr>
                <w:ilvl w:val="0"/>
                <w:numId w:val="276"/>
              </w:numPr>
              <w:spacing w:line="276" w:lineRule="auto"/>
              <w:jc w:val="both"/>
            </w:pPr>
            <w:r>
              <w:t xml:space="preserve">Pieni, jos markkinaosuus on vähäinen. </w:t>
            </w:r>
          </w:p>
          <w:p w14:paraId="7FE1BB2B" w14:textId="586F4387" w:rsidR="00B81226" w:rsidRDefault="00B81226">
            <w:pPr>
              <w:pStyle w:val="ListParagraph"/>
              <w:spacing w:line="276" w:lineRule="auto"/>
              <w:jc w:val="both"/>
              <w:rPr>
                <w:rFonts w:ascii="Times New Roman" w:eastAsiaTheme="minorHAnsi" w:hAnsi="Times New Roman"/>
                <w:color w:val="000000" w:themeColor="text1"/>
                <w:sz w:val="20"/>
                <w:szCs w:val="20"/>
              </w:rPr>
            </w:pPr>
          </w:p>
          <w:p w14:paraId="7FE1BB2C" w14:textId="77777777" w:rsidR="00B81226" w:rsidRDefault="00B82AC2">
            <w:pPr>
              <w:pStyle w:val="P68B1DB1-TableParagraph13"/>
              <w:spacing w:before="108"/>
            </w:pPr>
            <w:r>
              <w:t xml:space="preserve">Arviointi ottaa huomioon raportoivan yhteisön maan (tai muiden merkityksellisten markkinoiden) markkinarakenne ja markkinaosuudet, jotka ilmoitetaan osassa 2. </w:t>
            </w:r>
          </w:p>
          <w:p w14:paraId="7FE1BB2D" w14:textId="77777777" w:rsidR="00B81226" w:rsidRDefault="00B82AC2">
            <w:pPr>
              <w:pStyle w:val="P68B1DB1-TableParagraph13"/>
              <w:spacing w:before="108"/>
            </w:pPr>
            <w:r>
              <w:t>2.Kvantitatiiviset tiedot:</w:t>
            </w:r>
          </w:p>
          <w:p w14:paraId="7FE1BB2E" w14:textId="77777777" w:rsidR="00B81226" w:rsidRDefault="00B82AC2">
            <w:pPr>
              <w:pStyle w:val="P68B1DB1-ListParagraph32"/>
              <w:numPr>
                <w:ilvl w:val="0"/>
                <w:numId w:val="117"/>
              </w:numPr>
              <w:spacing w:line="276" w:lineRule="auto"/>
              <w:jc w:val="both"/>
              <w:rPr>
                <w:i/>
                <w:iCs/>
              </w:rPr>
            </w:pPr>
            <w:r>
              <w:t xml:space="preserve">Asiantuntija-arvio </w:t>
            </w:r>
            <w:r>
              <w:rPr>
                <w:b/>
              </w:rPr>
              <w:t xml:space="preserve">kansallisesta </w:t>
            </w:r>
            <w:r>
              <w:t>markkinaosuudesta (ilmoitettu sarakkeessa 0020, lukuun ottamatta tapauksia, joissa raportti annetaan eri merkityksellisten markkinoiden tasolla, jolloin on tehtävä arviointi merkityksellisten markkinoiden osuudesta)</w:t>
            </w:r>
          </w:p>
          <w:p w14:paraId="7FE1BB2F" w14:textId="77777777" w:rsidR="00B81226" w:rsidRDefault="00B81226">
            <w:pPr>
              <w:pStyle w:val="TableParagraph"/>
              <w:spacing w:before="108"/>
              <w:rPr>
                <w:rFonts w:ascii="Times New Roman" w:hAnsi="Times New Roman" w:cs="Times New Roman"/>
                <w:color w:val="000000" w:themeColor="text1"/>
                <w:sz w:val="20"/>
                <w:szCs w:val="20"/>
              </w:rPr>
            </w:pPr>
          </w:p>
          <w:p w14:paraId="7FE1BB30" w14:textId="77777777" w:rsidR="00B81226" w:rsidRDefault="00B81226">
            <w:pPr>
              <w:pStyle w:val="TableParagraph"/>
              <w:spacing w:before="108"/>
              <w:jc w:val="both"/>
              <w:rPr>
                <w:rFonts w:ascii="Times New Roman" w:hAnsi="Times New Roman" w:cs="Times New Roman"/>
                <w:color w:val="000000" w:themeColor="text1"/>
                <w:sz w:val="20"/>
                <w:szCs w:val="20"/>
              </w:rPr>
            </w:pPr>
          </w:p>
        </w:tc>
      </w:tr>
      <w:tr w:rsidR="00B81226" w14:paraId="7FE1BB3D" w14:textId="77777777">
        <w:tc>
          <w:tcPr>
            <w:tcW w:w="1080" w:type="dxa"/>
            <w:tcBorders>
              <w:top w:val="single" w:sz="4" w:space="0" w:color="1A171C"/>
              <w:left w:val="nil"/>
              <w:bottom w:val="single" w:sz="4" w:space="0" w:color="1A171C"/>
              <w:right w:val="single" w:sz="4" w:space="0" w:color="1A171C"/>
            </w:tcBorders>
            <w:vAlign w:val="center"/>
          </w:tcPr>
          <w:p w14:paraId="7FE1BB32" w14:textId="3F7E8117" w:rsidR="00B81226" w:rsidRDefault="00B82AC2">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B33" w14:textId="77777777" w:rsidR="00B81226" w:rsidRDefault="00B82AC2">
            <w:pPr>
              <w:pStyle w:val="P68B1DB1-TableParagraph14"/>
              <w:spacing w:before="108"/>
              <w:jc w:val="both"/>
              <w:rPr>
                <w:bCs/>
              </w:rPr>
            </w:pPr>
            <w:r>
              <w:t>Markkinoiden rakenne – markkinoiden keskittyminen</w:t>
            </w:r>
          </w:p>
          <w:p w14:paraId="7FE1BB34" w14:textId="77777777" w:rsidR="00B81226" w:rsidRDefault="00B82AC2">
            <w:pPr>
              <w:pStyle w:val="P68B1DB1-TableParagraph13"/>
              <w:spacing w:before="108"/>
            </w:pPr>
            <w:r>
              <w:t xml:space="preserve">Markkinoiden keskittyminen mitattuna markkinoilla tällä hetkellä toimivien kilpailijoiden lukumäärällä </w:t>
            </w:r>
          </w:p>
          <w:p w14:paraId="7FE1BB35" w14:textId="77777777" w:rsidR="00B81226" w:rsidRDefault="00B82AC2">
            <w:pPr>
              <w:pStyle w:val="P68B1DB1-TableParagraph13"/>
              <w:spacing w:before="108"/>
            </w:pPr>
            <w:r>
              <w:t xml:space="preserve">samankaltaiset taloudelliset toiminnot ja/tai vastaavien palvelujen tarjoaminen yhtäläisin ehdoin (eli </w:t>
            </w:r>
          </w:p>
          <w:p w14:paraId="7FE1BB36" w14:textId="77777777" w:rsidR="00B81226" w:rsidRDefault="00B82AC2">
            <w:pPr>
              <w:pStyle w:val="P68B1DB1-TableParagraph13"/>
              <w:spacing w:before="108"/>
            </w:pPr>
            <w:r>
              <w:t xml:space="preserve">määrältään, laadultaan ja kustannuksiltaan vertailukelpoiset), jotka mahdollisesti otetaan haltuun </w:t>
            </w:r>
          </w:p>
          <w:p w14:paraId="7FE1BB37" w14:textId="77777777" w:rsidR="00B81226" w:rsidRDefault="00B82AC2">
            <w:pPr>
              <w:pStyle w:val="P68B1DB1-TableParagraph13"/>
              <w:spacing w:before="108"/>
            </w:pPr>
            <w:r>
              <w:t xml:space="preserve">raportoivan yhteisön (tai sen osan) asiakkaat ja/tai liiketoiminta kohtuullisen ajan kuluessa. </w:t>
            </w:r>
          </w:p>
          <w:p w14:paraId="7FE1BB38" w14:textId="77777777" w:rsidR="00B81226" w:rsidRDefault="00B82AC2">
            <w:pPr>
              <w:pStyle w:val="P68B1DB1-TableParagraph13"/>
              <w:spacing w:before="108"/>
            </w:pPr>
            <w:r>
              <w:t xml:space="preserve">Tämä on ilmoitettava alaluokissa, jotka ovat samat kullekin alatoiminnolle. </w:t>
            </w:r>
          </w:p>
          <w:p w14:paraId="6E06F623" w14:textId="77777777" w:rsidR="00B81226" w:rsidRDefault="00B82AC2">
            <w:pPr>
              <w:pStyle w:val="P68B1DB1-ListParagraph32"/>
              <w:numPr>
                <w:ilvl w:val="0"/>
                <w:numId w:val="277"/>
              </w:numPr>
              <w:jc w:val="both"/>
            </w:pPr>
            <w:r>
              <w:t xml:space="preserve">&gt; 20 kilpailijaa; </w:t>
            </w:r>
          </w:p>
          <w:p w14:paraId="1C1D9521" w14:textId="77777777" w:rsidR="00B81226" w:rsidRDefault="00B82AC2">
            <w:pPr>
              <w:pStyle w:val="P68B1DB1-ListParagraph32"/>
              <w:numPr>
                <w:ilvl w:val="0"/>
                <w:numId w:val="277"/>
              </w:numPr>
              <w:jc w:val="both"/>
            </w:pPr>
            <w:r>
              <w:t xml:space="preserve">11–20 kilpailijaa; </w:t>
            </w:r>
          </w:p>
          <w:p w14:paraId="35EEC292" w14:textId="77777777" w:rsidR="00B81226" w:rsidRDefault="00B82AC2">
            <w:pPr>
              <w:pStyle w:val="P68B1DB1-ListParagraph32"/>
              <w:numPr>
                <w:ilvl w:val="0"/>
                <w:numId w:val="277"/>
              </w:numPr>
              <w:jc w:val="both"/>
            </w:pPr>
            <w:r>
              <w:lastRenderedPageBreak/>
              <w:t xml:space="preserve">5–10 kilpailijaa, </w:t>
            </w:r>
          </w:p>
          <w:p w14:paraId="23AB1BA1" w14:textId="77777777" w:rsidR="00B81226" w:rsidRDefault="00B82AC2">
            <w:pPr>
              <w:pStyle w:val="P68B1DB1-ListParagraph32"/>
              <w:numPr>
                <w:ilvl w:val="0"/>
                <w:numId w:val="277"/>
              </w:numPr>
              <w:jc w:val="both"/>
              <w:rPr>
                <w:b/>
                <w:bCs/>
                <w:color w:val="000000" w:themeColor="text1"/>
              </w:rPr>
            </w:pPr>
            <w:r>
              <w:t>&amp;5 kilpailijaa</w:t>
            </w:r>
          </w:p>
          <w:p w14:paraId="7FE1BB3C" w14:textId="356BF98D" w:rsidR="00B81226" w:rsidRDefault="00B81226">
            <w:pPr>
              <w:jc w:val="both"/>
              <w:rPr>
                <w:rFonts w:ascii="Times New Roman" w:hAnsi="Times New Roman"/>
                <w:color w:val="000000" w:themeColor="text1"/>
                <w:sz w:val="20"/>
                <w:szCs w:val="20"/>
              </w:rPr>
            </w:pPr>
          </w:p>
        </w:tc>
      </w:tr>
      <w:tr w:rsidR="00B81226" w14:paraId="7FE1BB49" w14:textId="77777777">
        <w:tc>
          <w:tcPr>
            <w:tcW w:w="1080" w:type="dxa"/>
            <w:tcBorders>
              <w:top w:val="single" w:sz="4" w:space="0" w:color="1A171C"/>
              <w:left w:val="nil"/>
              <w:bottom w:val="single" w:sz="4" w:space="0" w:color="1A171C"/>
              <w:right w:val="single" w:sz="4" w:space="0" w:color="1A171C"/>
            </w:tcBorders>
            <w:vAlign w:val="center"/>
          </w:tcPr>
          <w:p w14:paraId="7FE1BB3E" w14:textId="0A51607B" w:rsidR="00B81226" w:rsidRDefault="00B82AC2">
            <w:pPr>
              <w:pStyle w:val="P68B1DB1-TableParagraph17"/>
              <w:spacing w:before="108"/>
              <w:jc w:val="both"/>
            </w:pPr>
            <w:r>
              <w:lastRenderedPageBreak/>
              <w:t>0130</w:t>
            </w:r>
          </w:p>
        </w:tc>
        <w:tc>
          <w:tcPr>
            <w:tcW w:w="8003" w:type="dxa"/>
            <w:tcBorders>
              <w:top w:val="single" w:sz="4" w:space="0" w:color="1A171C"/>
              <w:left w:val="single" w:sz="4" w:space="0" w:color="1A171C"/>
              <w:bottom w:val="single" w:sz="4" w:space="0" w:color="1A171C"/>
              <w:right w:val="nil"/>
            </w:tcBorders>
            <w:vAlign w:val="center"/>
          </w:tcPr>
          <w:p w14:paraId="7FE1BB3F" w14:textId="77777777" w:rsidR="00B81226" w:rsidRDefault="00B82AC2">
            <w:pPr>
              <w:pStyle w:val="P68B1DB1-TableParagraph14"/>
              <w:spacing w:before="108"/>
              <w:jc w:val="both"/>
              <w:rPr>
                <w:bCs/>
              </w:rPr>
            </w:pPr>
            <w:r>
              <w:t>Ajoitus – Korvauksen odotettu aika</w:t>
            </w:r>
          </w:p>
          <w:p w14:paraId="7FE1BB40" w14:textId="77777777" w:rsidR="00B81226" w:rsidRDefault="00B82AC2">
            <w:pPr>
              <w:pStyle w:val="P68B1DB1-TableParagraph13"/>
              <w:spacing w:before="108"/>
            </w:pPr>
            <w:r>
              <w:t>Arvioi raportoinnin tarjoaman taloudellisen toiminnon edellyttämä aika</w:t>
            </w:r>
          </w:p>
          <w:p w14:paraId="7FE1BB41" w14:textId="77777777" w:rsidR="00B81226" w:rsidRDefault="00B82AC2">
            <w:pPr>
              <w:pStyle w:val="P68B1DB1-TableParagraph13"/>
              <w:spacing w:before="108"/>
            </w:pPr>
            <w:r>
              <w:t xml:space="preserve">yhteisö, jonka markkinat absorboivat kriisitilanteessa. Määrä sisältää </w:t>
            </w:r>
          </w:p>
          <w:p w14:paraId="7FE1BB42" w14:textId="77777777" w:rsidR="00B81226" w:rsidRDefault="00B82AC2">
            <w:pPr>
              <w:pStyle w:val="P68B1DB1-ListParagraph38"/>
              <w:numPr>
                <w:ilvl w:val="0"/>
                <w:numId w:val="274"/>
              </w:numPr>
              <w:jc w:val="both"/>
            </w:pPr>
            <w:r>
              <w:t xml:space="preserve">aika, jonka yksi tai useampi kilpailija tarvitsee toiminnon toteuttamiseen tarvittavien oikeudellisten ja teknisten toimenpiteiden toteuttamiseen; sekä  </w:t>
            </w:r>
          </w:p>
          <w:p w14:paraId="7FE1BB43" w14:textId="77777777" w:rsidR="00B81226" w:rsidRDefault="00B82AC2">
            <w:pPr>
              <w:pStyle w:val="P68B1DB1-ListParagraph38"/>
              <w:numPr>
                <w:ilvl w:val="0"/>
                <w:numId w:val="274"/>
              </w:numPr>
              <w:jc w:val="both"/>
            </w:pPr>
            <w:r>
              <w:t xml:space="preserve">aika, jonka palvelun käyttäjät tarvitsevat toiseen palveluntarjoajaan siirtymiseen. </w:t>
            </w:r>
          </w:p>
          <w:p w14:paraId="7FE1BB44" w14:textId="77777777" w:rsidR="00B81226" w:rsidRDefault="00B81226">
            <w:pPr>
              <w:pStyle w:val="TableParagraph"/>
              <w:spacing w:before="108"/>
              <w:rPr>
                <w:rFonts w:ascii="Times New Roman" w:hAnsi="Times New Roman" w:cs="Times New Roman"/>
                <w:color w:val="000000" w:themeColor="text1"/>
                <w:sz w:val="20"/>
                <w:szCs w:val="20"/>
              </w:rPr>
            </w:pPr>
          </w:p>
          <w:p w14:paraId="7FE1BB45" w14:textId="77777777" w:rsidR="00B81226" w:rsidRDefault="00B82AC2">
            <w:pPr>
              <w:pStyle w:val="P68B1DB1-TableParagraph13"/>
              <w:spacing w:before="108"/>
            </w:pPr>
            <w:r>
              <w:t xml:space="preserve">Lainoinnissa tämä ei viittaa lainasalkun divestointiin tai siirtämiseen mahdolliselle ostajalle, vaan kotitalouksien, yritysten ja julkisyhteisöjen mahdollisuuteen saada vastaavia lainoja muilta luotonantajilta. </w:t>
            </w:r>
          </w:p>
          <w:p w14:paraId="7FE1BB46" w14:textId="77777777" w:rsidR="00B81226" w:rsidRDefault="00B81226">
            <w:pPr>
              <w:pStyle w:val="TableParagraph"/>
              <w:spacing w:before="108"/>
              <w:rPr>
                <w:rFonts w:ascii="Times New Roman" w:hAnsi="Times New Roman" w:cs="Times New Roman"/>
                <w:color w:val="000000" w:themeColor="text1"/>
                <w:sz w:val="20"/>
                <w:szCs w:val="20"/>
              </w:rPr>
            </w:pPr>
          </w:p>
          <w:p w14:paraId="7FE1BB47" w14:textId="77777777" w:rsidR="00B81226" w:rsidRDefault="00B82AC2">
            <w:pPr>
              <w:pStyle w:val="P68B1DB1-TableParagraph13"/>
              <w:spacing w:before="108"/>
            </w:pPr>
            <w:r>
              <w:t>Edellisen osalta voitte arvioida, kuinka paljon aikaa toinen laitos tarvitsisi voidakaan kattaa laitoksenne liiketoiminnan (tai sen osan) kohtuullisin kustannuksin kriisitilanteessa. Ilmoitetaan arvioitu korvaamisaika lomakkeessa esitetyissä alaluokissa:</w:t>
            </w:r>
          </w:p>
          <w:p w14:paraId="7FE1BB48" w14:textId="77777777" w:rsidR="00B81226" w:rsidRDefault="00B81226">
            <w:pPr>
              <w:pStyle w:val="TableParagraph"/>
              <w:spacing w:before="108"/>
              <w:rPr>
                <w:rFonts w:ascii="Times New Roman" w:hAnsi="Times New Roman" w:cs="Times New Roman"/>
                <w:color w:val="000000" w:themeColor="text1"/>
                <w:sz w:val="20"/>
                <w:szCs w:val="20"/>
              </w:rPr>
            </w:pPr>
          </w:p>
        </w:tc>
      </w:tr>
      <w:tr w:rsidR="00B81226" w14:paraId="7FE1BB4C" w14:textId="77777777">
        <w:tc>
          <w:tcPr>
            <w:tcW w:w="1080" w:type="dxa"/>
            <w:tcBorders>
              <w:top w:val="single" w:sz="4" w:space="0" w:color="1A171C"/>
              <w:left w:val="nil"/>
              <w:bottom w:val="single" w:sz="4" w:space="0" w:color="1A171C"/>
              <w:right w:val="single" w:sz="4" w:space="0" w:color="1A171C"/>
            </w:tcBorders>
            <w:vAlign w:val="center"/>
          </w:tcPr>
          <w:p w14:paraId="7FE1BB4A" w14:textId="623B502D" w:rsidR="00B81226" w:rsidRDefault="00B82AC2">
            <w:pPr>
              <w:pStyle w:val="P68B1DB1-TableParagraph17"/>
              <w:spacing w:before="108"/>
              <w:jc w:val="both"/>
            </w:pPr>
            <w:r>
              <w:t>0140–0150</w:t>
            </w:r>
          </w:p>
        </w:tc>
        <w:tc>
          <w:tcPr>
            <w:tcW w:w="8003" w:type="dxa"/>
            <w:tcBorders>
              <w:top w:val="single" w:sz="4" w:space="0" w:color="1A171C"/>
              <w:left w:val="single" w:sz="4" w:space="0" w:color="1A171C"/>
              <w:bottom w:val="single" w:sz="4" w:space="0" w:color="1A171C"/>
              <w:right w:val="nil"/>
            </w:tcBorders>
            <w:vAlign w:val="center"/>
          </w:tcPr>
          <w:p w14:paraId="7FE1BB4B" w14:textId="77777777" w:rsidR="00B81226" w:rsidRDefault="00B82AC2">
            <w:pPr>
              <w:pStyle w:val="P68B1DB1-TableParagraph14"/>
              <w:spacing w:before="108"/>
              <w:jc w:val="both"/>
              <w:rPr>
                <w:bCs/>
              </w:rPr>
            </w:pPr>
            <w:r>
              <w:t>Korvaamiskyky</w:t>
            </w:r>
          </w:p>
        </w:tc>
      </w:tr>
      <w:tr w:rsidR="00B81226" w14:paraId="7FE1BB56" w14:textId="77777777">
        <w:tc>
          <w:tcPr>
            <w:tcW w:w="1080" w:type="dxa"/>
            <w:tcBorders>
              <w:top w:val="single" w:sz="4" w:space="0" w:color="1A171C"/>
              <w:left w:val="nil"/>
              <w:bottom w:val="single" w:sz="4" w:space="0" w:color="1A171C"/>
              <w:right w:val="single" w:sz="4" w:space="0" w:color="1A171C"/>
            </w:tcBorders>
            <w:vAlign w:val="center"/>
          </w:tcPr>
          <w:p w14:paraId="7FE1BB4D" w14:textId="187FC1D1" w:rsidR="00B81226" w:rsidRDefault="00B82AC2">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4E" w14:textId="77777777" w:rsidR="00B81226" w:rsidRDefault="00B82AC2">
            <w:pPr>
              <w:pStyle w:val="P68B1DB1-TableParagraph14"/>
              <w:spacing w:before="108"/>
              <w:rPr>
                <w:bCs/>
              </w:rPr>
            </w:pPr>
            <w:r>
              <w:t>Markkinoille pääsyä tai laajentumista koskevat lainsäädäntöiset esteet</w:t>
            </w:r>
          </w:p>
          <w:p w14:paraId="7FE1BB4F" w14:textId="77777777" w:rsidR="00B81226" w:rsidRDefault="00B81226">
            <w:pPr>
              <w:pStyle w:val="TableParagraph"/>
              <w:spacing w:before="108"/>
              <w:rPr>
                <w:rFonts w:ascii="Times New Roman" w:hAnsi="Times New Roman" w:cs="Times New Roman"/>
                <w:color w:val="000000" w:themeColor="text1"/>
                <w:sz w:val="20"/>
                <w:szCs w:val="20"/>
              </w:rPr>
            </w:pPr>
          </w:p>
          <w:p w14:paraId="7FE1BB50" w14:textId="77777777" w:rsidR="00B81226" w:rsidRDefault="00B82AC2">
            <w:pPr>
              <w:pStyle w:val="P68B1DB1-TableParagraph13"/>
              <w:spacing w:before="108"/>
            </w:pPr>
            <w:r>
              <w:t xml:space="preserve">Oikeudelliset esteet, jotka estävät kilpailijoita tarjoamasta palvelua. Luottolaitosten liiketoiminnan harjoittamista koskevia oikeudellisia vaatimuksia (esim. pankkitoimilupia tai pääomavaatimuksia) ei pidetä ylitsepääsemättöminä esteinä vaihtoehtoisten palveluntarjoajien läsnäololle. Tämä indikaattori on ilmoitettava alaluokissa, jotka ovat samat kullekin alatoiminnolle: </w:t>
            </w:r>
          </w:p>
          <w:p w14:paraId="7FE1BB51" w14:textId="068F91A0" w:rsidR="00B81226" w:rsidRDefault="00B82AC2">
            <w:pPr>
              <w:pStyle w:val="P68B1DB1-ListParagraph39"/>
              <w:numPr>
                <w:ilvl w:val="0"/>
                <w:numId w:val="275"/>
              </w:numPr>
              <w:jc w:val="both"/>
            </w:pPr>
            <w:r>
              <w:t xml:space="preserve">ei merkittäviä esteitä, </w:t>
            </w:r>
          </w:p>
          <w:p w14:paraId="7FE1BB52" w14:textId="6D8354EB" w:rsidR="00B81226" w:rsidRDefault="00B82AC2">
            <w:pPr>
              <w:pStyle w:val="P68B1DB1-ListParagraph39"/>
              <w:numPr>
                <w:ilvl w:val="0"/>
                <w:numId w:val="275"/>
              </w:numPr>
              <w:jc w:val="both"/>
            </w:pPr>
            <w:r>
              <w:t xml:space="preserve">joitakin esteitä, </w:t>
            </w:r>
          </w:p>
          <w:p w14:paraId="7FE1BB53" w14:textId="1BC21AC5" w:rsidR="00B81226" w:rsidRDefault="00B82AC2">
            <w:pPr>
              <w:pStyle w:val="P68B1DB1-ListParagraph39"/>
              <w:numPr>
                <w:ilvl w:val="0"/>
                <w:numId w:val="275"/>
              </w:numPr>
              <w:jc w:val="both"/>
            </w:pPr>
            <w:r>
              <w:t xml:space="preserve">merkittävät (mutta ylitsepääsemättömät) esteet, </w:t>
            </w:r>
          </w:p>
          <w:p w14:paraId="7FE1BB55" w14:textId="539429F5" w:rsidR="00B81226" w:rsidRDefault="00B82AC2">
            <w:pPr>
              <w:pStyle w:val="P68B1DB1-ListParagraph8"/>
              <w:numPr>
                <w:ilvl w:val="0"/>
                <w:numId w:val="275"/>
              </w:numPr>
              <w:jc w:val="both"/>
            </w:pPr>
            <w:r>
              <w:t>kriittiset esteet (vaikeudet hävittää).</w:t>
            </w:r>
          </w:p>
        </w:tc>
      </w:tr>
      <w:tr w:rsidR="00B81226" w14:paraId="7FE1BB65" w14:textId="77777777">
        <w:tc>
          <w:tcPr>
            <w:tcW w:w="1080" w:type="dxa"/>
            <w:tcBorders>
              <w:top w:val="single" w:sz="4" w:space="0" w:color="1A171C"/>
              <w:left w:val="nil"/>
              <w:bottom w:val="single" w:sz="4" w:space="0" w:color="1A171C"/>
              <w:right w:val="single" w:sz="4" w:space="0" w:color="1A171C"/>
            </w:tcBorders>
            <w:vAlign w:val="center"/>
          </w:tcPr>
          <w:p w14:paraId="7FE1BB57" w14:textId="761A85F3" w:rsidR="00B81226" w:rsidRDefault="00B82AC2">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58" w14:textId="77777777" w:rsidR="00B81226" w:rsidRDefault="00B82AC2">
            <w:pPr>
              <w:pStyle w:val="P68B1DB1-TableParagraph14"/>
              <w:spacing w:before="108"/>
              <w:rPr>
                <w:bCs/>
              </w:rPr>
            </w:pPr>
            <w:r>
              <w:t>Markkinoille pääsyä tai laajentumista koskevat toiminnalliset vaatimukset</w:t>
            </w:r>
          </w:p>
          <w:p w14:paraId="7FE1BB59" w14:textId="77777777" w:rsidR="00B81226" w:rsidRDefault="00B81226">
            <w:pPr>
              <w:pStyle w:val="TableParagraph"/>
              <w:spacing w:before="108"/>
              <w:rPr>
                <w:rFonts w:ascii="Times New Roman" w:hAnsi="Times New Roman" w:cs="Times New Roman"/>
                <w:color w:val="000000" w:themeColor="text1"/>
                <w:sz w:val="20"/>
                <w:szCs w:val="20"/>
              </w:rPr>
            </w:pPr>
          </w:p>
          <w:p w14:paraId="7FE1BB5A" w14:textId="7291B555" w:rsidR="00B81226" w:rsidRDefault="00B82AC2">
            <w:pPr>
              <w:pStyle w:val="P68B1DB1-TableParagraph13"/>
              <w:spacing w:before="108"/>
            </w:pPr>
            <w:r>
              <w:t xml:space="preserve">Organisatoriset, tekniset ja infrastruktuurivaatimukset, joita kilpailijoilla on palvelun tarjoamiseksi. (Ala)toimintoon liittyvien palvelujen tarjoaminen edellyttää, että palveluntarjoajat investoivat (uusiin tai täydentäviin) infrastruktuureihin tai muuttavat organisaatioitaan. Arvioitava markkinoiden kykyä ottaa vastaan tietty liiketoiminta. </w:t>
            </w:r>
          </w:p>
          <w:p w14:paraId="7FE1BB5B" w14:textId="77777777" w:rsidR="00B81226" w:rsidRDefault="00B82AC2">
            <w:pPr>
              <w:pStyle w:val="P68B1DB1-TableParagraph13"/>
              <w:spacing w:before="108"/>
            </w:pPr>
            <w:r>
              <w:t xml:space="preserve">Tämä indikaattori on ilmoitettava alaluokissa, jotka ovat samat kullekin alatoiminnolle: </w:t>
            </w:r>
          </w:p>
          <w:p w14:paraId="7FE1BB5C" w14:textId="7C8E68F5" w:rsidR="00B81226" w:rsidRDefault="00B82AC2">
            <w:pPr>
              <w:pStyle w:val="P68B1DB1-ListParagraph39"/>
              <w:numPr>
                <w:ilvl w:val="0"/>
                <w:numId w:val="278"/>
              </w:numPr>
              <w:jc w:val="both"/>
            </w:pPr>
            <w:r>
              <w:t xml:space="preserve">ei merkittäviä vaatimuksia, </w:t>
            </w:r>
          </w:p>
          <w:p w14:paraId="7FE1BB5D" w14:textId="227F4B1C" w:rsidR="00B81226" w:rsidRDefault="00B82AC2">
            <w:pPr>
              <w:pStyle w:val="P68B1DB1-ListParagraph39"/>
              <w:numPr>
                <w:ilvl w:val="0"/>
                <w:numId w:val="278"/>
              </w:numPr>
              <w:jc w:val="both"/>
            </w:pPr>
            <w:r>
              <w:t xml:space="preserve">joitakin vaatimuksia, </w:t>
            </w:r>
          </w:p>
          <w:p w14:paraId="7FE1BB5E" w14:textId="11C740DB" w:rsidR="00B81226" w:rsidRDefault="00B82AC2">
            <w:pPr>
              <w:pStyle w:val="P68B1DB1-ListParagraph39"/>
              <w:numPr>
                <w:ilvl w:val="0"/>
                <w:numId w:val="278"/>
              </w:numPr>
              <w:jc w:val="both"/>
            </w:pPr>
            <w:r>
              <w:t xml:space="preserve">olennaiset (mutta ylitsepääsemättömät) vaatimukset, </w:t>
            </w:r>
          </w:p>
          <w:p w14:paraId="7FE1BB5F" w14:textId="701458A3" w:rsidR="00B81226" w:rsidRDefault="00B82AC2">
            <w:pPr>
              <w:pStyle w:val="P68B1DB1-ListParagraph39"/>
              <w:numPr>
                <w:ilvl w:val="0"/>
                <w:numId w:val="278"/>
              </w:numPr>
              <w:jc w:val="both"/>
            </w:pPr>
            <w:r>
              <w:t>kriittiset vaatimukset (vaikeudet selviytyä).</w:t>
            </w:r>
          </w:p>
          <w:p w14:paraId="7FE1BB64" w14:textId="7064EEB7" w:rsidR="00B81226" w:rsidRDefault="00B82AC2">
            <w:pPr>
              <w:pStyle w:val="P68B1DB1-TableParagraph40"/>
              <w:spacing w:before="108"/>
              <w:ind w:left="720"/>
              <w:jc w:val="both"/>
              <w:rPr>
                <w:color w:val="000000" w:themeColor="text1"/>
              </w:rPr>
            </w:pPr>
            <w:r>
              <w:t xml:space="preserve"> </w:t>
            </w:r>
          </w:p>
        </w:tc>
      </w:tr>
      <w:tr w:rsidR="00B81226" w14:paraId="7FE1BB68" w14:textId="77777777">
        <w:tc>
          <w:tcPr>
            <w:tcW w:w="1080" w:type="dxa"/>
            <w:tcBorders>
              <w:top w:val="single" w:sz="4" w:space="0" w:color="1A171C"/>
              <w:left w:val="nil"/>
              <w:bottom w:val="single" w:sz="4" w:space="0" w:color="1A171C"/>
              <w:right w:val="single" w:sz="4" w:space="0" w:color="1A171C"/>
            </w:tcBorders>
            <w:vAlign w:val="center"/>
          </w:tcPr>
          <w:p w14:paraId="7FE1BB66" w14:textId="4C88941E" w:rsidR="00B81226" w:rsidRDefault="00B82AC2">
            <w:pPr>
              <w:pStyle w:val="P68B1DB1-TableParagraph17"/>
              <w:spacing w:before="108"/>
              <w:jc w:val="both"/>
            </w:pPr>
            <w:r>
              <w:t>0160–0180</w:t>
            </w:r>
          </w:p>
        </w:tc>
        <w:tc>
          <w:tcPr>
            <w:tcW w:w="8003" w:type="dxa"/>
            <w:tcBorders>
              <w:top w:val="single" w:sz="4" w:space="0" w:color="1A171C"/>
              <w:left w:val="single" w:sz="4" w:space="0" w:color="1A171C"/>
              <w:bottom w:val="single" w:sz="4" w:space="0" w:color="1A171C"/>
              <w:right w:val="nil"/>
            </w:tcBorders>
            <w:vAlign w:val="center"/>
          </w:tcPr>
          <w:p w14:paraId="7FE1BB67" w14:textId="77777777" w:rsidR="00B81226" w:rsidRDefault="00B82AC2">
            <w:pPr>
              <w:pStyle w:val="P68B1DB1-TableParagraph14"/>
              <w:spacing w:before="108"/>
              <w:rPr>
                <w:bCs/>
              </w:rPr>
            </w:pPr>
            <w:r>
              <w:t>Kriittisyysarviointi</w:t>
            </w:r>
          </w:p>
        </w:tc>
      </w:tr>
      <w:tr w:rsidR="00B81226" w14:paraId="7FE1BB6E" w14:textId="77777777">
        <w:tc>
          <w:tcPr>
            <w:tcW w:w="1080" w:type="dxa"/>
            <w:tcBorders>
              <w:top w:val="single" w:sz="4" w:space="0" w:color="1A171C"/>
              <w:left w:val="nil"/>
              <w:bottom w:val="single" w:sz="4" w:space="0" w:color="1A171C"/>
              <w:right w:val="single" w:sz="4" w:space="0" w:color="1A171C"/>
            </w:tcBorders>
            <w:vAlign w:val="center"/>
          </w:tcPr>
          <w:p w14:paraId="7FE1BB69" w14:textId="2EA729ED" w:rsidR="00B81226" w:rsidRDefault="00B82AC2">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6A" w14:textId="77777777" w:rsidR="00B81226" w:rsidRDefault="00B82AC2">
            <w:pPr>
              <w:pStyle w:val="P68B1DB1-TableParagraph14"/>
              <w:spacing w:before="108"/>
              <w:rPr>
                <w:bCs/>
              </w:rPr>
            </w:pPr>
            <w:r>
              <w:t xml:space="preserve">Vaikutus markkinoihin </w:t>
            </w:r>
          </w:p>
          <w:p w14:paraId="7FE1BB6B" w14:textId="77777777" w:rsidR="00B81226" w:rsidRDefault="00B82AC2">
            <w:pPr>
              <w:pStyle w:val="P68B1DB1-TableParagraph13"/>
              <w:spacing w:before="108"/>
            </w:pPr>
            <w:r>
              <w:lastRenderedPageBreak/>
              <w:t>Toiminnon yhtäkkisen keskeytymisen arvioitu vaikutus kolmansiin osapuoliin, rahoitusmarkkinoihin ja reaalitalouteen, kun otetaan huomioon laitoksen koko, markkinaosuus kyseisessä maassa, ulkoiset ja sisäiset sidokset, monitahoisuus ja rajatylittävä toiminta.</w:t>
            </w:r>
          </w:p>
          <w:p w14:paraId="7FE1BB6C" w14:textId="3006E0F1" w:rsidR="00B81226" w:rsidRDefault="00B82AC2">
            <w:pPr>
              <w:pStyle w:val="P68B1DB1-TableParagraph13"/>
              <w:spacing w:before="108"/>
            </w:pPr>
            <w:r>
              <w:t>Tämä arvio ilmaistaan laadullisesti seuraavasti: ”korkea”, ”keskitasoinen”, ”keskitasoinen” tai ”alhainen”.</w:t>
            </w:r>
          </w:p>
          <w:p w14:paraId="7FE1BB6D" w14:textId="091B1AD9" w:rsidR="00B81226" w:rsidRDefault="00B82AC2">
            <w:pPr>
              <w:pStyle w:val="P68B1DB1-TableParagraph13"/>
              <w:spacing w:before="108"/>
            </w:pPr>
            <w:r>
              <w:t>Ilmoitetaan ”High”, jos toiminnon keskeytyminen vaikuttaa hyvin merkittävästi kansallisiin markkinoihin; ”MH”, jos vaikutus on merkittävä; ”Medium-Low”, jos vaikutus on olennainen mutta rajallinen; ja ”Low”, jos vaikutus on vähäinen.</w:t>
            </w:r>
          </w:p>
        </w:tc>
      </w:tr>
      <w:tr w:rsidR="00B81226" w14:paraId="7FE1BB7B" w14:textId="77777777">
        <w:tc>
          <w:tcPr>
            <w:tcW w:w="1080" w:type="dxa"/>
            <w:tcBorders>
              <w:top w:val="single" w:sz="4" w:space="0" w:color="1A171C"/>
              <w:left w:val="nil"/>
              <w:bottom w:val="single" w:sz="4" w:space="0" w:color="1A171C"/>
              <w:right w:val="single" w:sz="4" w:space="0" w:color="1A171C"/>
            </w:tcBorders>
            <w:vAlign w:val="center"/>
          </w:tcPr>
          <w:p w14:paraId="7FE1BB6F" w14:textId="12F05B84" w:rsidR="00B81226" w:rsidRDefault="00B82AC2">
            <w:pPr>
              <w:pStyle w:val="P68B1DB1-TableParagraph17"/>
              <w:spacing w:before="108"/>
              <w:jc w:val="both"/>
            </w:pPr>
            <w:r>
              <w:lastRenderedPageBreak/>
              <w:t>0170</w:t>
            </w:r>
          </w:p>
        </w:tc>
        <w:tc>
          <w:tcPr>
            <w:tcW w:w="8003" w:type="dxa"/>
            <w:tcBorders>
              <w:top w:val="single" w:sz="4" w:space="0" w:color="1A171C"/>
              <w:left w:val="single" w:sz="4" w:space="0" w:color="1A171C"/>
              <w:bottom w:val="single" w:sz="4" w:space="0" w:color="1A171C"/>
              <w:right w:val="nil"/>
            </w:tcBorders>
            <w:vAlign w:val="center"/>
          </w:tcPr>
          <w:p w14:paraId="7FE1BB70" w14:textId="77777777" w:rsidR="00B81226" w:rsidRDefault="00B82AC2">
            <w:pPr>
              <w:pStyle w:val="P68B1DB1-TableParagraph14"/>
              <w:spacing w:before="108"/>
              <w:rPr>
                <w:bCs/>
              </w:rPr>
            </w:pPr>
            <w:r>
              <w:t>Korvattavuus</w:t>
            </w:r>
          </w:p>
          <w:p w14:paraId="7FE1BB71" w14:textId="77777777" w:rsidR="00B81226" w:rsidRDefault="00B82AC2">
            <w:pPr>
              <w:pStyle w:val="P68B1DB1-TableParagraph13"/>
              <w:spacing w:before="108"/>
            </w:pPr>
            <w:r>
              <w:t>Delegoidun asetuksen (EU) 2016/778 6 artiklan 3 kohta.</w:t>
            </w:r>
          </w:p>
          <w:p w14:paraId="7FE1BB72" w14:textId="77777777" w:rsidR="00B81226" w:rsidRDefault="00B82AC2">
            <w:pPr>
              <w:pStyle w:val="P68B1DB1-TableParagraph13"/>
              <w:spacing w:before="108"/>
            </w:pPr>
            <w:r>
              <w:t>Toiminto katsotaan korvattavissa olevaksi, jos se voidaan korvata hyväksyttävällä tavalla ja kohtuullisessa ajassa samalla, kun vältetään järjestelmätason ongelmat reaalitaloudessa ja finanssimarkkinoilla. Seuraavat tekijät on otettava huomioon:</w:t>
            </w:r>
          </w:p>
          <w:p w14:paraId="7FE1BB73" w14:textId="77777777" w:rsidR="00B81226" w:rsidRDefault="00B82AC2">
            <w:pPr>
              <w:pStyle w:val="P68B1DB1-TableParagraph13"/>
              <w:spacing w:before="108"/>
            </w:pPr>
            <w:r>
              <w:t xml:space="preserve">(a) kyseisen toiminnon markkinoiden rakenne ja korvaavien tarjoajien saatavilla olo; </w:t>
            </w:r>
          </w:p>
          <w:p w14:paraId="7FE1BB74" w14:textId="77777777" w:rsidR="00B81226" w:rsidRDefault="00B82AC2">
            <w:pPr>
              <w:pStyle w:val="P68B1DB1-TableParagraph13"/>
              <w:spacing w:before="108"/>
            </w:pPr>
            <w:r>
              <w:t xml:space="preserve">(b) muiden tarjoajien kapasiteettivalmiudet, toiminnon suorittamista koskevat vaatimukset ja mahdolliset markkinoille pääsyn tai toiminnan laajentamisen esteet; </w:t>
            </w:r>
          </w:p>
          <w:p w14:paraId="7FE1BB75" w14:textId="77777777" w:rsidR="00B81226" w:rsidRDefault="00B82AC2">
            <w:pPr>
              <w:pStyle w:val="P68B1DB1-TableParagraph13"/>
              <w:spacing w:before="108"/>
            </w:pPr>
            <w:r>
              <w:t xml:space="preserve">(c) muiden tarjoajien kannustimet alkaa harjoittaa kyseistä toimintaa; </w:t>
            </w:r>
          </w:p>
          <w:p w14:paraId="7FE1BB76" w14:textId="77777777" w:rsidR="00B81226" w:rsidRDefault="00B82AC2">
            <w:pPr>
              <w:pStyle w:val="P68B1DB1-TableParagraph13"/>
              <w:spacing w:before="108"/>
            </w:pPr>
            <w:r>
              <w:t>(d) aika, jonka palvelun käyttäjät tarvitsevat siirtyäkseen uuteen palveluntarjoajaan, ja siirrosta aiheutuvat kustannukset, aika, jonka muut kilpailijat tarvitsevat alkaakseen hoitaa toimintoja, ja se, onko kyseinen aika riittävän pitkä merkittävien häiriöiden ehkäisemiseksi riippuen palvelun tyypistä.</w:t>
            </w:r>
          </w:p>
          <w:p w14:paraId="7FE1BB77" w14:textId="34C328B6" w:rsidR="00B81226" w:rsidRDefault="00B82AC2">
            <w:pPr>
              <w:pStyle w:val="P68B1DB1-TableParagraph13"/>
              <w:spacing w:before="108"/>
            </w:pPr>
            <w:r>
              <w:t xml:space="preserve">Esitettävä kokonaisarvio kunkin toiminnon odotetusta korvattavuuden asteesta ottaen huomioon aiemmin arvioidut eri ulottuvuudet (markkinaosuus, markkinoiden keskittyminen, korvaamisen aika, oikeudelliset esteet ja markkinoille tulon tai laajentumisen toiminnalliset vaatimukset). Tämä arvio ilmaistaan laadullisesti seuraavasti: ”korkea”, ”keskitasoinen”, ”keskitasoinen” tai ”alhainen”. </w:t>
            </w:r>
          </w:p>
          <w:p w14:paraId="7FE1BB78" w14:textId="70240340" w:rsidR="00B81226" w:rsidRDefault="00B82AC2">
            <w:pPr>
              <w:pStyle w:val="P68B1DB1-TableParagraph13"/>
              <w:spacing w:before="108"/>
            </w:pPr>
            <w:r>
              <w:t>Ilmoitetaan ”H”, jos toinen pankki voi helposti tarjota toiminnon vastaavissa olosuhteissa kohtuullisessa ajassa;</w:t>
            </w:r>
          </w:p>
          <w:p w14:paraId="7FE1BB79" w14:textId="3DFD8C4F" w:rsidR="00B81226" w:rsidRDefault="00B82AC2">
            <w:pPr>
              <w:pStyle w:val="P68B1DB1-TableParagraph13"/>
              <w:spacing w:before="108"/>
            </w:pPr>
            <w:r>
              <w:t xml:space="preserve">”L”, jos toimintoa ei voida korvata helposti tai nopeasti; </w:t>
            </w:r>
          </w:p>
          <w:p w14:paraId="7FE1BB7A" w14:textId="4DB7815A" w:rsidR="00B81226" w:rsidRDefault="00B82AC2">
            <w:pPr>
              <w:pStyle w:val="P68B1DB1-TableParagraph13"/>
              <w:spacing w:before="108"/>
            </w:pPr>
            <w:r>
              <w:t>”MH” ja ”ML” välitapauksissa ottaen huomioon eri ulottuvuudet (esim. markkinaosuus, markkinoiden keskittyminen, korvaamiseen kuluva aika sekä maahantulon tai laajentumisen oikeudelliset esteet ja niihin liittyen toimintaa koskevat vaatimukset).</w:t>
            </w:r>
          </w:p>
        </w:tc>
      </w:tr>
      <w:tr w:rsidR="00B81226" w14:paraId="7FE1BB80" w14:textId="77777777">
        <w:tc>
          <w:tcPr>
            <w:tcW w:w="1080" w:type="dxa"/>
            <w:tcBorders>
              <w:top w:val="single" w:sz="4" w:space="0" w:color="1A171C"/>
              <w:left w:val="nil"/>
              <w:bottom w:val="single" w:sz="4" w:space="0" w:color="1A171C"/>
              <w:right w:val="single" w:sz="4" w:space="0" w:color="1A171C"/>
            </w:tcBorders>
            <w:vAlign w:val="center"/>
          </w:tcPr>
          <w:p w14:paraId="7FE1BB7C" w14:textId="42FC8366" w:rsidR="00B81226" w:rsidRDefault="00B82AC2">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B7D" w14:textId="77777777" w:rsidR="00B81226" w:rsidRDefault="00B82AC2">
            <w:pPr>
              <w:pStyle w:val="P68B1DB1-TableParagraph14"/>
              <w:spacing w:before="108"/>
              <w:rPr>
                <w:bCs/>
              </w:rPr>
            </w:pPr>
            <w:r>
              <w:t>Kriittinen toiminto</w:t>
            </w:r>
          </w:p>
          <w:p w14:paraId="7FE1BB7E" w14:textId="77777777" w:rsidR="00B81226" w:rsidRDefault="00B82AC2">
            <w:pPr>
              <w:pStyle w:val="P68B1DB1-TableParagraph13"/>
              <w:spacing w:before="108"/>
            </w:pPr>
            <w:r>
              <w:t>Tässä sarakkeessa ilmoitetaan, katsotaanko taloudellisen toiminnan olevan kyseisen maan markkinoiden kannalta kriittinen, kun otetaan huomioon instituution suorittama vaikutus- ja korvaavuusanalyysi.</w:t>
            </w:r>
          </w:p>
          <w:p w14:paraId="7FE1BB7F" w14:textId="77777777" w:rsidR="00B81226" w:rsidRDefault="00B82AC2">
            <w:pPr>
              <w:pStyle w:val="P68B1DB1-TableParagraph13"/>
              <w:spacing w:before="108"/>
            </w:pPr>
            <w:r>
              <w:t>Ilmoitetaan ”Kyllä” tai ”Ei”.</w:t>
            </w:r>
          </w:p>
        </w:tc>
      </w:tr>
      <w:tr w:rsidR="00B81226" w14:paraId="7FE1BB84" w14:textId="77777777">
        <w:tc>
          <w:tcPr>
            <w:tcW w:w="1080" w:type="dxa"/>
            <w:tcBorders>
              <w:top w:val="single" w:sz="4" w:space="0" w:color="1A171C"/>
              <w:left w:val="nil"/>
              <w:bottom w:val="single" w:sz="4" w:space="0" w:color="1A171C"/>
              <w:right w:val="single" w:sz="4" w:space="0" w:color="1A171C"/>
            </w:tcBorders>
            <w:vAlign w:val="center"/>
          </w:tcPr>
          <w:p w14:paraId="7FE1BB81" w14:textId="6C49AB94" w:rsidR="00B81226" w:rsidRDefault="00B82AC2">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B82" w14:textId="77777777" w:rsidR="00B81226" w:rsidRDefault="00B82AC2">
            <w:pPr>
              <w:pStyle w:val="P68B1DB1-TableParagraph14"/>
              <w:spacing w:before="108"/>
              <w:rPr>
                <w:bCs/>
              </w:rPr>
            </w:pPr>
            <w:r>
              <w:t>Ryhmän huomautukset</w:t>
            </w:r>
          </w:p>
          <w:p w14:paraId="7FE1BB83" w14:textId="77777777" w:rsidR="00B81226" w:rsidRDefault="00B82AC2">
            <w:pPr>
              <w:pStyle w:val="P68B1DB1-TableParagraph13"/>
              <w:spacing w:before="108"/>
            </w:pPr>
            <w:r>
              <w:t>Tässä kentässä raportoiva yhteisö voi selittää kaikki oletukset, joita on käytetty arvioitaessa raportoitujen toimintojen kriittisyyttä.</w:t>
            </w:r>
          </w:p>
        </w:tc>
      </w:tr>
    </w:tbl>
    <w:p w14:paraId="7FE1BB85" w14:textId="77777777" w:rsidR="00B81226" w:rsidRDefault="00B81226">
      <w:pPr>
        <w:rPr>
          <w:rFonts w:ascii="Times New Roman" w:hAnsi="Times New Roman" w:cs="Times New Roman"/>
          <w:color w:val="000000" w:themeColor="text1"/>
          <w:sz w:val="20"/>
          <w:szCs w:val="20"/>
        </w:rPr>
      </w:pPr>
    </w:p>
    <w:p w14:paraId="7FE1BB86" w14:textId="61485090" w:rsidR="00B81226" w:rsidRDefault="00B82AC2">
      <w:pPr>
        <w:pStyle w:val="P68B1DB1-Instructionsberschrift25"/>
        <w:numPr>
          <w:ilvl w:val="1"/>
          <w:numId w:val="49"/>
        </w:numPr>
        <w:ind w:left="357" w:hanging="357"/>
      </w:pPr>
      <w:bookmarkStart w:id="117" w:name="_Toc208245447"/>
      <w:r>
        <w:lastRenderedPageBreak/>
        <w:t>Z 07.01.3 FUNC 1 -PALKKA</w:t>
      </w:r>
      <w:bookmarkEnd w:id="117"/>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B81226" w14:paraId="7FE1BB91"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B8F" w14:textId="77777777" w:rsidR="00B81226" w:rsidRDefault="00B82AC2">
            <w:pPr>
              <w:pStyle w:val="P68B1DB1-TableParagraph17"/>
              <w:spacing w:before="108"/>
              <w:ind w:left="85"/>
              <w:jc w:val="both"/>
            </w:pPr>
            <w:r>
              <w:t>Sarakkeet</w:t>
            </w:r>
          </w:p>
        </w:tc>
        <w:tc>
          <w:tcPr>
            <w:tcW w:w="8003" w:type="dxa"/>
            <w:tcBorders>
              <w:top w:val="single" w:sz="4" w:space="0" w:color="1A171C"/>
              <w:left w:val="single" w:sz="4" w:space="0" w:color="1A171C"/>
              <w:bottom w:val="single" w:sz="4" w:space="0" w:color="1A171C"/>
              <w:right w:val="nil"/>
            </w:tcBorders>
            <w:shd w:val="clear" w:color="auto" w:fill="E4E5E5"/>
          </w:tcPr>
          <w:p w14:paraId="7FE1BB90" w14:textId="77777777" w:rsidR="00B81226" w:rsidRDefault="00B82AC2">
            <w:pPr>
              <w:pStyle w:val="P68B1DB1-TableParagraph17"/>
              <w:spacing w:before="108"/>
              <w:ind w:left="85" w:right="1"/>
              <w:jc w:val="both"/>
            </w:pPr>
            <w:r>
              <w:t>Ohjeet</w:t>
            </w:r>
          </w:p>
        </w:tc>
      </w:tr>
      <w:tr w:rsidR="00B81226" w14:paraId="7FE1BB95" w14:textId="77777777">
        <w:tc>
          <w:tcPr>
            <w:tcW w:w="1080" w:type="dxa"/>
            <w:tcBorders>
              <w:top w:val="single" w:sz="4" w:space="0" w:color="1A171C"/>
              <w:left w:val="nil"/>
              <w:bottom w:val="single" w:sz="4" w:space="0" w:color="1A171C"/>
              <w:right w:val="single" w:sz="4" w:space="0" w:color="1A171C"/>
            </w:tcBorders>
            <w:vAlign w:val="center"/>
          </w:tcPr>
          <w:p w14:paraId="7FE1BB92" w14:textId="77777777" w:rsidR="00B81226" w:rsidRDefault="00B82AC2">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B93" w14:textId="77777777" w:rsidR="00B81226" w:rsidRDefault="00B82AC2">
            <w:pPr>
              <w:pStyle w:val="P68B1DB1-TableParagraph14"/>
              <w:spacing w:before="108"/>
              <w:ind w:left="85"/>
              <w:jc w:val="both"/>
              <w:rPr>
                <w:bCs/>
              </w:rPr>
            </w:pPr>
            <w:r>
              <w:t>Taloudellisen toiminnon kuvaus</w:t>
            </w:r>
          </w:p>
          <w:p w14:paraId="7FE1BB94" w14:textId="56901CA7" w:rsidR="00B81226" w:rsidRDefault="00B82AC2">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Jos taloudellinen toiminto on tyyppiä ”Muu” (Z</w:t>
            </w:r>
            <w:r>
              <w:t>07.01.3 FUNC 1 PAY r0220–r0240),</w:t>
            </w:r>
            <w:r>
              <w:rPr>
                <w:rFonts w:ascii="Times New Roman" w:eastAsia="Cambria" w:hAnsi="Times New Roman" w:cs="Times New Roman"/>
                <w:color w:val="000000" w:themeColor="text1"/>
                <w:sz w:val="20"/>
                <w:szCs w:val="20"/>
              </w:rPr>
              <w:t xml:space="preserve">tästä toiminnosta on annettava kuvaus. </w:t>
            </w:r>
          </w:p>
        </w:tc>
      </w:tr>
      <w:tr w:rsidR="00B81226" w14:paraId="7FE1BB99" w14:textId="77777777">
        <w:tc>
          <w:tcPr>
            <w:tcW w:w="1080" w:type="dxa"/>
            <w:tcBorders>
              <w:top w:val="single" w:sz="4" w:space="0" w:color="1A171C"/>
              <w:left w:val="nil"/>
              <w:bottom w:val="single" w:sz="4" w:space="0" w:color="1A171C"/>
              <w:right w:val="single" w:sz="4" w:space="0" w:color="1A171C"/>
            </w:tcBorders>
            <w:vAlign w:val="center"/>
          </w:tcPr>
          <w:p w14:paraId="7FE1BB96" w14:textId="77777777" w:rsidR="00B81226" w:rsidRDefault="00B82AC2">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B97" w14:textId="77777777" w:rsidR="00B81226" w:rsidRDefault="00B82AC2">
            <w:pPr>
              <w:pStyle w:val="P68B1DB1-TableParagraph14"/>
              <w:spacing w:before="108"/>
              <w:ind w:left="85"/>
              <w:jc w:val="both"/>
              <w:rPr>
                <w:bCs/>
              </w:rPr>
            </w:pPr>
            <w:r>
              <w:t xml:space="preserve">Markkinaosuus </w:t>
            </w:r>
          </w:p>
          <w:p w14:paraId="7FE1BB98" w14:textId="71A825FB" w:rsidR="00B81226" w:rsidRDefault="00B82AC2">
            <w:pPr>
              <w:pStyle w:val="P68B1DB1-TableParagraph17"/>
              <w:spacing w:before="108"/>
              <w:ind w:left="85"/>
            </w:pPr>
            <w:r>
              <w:t>Arvio laitoksen tai konsernin markkinaosuudesta kyseisen taloudellisen toiminnon osalta kussakin maassa tai kullakin taloudellisella alueella. Prosenttiosuutena koko markkinasta rahamääräisesti laskettuna. Tämä vastaa rahalaitoksille ja muille kuin rahalaitoksille tarjottavien maksupalvelujen transaktioiden arvoa, keskusvastapuolten määrityspalvelujen avointen positioiden arvoa ja säilytyspalvelujen kohteena olevien omaisuuserien arvoa.</w:t>
            </w:r>
          </w:p>
        </w:tc>
      </w:tr>
      <w:tr w:rsidR="00B81226" w14:paraId="7FE1BBA5" w14:textId="77777777">
        <w:tc>
          <w:tcPr>
            <w:tcW w:w="1080" w:type="dxa"/>
            <w:tcBorders>
              <w:top w:val="single" w:sz="4" w:space="0" w:color="1A171C"/>
              <w:left w:val="nil"/>
              <w:bottom w:val="single" w:sz="4" w:space="0" w:color="1A171C"/>
              <w:right w:val="single" w:sz="4" w:space="0" w:color="1A171C"/>
            </w:tcBorders>
            <w:vAlign w:val="center"/>
          </w:tcPr>
          <w:p w14:paraId="7FE1BB9A" w14:textId="77777777" w:rsidR="00B81226" w:rsidRDefault="00B82AC2">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B9B" w14:textId="77777777" w:rsidR="00B81226" w:rsidRDefault="00B82AC2">
            <w:pPr>
              <w:pStyle w:val="P68B1DB1-TableParagraph14"/>
              <w:spacing w:before="108"/>
              <w:rPr>
                <w:bCs/>
              </w:rPr>
            </w:pPr>
            <w:r>
              <w:t>Tapahtumien arvo</w:t>
            </w:r>
          </w:p>
          <w:p w14:paraId="7FE1BB9C" w14:textId="77777777" w:rsidR="00B81226" w:rsidRDefault="00B82AC2">
            <w:pPr>
              <w:pStyle w:val="P68B1DB1-TableParagraph17"/>
              <w:spacing w:before="108"/>
            </w:pPr>
            <w:r>
              <w:t>Pääsääntöisesti on ilmoitettava päivittäisten tapahtumien keskiarvo yhden vuoden ajalta. Jos tätä tietoa ei ole saatavilla, voidaan ilmoittaa keskiarvo lyhyemmältä ajanjaksolta (esim. muutamalta kuukaudelta).</w:t>
            </w:r>
          </w:p>
          <w:p w14:paraId="7FE1BB9D" w14:textId="32F9B039" w:rsidR="00B81226" w:rsidRDefault="00B82AC2">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Maksupalvelut (toimintojen tunnukset 3.1 ja 3.2): Lähetettyjen tapahtumien arvo.</w:t>
            </w:r>
            <w:r>
              <w:t xml:space="preserve"> </w:t>
            </w:r>
            <w:r>
              <w:rPr>
                <w:rFonts w:ascii="Times New Roman" w:eastAsia="Cambria" w:hAnsi="Times New Roman" w:cs="Times New Roman"/>
                <w:color w:val="000000" w:themeColor="text1"/>
                <w:sz w:val="20"/>
                <w:szCs w:val="20"/>
              </w:rPr>
              <w:t>Tausta-asiakirjoja: Maksupalveluista sisämarkkinoilla annetun direktiivin (EU) 2015/2366 4 artiklan 5 kohta; Euroopan keskuspankin asetus (EU) 2020/2011 maksutilastoista annetun asetuksen (EU) N:o 1409/2013 muuttamisesta (EKP/2020/59)</w:t>
            </w:r>
          </w:p>
          <w:p w14:paraId="7FE1BB9E" w14:textId="77777777" w:rsidR="00B81226" w:rsidRDefault="00B82AC2">
            <w:pPr>
              <w:pStyle w:val="P68B1DB1-TableParagraph17"/>
              <w:spacing w:before="108"/>
            </w:pPr>
            <w:r>
              <w:t>Käteispalvelut (toiminnon tunnus 3.3): Raportoinnin ATM-tapahtumien arvo pankkiautomaateissa</w:t>
            </w:r>
          </w:p>
          <w:p w14:paraId="7FE1BB9F" w14:textId="34BA0294" w:rsidR="00B81226" w:rsidRDefault="00B82AC2">
            <w:pPr>
              <w:pStyle w:val="P68B1DB1-TableParagraph41"/>
              <w:spacing w:before="108"/>
              <w:rPr>
                <w:rFonts w:ascii="Times New Roman" w:eastAsia="Cambria" w:hAnsi="Times New Roman" w:cs="Times New Roman"/>
                <w:color w:val="000000" w:themeColor="text1"/>
              </w:rPr>
            </w:pPr>
            <w:r>
              <w:rPr>
                <w:rFonts w:ascii="Times New Roman" w:eastAsia="Cambria" w:hAnsi="Times New Roman" w:cs="Times New Roman"/>
                <w:color w:val="000000" w:themeColor="text1"/>
              </w:rPr>
              <w:t>maksutilastoista annetun Euroopan keskuspankin asetuksen (EU) N:o 1409/2013</w:t>
            </w:r>
            <w:r>
              <w:rPr>
                <w:rFonts w:ascii="Times New Roman" w:hAnsi="Times New Roman" w:cs="Times New Roman"/>
                <w:b/>
              </w:rPr>
              <w:t xml:space="preserve"> </w:t>
            </w:r>
            <w:r>
              <w:rPr>
                <w:rFonts w:ascii="Times New Roman" w:eastAsia="Cambria" w:hAnsi="Times New Roman" w:cs="Times New Roman"/>
                <w:color w:val="000000" w:themeColor="text1"/>
              </w:rPr>
              <w:t xml:space="preserve"> (EKP/2013/43) taulukossa 5a määritelty laitos sekä OTC-käteinen</w:t>
            </w:r>
          </w:p>
          <w:p w14:paraId="7FE1BBA0" w14:textId="0D8555C2" w:rsidR="00B81226" w:rsidRDefault="00B82AC2">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EKP/2014/15-</w:t>
            </w:r>
            <w:r>
              <w:rPr>
                <w:rStyle w:val="FootnoteReference"/>
                <w:rFonts w:eastAsia="Cambria" w:cs="Times New Roman"/>
                <w:color w:val="000000" w:themeColor="text1"/>
              </w:rPr>
              <w:footnoteReference w:id="21"/>
            </w:r>
            <w:r>
              <w:rPr>
                <w:rFonts w:ascii="Times New Roman" w:eastAsia="Cambria" w:hAnsi="Times New Roman" w:cs="Times New Roman"/>
                <w:color w:val="000000" w:themeColor="text1"/>
                <w:sz w:val="20"/>
                <w:szCs w:val="20"/>
              </w:rPr>
              <w:t xml:space="preserve"> taulukossa määritellyt nostot raportoivan yhteisön sivuliikkeissä</w:t>
            </w:r>
          </w:p>
          <w:p w14:paraId="7FE1BBA1" w14:textId="77777777" w:rsidR="00B81226" w:rsidRDefault="00B82AC2">
            <w:pPr>
              <w:pStyle w:val="P68B1DB1-TableParagraph17"/>
              <w:spacing w:before="108"/>
            </w:pPr>
            <w:r>
              <w:t>Arvopaperien selvityspalvelut (toiminnon tunnus 3.4): Käsiteltyjen arvopaperisiirtojen arvo</w:t>
            </w:r>
          </w:p>
          <w:p w14:paraId="7FE1BBA2" w14:textId="77777777" w:rsidR="00B81226" w:rsidRDefault="00B82AC2">
            <w:pPr>
              <w:pStyle w:val="P68B1DB1-TableParagraph17"/>
              <w:spacing w:before="108"/>
            </w:pPr>
            <w:r>
              <w:t>asiakkaiden lukuun Tähän sisältyvät liiketoimet, jotka toteutetaan arvopaperitoimituksella.</w:t>
            </w:r>
          </w:p>
          <w:p w14:paraId="7FE1BBA3" w14:textId="77777777" w:rsidR="00B81226" w:rsidRDefault="00B82AC2">
            <w:pPr>
              <w:pStyle w:val="P68B1DB1-TableParagraph17"/>
              <w:spacing w:before="108"/>
            </w:pPr>
            <w:r>
              <w:t>järjestelmä tai raportoivien yhteisöjen sisäisesti suorittama selvitys ja ”maksuton”</w:t>
            </w:r>
          </w:p>
          <w:p w14:paraId="7FE1BBA4" w14:textId="77777777" w:rsidR="00B81226" w:rsidRDefault="00B82AC2">
            <w:pPr>
              <w:pStyle w:val="P68B1DB1-TableParagraph17"/>
              <w:spacing w:before="108"/>
            </w:pPr>
            <w:r>
              <w:t>sovintoratkaisuja. Ilmoittakaa ainoastaan lähetettyjen tapahtumien arvo.</w:t>
            </w:r>
          </w:p>
        </w:tc>
      </w:tr>
      <w:tr w:rsidR="00B81226" w14:paraId="7FE1BBA9" w14:textId="77777777">
        <w:tc>
          <w:tcPr>
            <w:tcW w:w="1080" w:type="dxa"/>
            <w:tcBorders>
              <w:top w:val="single" w:sz="4" w:space="0" w:color="1A171C"/>
              <w:left w:val="nil"/>
              <w:bottom w:val="single" w:sz="4" w:space="0" w:color="1A171C"/>
              <w:right w:val="single" w:sz="4" w:space="0" w:color="1A171C"/>
            </w:tcBorders>
            <w:vAlign w:val="center"/>
          </w:tcPr>
          <w:p w14:paraId="7FE1BBA6" w14:textId="77777777" w:rsidR="00B81226" w:rsidRDefault="00B82AC2">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BA7" w14:textId="77777777" w:rsidR="00B81226" w:rsidRDefault="00B82AC2">
            <w:pPr>
              <w:pStyle w:val="P68B1DB1-TableParagraph14"/>
              <w:spacing w:before="108"/>
              <w:rPr>
                <w:bCs/>
              </w:rPr>
            </w:pPr>
            <w:r>
              <w:t>Toistuvien liiketoimien arvo</w:t>
            </w:r>
          </w:p>
          <w:p w14:paraId="7FE1BBA8" w14:textId="484D97FA" w:rsidR="00B81226" w:rsidRDefault="00B82AC2">
            <w:pPr>
              <w:pStyle w:val="P68B1DB1-TableParagraph17"/>
              <w:spacing w:before="108"/>
            </w:pPr>
            <w:r>
              <w:t>Kohdassa (c0030) ilmoitettujen tapahtumien arvo, josta toistuvalta maksupalvelutililtä suoritettuja.  Toistuvat maksupalvelutilit ovat maksupalvelutilejä, joilla tiliä on veloitettu tai hyvitetty keskimäärin vähintään viidellä kuukausittaisella maksutapahtumalla cut off -päivää edeltäneiden kuuden kuukauden aikana, lukuun ottamatta tiliin liittyviä vuosimaksuja, muita kuluja ja korkomaksuja.</w:t>
            </w:r>
            <w:r>
              <w:tab/>
            </w:r>
            <w:r>
              <w:tab/>
            </w:r>
            <w:r>
              <w:tab/>
            </w:r>
            <w:r>
              <w:tab/>
            </w:r>
            <w:r>
              <w:tab/>
            </w:r>
            <w:r>
              <w:tab/>
            </w:r>
            <w:r>
              <w:tab/>
            </w:r>
            <w:r>
              <w:tab/>
            </w:r>
          </w:p>
        </w:tc>
      </w:tr>
      <w:tr w:rsidR="00B81226" w14:paraId="7FE1BBB1" w14:textId="77777777">
        <w:tc>
          <w:tcPr>
            <w:tcW w:w="1080" w:type="dxa"/>
            <w:tcBorders>
              <w:top w:val="single" w:sz="4" w:space="0" w:color="1A171C"/>
              <w:left w:val="nil"/>
              <w:bottom w:val="single" w:sz="4" w:space="0" w:color="1A171C"/>
              <w:right w:val="single" w:sz="4" w:space="0" w:color="1A171C"/>
            </w:tcBorders>
            <w:vAlign w:val="center"/>
          </w:tcPr>
          <w:p w14:paraId="7FE1BBAA" w14:textId="77777777" w:rsidR="00B81226" w:rsidRDefault="00B82AC2">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BAB" w14:textId="77777777" w:rsidR="00B81226" w:rsidRDefault="00B82AC2">
            <w:pPr>
              <w:pStyle w:val="P68B1DB1-Normal42"/>
              <w:rPr>
                <w:bCs/>
              </w:rPr>
            </w:pPr>
            <w:r>
              <w:t>Avoimien positioiden arvo</w:t>
            </w:r>
          </w:p>
          <w:p w14:paraId="7FE1BBAC" w14:textId="77777777" w:rsidR="00B81226" w:rsidRDefault="00B82AC2">
            <w:pPr>
              <w:pStyle w:val="P68B1DB1-TableParagraph17"/>
              <w:spacing w:before="108"/>
              <w:jc w:val="both"/>
            </w:pPr>
            <w:r>
              <w:t>Ilmoitetaan ainoastaan toiminnosta 3.5 ”keskusvastapuolten määrityspalvelut”: positiot (altistuminen), jotka</w:t>
            </w:r>
          </w:p>
          <w:p w14:paraId="7FE1BBAD" w14:textId="77777777" w:rsidR="00B81226" w:rsidRDefault="00B82AC2">
            <w:pPr>
              <w:pStyle w:val="P68B1DB1-TableParagraph17"/>
              <w:spacing w:before="108"/>
              <w:jc w:val="both"/>
            </w:pPr>
            <w:r>
              <w:t>Keskusvastapuolet, joiden jäsen laitos on, ottavat laitoksen kanssa vastaan sen puolesta</w:t>
            </w:r>
          </w:p>
          <w:p w14:paraId="7FE1BBAE" w14:textId="63CC2224" w:rsidR="00B81226" w:rsidRDefault="00B82AC2">
            <w:pPr>
              <w:pStyle w:val="P68B1DB1-TableParagraph17"/>
              <w:spacing w:before="108"/>
              <w:jc w:val="both"/>
            </w:pPr>
            <w:r>
              <w:t xml:space="preserve">asiakkaat. Ilmoita, mikä on asiakastoimintaan liittyvien avointen positioiden keskimääräinen </w:t>
            </w:r>
            <w:r>
              <w:lastRenderedPageBreak/>
              <w:t>päivittäinen arvo keskusvastapuolessa.</w:t>
            </w:r>
          </w:p>
          <w:p w14:paraId="7FE1BBAF" w14:textId="77777777" w:rsidR="00B81226" w:rsidRDefault="00B82AC2">
            <w:pPr>
              <w:pStyle w:val="P68B1DB1-TableParagraph17"/>
              <w:spacing w:before="108"/>
              <w:jc w:val="both"/>
            </w:pPr>
            <w:r>
              <w:t>Keskusvastapuolet. Jos tätä tietoa ei ole saatavilla, voidaan ilmoittaa keskiarvot lyhyemmältä ajanjaksolta (esim. muutamalta kuukaudelta).</w:t>
            </w:r>
          </w:p>
          <w:p w14:paraId="7FE1BBB0" w14:textId="77777777" w:rsidR="00B81226" w:rsidRDefault="00B82AC2">
            <w:pPr>
              <w:pStyle w:val="P68B1DB1-TableParagraph17"/>
              <w:spacing w:before="108"/>
              <w:jc w:val="both"/>
            </w:pPr>
            <w:r>
              <w:t>tai avoinna olevia positioita vuoden lopussa.</w:t>
            </w:r>
          </w:p>
        </w:tc>
      </w:tr>
      <w:tr w:rsidR="00B81226" w14:paraId="7FE1BBBA" w14:textId="77777777">
        <w:tc>
          <w:tcPr>
            <w:tcW w:w="1080" w:type="dxa"/>
            <w:tcBorders>
              <w:top w:val="single" w:sz="4" w:space="0" w:color="1A171C"/>
              <w:left w:val="nil"/>
              <w:bottom w:val="single" w:sz="4" w:space="0" w:color="1A171C"/>
              <w:right w:val="single" w:sz="4" w:space="0" w:color="1A171C"/>
            </w:tcBorders>
            <w:vAlign w:val="center"/>
          </w:tcPr>
          <w:p w14:paraId="7FE1BBB2" w14:textId="77777777" w:rsidR="00B81226" w:rsidRDefault="00B82AC2">
            <w:pPr>
              <w:pStyle w:val="P68B1DB1-TableParagraph17"/>
              <w:spacing w:before="108"/>
              <w:jc w:val="both"/>
            </w:pPr>
            <w:r>
              <w:lastRenderedPageBreak/>
              <w:t>0060</w:t>
            </w:r>
          </w:p>
        </w:tc>
        <w:tc>
          <w:tcPr>
            <w:tcW w:w="8003" w:type="dxa"/>
            <w:tcBorders>
              <w:top w:val="single" w:sz="4" w:space="0" w:color="1A171C"/>
              <w:left w:val="single" w:sz="4" w:space="0" w:color="1A171C"/>
              <w:bottom w:val="single" w:sz="4" w:space="0" w:color="1A171C"/>
              <w:right w:val="nil"/>
            </w:tcBorders>
            <w:vAlign w:val="center"/>
          </w:tcPr>
          <w:p w14:paraId="7FE1BBB3" w14:textId="77777777" w:rsidR="00B81226" w:rsidRDefault="00B82AC2">
            <w:pPr>
              <w:pStyle w:val="P68B1DB1-Normal42"/>
              <w:rPr>
                <w:bCs/>
              </w:rPr>
            </w:pPr>
            <w:r>
              <w:t>Hoidettavana olevien varojen arvo</w:t>
            </w:r>
          </w:p>
          <w:p w14:paraId="7FE1BBB4" w14:textId="77777777" w:rsidR="00B81226" w:rsidRDefault="00B82AC2">
            <w:pPr>
              <w:pStyle w:val="P68B1DB1-TableParagraph13"/>
              <w:spacing w:before="108"/>
              <w:jc w:val="both"/>
            </w:pPr>
            <w:r>
              <w:t>Ilmoitetaan ainoastaan toiminnosta 3.6 ”Säilytyspalvelut”: säilytyksessä olevien varojen määrä;</w:t>
            </w:r>
          </w:p>
          <w:p w14:paraId="7FE1BBB5" w14:textId="77777777" w:rsidR="00B81226" w:rsidRDefault="00B82AC2">
            <w:pPr>
              <w:pStyle w:val="P68B1DB1-TableParagraph13"/>
              <w:spacing w:before="108"/>
              <w:jc w:val="both"/>
            </w:pPr>
            <w:r>
              <w:t>käypä arvo. Muita arvostusperusteita, myös nimellisarvoa, voidaan käyttää, mikäli käypä arvo ei ole käytettävissä.</w:t>
            </w:r>
          </w:p>
          <w:p w14:paraId="7FE1BBB6" w14:textId="77777777" w:rsidR="00B81226" w:rsidRDefault="00B82AC2">
            <w:pPr>
              <w:pStyle w:val="P68B1DB1-TableParagraph13"/>
              <w:spacing w:before="108"/>
              <w:jc w:val="both"/>
            </w:pPr>
            <w:r>
              <w:t>arvoa ei ole saatavilla. Tapauksissa, joissa laitos tarjoaa palveluja yhteisöille</w:t>
            </w:r>
          </w:p>
          <w:p w14:paraId="7FE1BBB7" w14:textId="77777777" w:rsidR="00B81226" w:rsidRDefault="00B82AC2">
            <w:pPr>
              <w:pStyle w:val="P68B1DB1-TableParagraph13"/>
              <w:spacing w:before="108"/>
              <w:jc w:val="both"/>
            </w:pPr>
            <w:r>
              <w:t>kuten yhteissijoitusyritykset tai eläkerahastot, kyseiset varat voivat</w:t>
            </w:r>
          </w:p>
          <w:p w14:paraId="7FE1BBB8" w14:textId="77777777" w:rsidR="00B81226" w:rsidRDefault="00B82AC2">
            <w:pPr>
              <w:pStyle w:val="P68B1DB1-TableParagraph13"/>
              <w:spacing w:before="108"/>
              <w:jc w:val="both"/>
            </w:pPr>
            <w:r>
              <w:t>ne on esitettävä siinä arvossa, jolla nämä yhteisöt ilmoittavat omaisuuserät omassa taseessaan.</w:t>
            </w:r>
          </w:p>
          <w:p w14:paraId="7FE1BBB9" w14:textId="77777777" w:rsidR="00B81226" w:rsidRDefault="00B82AC2">
            <w:pPr>
              <w:pStyle w:val="P68B1DB1-TableParagraph13"/>
              <w:spacing w:before="108"/>
              <w:jc w:val="both"/>
              <w:rPr>
                <w:b/>
                <w:bCs/>
              </w:rPr>
            </w:pPr>
            <w:r>
              <w:t>Ilmoitettuihin rahamääriin sisällytetään, mikäli mahdollista, kertynyt korko.</w:t>
            </w:r>
          </w:p>
        </w:tc>
      </w:tr>
      <w:tr w:rsidR="00B81226" w14:paraId="7FE1BBBF" w14:textId="77777777">
        <w:tc>
          <w:tcPr>
            <w:tcW w:w="1080" w:type="dxa"/>
            <w:tcBorders>
              <w:top w:val="single" w:sz="4" w:space="0" w:color="1A171C"/>
              <w:left w:val="nil"/>
              <w:bottom w:val="single" w:sz="4" w:space="0" w:color="1A171C"/>
              <w:right w:val="single" w:sz="4" w:space="0" w:color="1A171C"/>
            </w:tcBorders>
            <w:vAlign w:val="center"/>
          </w:tcPr>
          <w:p w14:paraId="7FE1BBBB" w14:textId="77777777" w:rsidR="00B81226" w:rsidRDefault="00B82AC2">
            <w:pPr>
              <w:pStyle w:val="P68B1DB1-TableParagraph17"/>
              <w:spacing w:before="108"/>
              <w:ind w:left="85"/>
              <w:jc w:val="both"/>
            </w:pPr>
            <w:r>
              <w:t>0070–0090</w:t>
            </w:r>
          </w:p>
        </w:tc>
        <w:tc>
          <w:tcPr>
            <w:tcW w:w="8003" w:type="dxa"/>
            <w:tcBorders>
              <w:top w:val="single" w:sz="4" w:space="0" w:color="1A171C"/>
              <w:left w:val="single" w:sz="4" w:space="0" w:color="1A171C"/>
              <w:bottom w:val="single" w:sz="4" w:space="0" w:color="1A171C"/>
              <w:right w:val="nil"/>
            </w:tcBorders>
            <w:vAlign w:val="center"/>
          </w:tcPr>
          <w:p w14:paraId="7FE1BBBC" w14:textId="77777777" w:rsidR="00B81226" w:rsidRDefault="00B82AC2">
            <w:pPr>
              <w:pStyle w:val="P68B1DB1-TableParagraph14"/>
              <w:spacing w:before="108"/>
              <w:ind w:left="85"/>
              <w:jc w:val="both"/>
              <w:rPr>
                <w:bCs/>
              </w:rPr>
            </w:pPr>
            <w:r>
              <w:t>Rajatylittävän toiminnan arvo</w:t>
            </w:r>
          </w:p>
          <w:p w14:paraId="7FE1BBBD" w14:textId="77777777" w:rsidR="00B81226" w:rsidRDefault="00B82AC2">
            <w:pPr>
              <w:pStyle w:val="P68B1DB1-TableParagraph13"/>
              <w:spacing w:before="108"/>
              <w:ind w:left="85"/>
              <w:jc w:val="both"/>
            </w:pPr>
            <w:r>
              <w:t>Lähetettyjen maksutapahtumien osalta kaksinkertaisen laskennan välttämiseksi rajatylittävät liiketoimet ovat seuraavat:</w:t>
            </w:r>
          </w:p>
          <w:p w14:paraId="7FE1BBBE" w14:textId="77777777" w:rsidR="00B81226" w:rsidRDefault="00B82AC2">
            <w:pPr>
              <w:pStyle w:val="P68B1DB1-TableParagraph13"/>
              <w:spacing w:before="108"/>
              <w:ind w:left="85"/>
              <w:jc w:val="both"/>
              <w:rPr>
                <w:b/>
                <w:bCs/>
              </w:rPr>
            </w:pPr>
            <w:r>
              <w:t>lasketaan maassa, josta liiketoimi on peräisin.</w:t>
            </w:r>
          </w:p>
        </w:tc>
      </w:tr>
      <w:tr w:rsidR="00B81226" w14:paraId="7FE1BBC6" w14:textId="77777777">
        <w:tc>
          <w:tcPr>
            <w:tcW w:w="1080" w:type="dxa"/>
            <w:tcBorders>
              <w:top w:val="single" w:sz="4" w:space="0" w:color="1A171C"/>
              <w:left w:val="nil"/>
              <w:bottom w:val="single" w:sz="4" w:space="0" w:color="1A171C"/>
              <w:right w:val="single" w:sz="4" w:space="0" w:color="1A171C"/>
            </w:tcBorders>
            <w:vAlign w:val="center"/>
          </w:tcPr>
          <w:p w14:paraId="7FE1BBC0" w14:textId="77777777" w:rsidR="00B81226" w:rsidRDefault="00B82AC2">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C1" w14:textId="77777777" w:rsidR="00B81226" w:rsidRDefault="00B82AC2">
            <w:pPr>
              <w:pStyle w:val="P68B1DB1-Normal42"/>
              <w:rPr>
                <w:bCs/>
              </w:rPr>
            </w:pPr>
            <w:r>
              <w:t>Transaktioiden lukumäärä</w:t>
            </w:r>
          </w:p>
          <w:p w14:paraId="7FE1BBC2" w14:textId="18871174" w:rsidR="00B81226" w:rsidRDefault="00B82AC2">
            <w:pPr>
              <w:pStyle w:val="P68B1DB1-TableParagraph16"/>
              <w:spacing w:before="108"/>
              <w:jc w:val="both"/>
            </w:pPr>
            <w:r>
              <w:t xml:space="preserve">Pääsääntöisesti on ilmoitettava päivittäisten tapahtumien keskiarvoinen lukumäärä yhden vuoden ajalta.Määrän on vastattava toiminnoissa, joiden tunnukset ovat 3.1–3.4, riveillä 0160–0190 sarakkeessa 0030 ilmoitettuja arvoja. Jos tätä tietoa ei ole saatavilla, voidaan ilmoittaa keskiarvot lyhyemmältä ajanjaksolta (esim. muutamalta kuukaudelta). Eri toiminnoista ilmoitetaan seuraavat: </w:t>
            </w:r>
          </w:p>
          <w:p w14:paraId="7FE1BBC3" w14:textId="77777777" w:rsidR="00B81226" w:rsidRDefault="00B82AC2">
            <w:pPr>
              <w:pStyle w:val="P68B1DB1-TableParagraph16"/>
              <w:spacing w:before="108"/>
              <w:jc w:val="both"/>
            </w:pPr>
            <w:r>
              <w:t xml:space="preserve">Maksupalvelut (toimintojen tunnukset 3.1 ja 3.2): Lähetettyjen tapahtumien lukumäärä. Tausta-asiakirjoja: EU:n direktiivi maksupalveluista sisämarkkinoilla (2015/2366), 4 artiklan 5 kohta; EKP:n asetus maksutilastoista (ECB/2013/43). </w:t>
            </w:r>
          </w:p>
          <w:p w14:paraId="7FE1BBC4" w14:textId="176A1AD0" w:rsidR="00B81226" w:rsidRDefault="00B82AC2">
            <w:pPr>
              <w:pStyle w:val="P68B1DB1-TableParagraph16"/>
              <w:spacing w:before="108"/>
              <w:jc w:val="both"/>
            </w:pPr>
            <w:r>
              <w:t xml:space="preserve">Käteispalvelut (tunnus 3.3): Pankkiautomaattitapahtumien, sellaisena kuin ne määritellään asetuksen EKP/2021/16 taulukossa 5 a, sekä käteisnostojen, sellaisina kuin ne määritellään asetuksen EKP/2014/15 taulukossa 4, lukumäärä. </w:t>
            </w:r>
          </w:p>
          <w:p w14:paraId="7FE1BBC5" w14:textId="77777777" w:rsidR="00B81226" w:rsidRDefault="00B82AC2">
            <w:pPr>
              <w:pStyle w:val="P68B1DB1-TableParagraph16"/>
              <w:spacing w:before="108"/>
              <w:jc w:val="both"/>
              <w:rPr>
                <w:b/>
                <w:bCs/>
                <w:color w:val="000000" w:themeColor="text1"/>
                <w:sz w:val="20"/>
                <w:szCs w:val="20"/>
              </w:rPr>
            </w:pPr>
            <w:r>
              <w:t>Arvopaperien selvitysjärjestelmät (tunnus 3.4): Sellaisten arvopapereiden siirtotapahtumien lukumäärä, jotka käsitellään asiakkaiden lukuun. Tämä kattaa tapahtumat, jotka toimitetaan arvopapereiden selvitysjärjestelmässä tai jotka raportoiva laitos selvittää sisäisesti, ja maksuttomat tapahtumat (FOP).</w:t>
            </w:r>
          </w:p>
        </w:tc>
      </w:tr>
      <w:tr w:rsidR="00B81226" w14:paraId="7FE1BBCA" w14:textId="77777777">
        <w:tc>
          <w:tcPr>
            <w:tcW w:w="1080" w:type="dxa"/>
            <w:tcBorders>
              <w:top w:val="single" w:sz="4" w:space="0" w:color="1A171C"/>
              <w:left w:val="nil"/>
              <w:bottom w:val="single" w:sz="4" w:space="0" w:color="1A171C"/>
              <w:right w:val="single" w:sz="4" w:space="0" w:color="1A171C"/>
            </w:tcBorders>
            <w:vAlign w:val="center"/>
          </w:tcPr>
          <w:p w14:paraId="7FE1BBC7" w14:textId="77777777" w:rsidR="00B81226" w:rsidRDefault="00B82AC2">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C8" w14:textId="77777777" w:rsidR="00B81226" w:rsidRDefault="00B82AC2">
            <w:pPr>
              <w:pStyle w:val="P68B1DB1-TableParagraph14"/>
              <w:spacing w:before="108"/>
              <w:ind w:left="85"/>
              <w:jc w:val="both"/>
              <w:rPr>
                <w:bCs/>
              </w:rPr>
            </w:pPr>
            <w:r>
              <w:t>Asiakkaiden määrä</w:t>
            </w:r>
          </w:p>
          <w:p w14:paraId="7FE1BBC9" w14:textId="5C934B58" w:rsidR="00B81226" w:rsidRDefault="00B82AC2">
            <w:pPr>
              <w:pStyle w:val="P68B1DB1-TableParagraph13"/>
              <w:spacing w:before="108"/>
              <w:ind w:left="85"/>
              <w:jc w:val="both"/>
            </w:pPr>
            <w:r>
              <w:t>Niiden (kotimaisten ja ulkomaisten) asiakkaiden lukumäärä, joille palvelua tarjotaan. Asiakkaat, jotka käyttävät alatoimintoihin kuuluvaa palvelua useammin kuin kerran, lasketaan mukaan vain kerran.</w:t>
            </w:r>
          </w:p>
        </w:tc>
      </w:tr>
      <w:tr w:rsidR="00B81226" w14:paraId="7FE1BBD6" w14:textId="77777777">
        <w:tc>
          <w:tcPr>
            <w:tcW w:w="1080" w:type="dxa"/>
            <w:tcBorders>
              <w:top w:val="single" w:sz="4" w:space="0" w:color="1A171C"/>
              <w:left w:val="nil"/>
              <w:bottom w:val="single" w:sz="4" w:space="0" w:color="1A171C"/>
              <w:right w:val="single" w:sz="4" w:space="0" w:color="1A171C"/>
            </w:tcBorders>
            <w:vAlign w:val="center"/>
          </w:tcPr>
          <w:p w14:paraId="7FE1BBCE" w14:textId="77777777" w:rsidR="00B81226" w:rsidRDefault="00B82AC2">
            <w:pPr>
              <w:pStyle w:val="P68B1DB1-TableParagraph17"/>
              <w:spacing w:before="108"/>
              <w:jc w:val="both"/>
            </w:pPr>
            <w:r>
              <w:t>0120–0190</w:t>
            </w:r>
          </w:p>
        </w:tc>
        <w:tc>
          <w:tcPr>
            <w:tcW w:w="8003" w:type="dxa"/>
            <w:tcBorders>
              <w:top w:val="single" w:sz="4" w:space="0" w:color="1A171C"/>
              <w:left w:val="single" w:sz="4" w:space="0" w:color="1A171C"/>
              <w:bottom w:val="single" w:sz="4" w:space="0" w:color="1A171C"/>
              <w:right w:val="nil"/>
            </w:tcBorders>
            <w:vAlign w:val="center"/>
          </w:tcPr>
          <w:p w14:paraId="7FE1BBCF" w14:textId="77777777" w:rsidR="00B81226" w:rsidRDefault="00B82AC2">
            <w:pPr>
              <w:pStyle w:val="P68B1DB1-TableParagraph14"/>
              <w:spacing w:before="108"/>
              <w:jc w:val="both"/>
              <w:rPr>
                <w:bCs/>
              </w:rPr>
            </w:pPr>
            <w:r>
              <w:t>Vaikutus- ja korvattavuusanalyysit</w:t>
            </w:r>
          </w:p>
          <w:p w14:paraId="7FE1BBD0" w14:textId="77777777" w:rsidR="00B81226" w:rsidRDefault="00B82AC2">
            <w:pPr>
              <w:pStyle w:val="P68B1DB1-TableParagraph13"/>
              <w:spacing w:before="108"/>
              <w:jc w:val="both"/>
            </w:pPr>
            <w:r>
              <w:t>Kolmansiin osapuoliin kohdistuvan vaikutuksen arviointikriteereihin on sisällyttävä seuraavat osatekijät kriittisistä toiminnoista annetun komission delegoidun asetuksen (EU) 2016/778 mukaisesti:</w:t>
            </w:r>
          </w:p>
          <w:p w14:paraId="7FE1BBD1" w14:textId="77777777" w:rsidR="00B81226" w:rsidRDefault="00B82AC2">
            <w:pPr>
              <w:pStyle w:val="P68B1DB1-ListParagraph38"/>
              <w:numPr>
                <w:ilvl w:val="0"/>
                <w:numId w:val="131"/>
              </w:numPr>
              <w:spacing w:line="276" w:lineRule="auto"/>
            </w:pPr>
            <w:r>
              <w:t>toiminnan luonne ja laajuus, maailmanlaajuinen, kansallinen tai alueellinen ulottuvuus sekä transaktioiden volyymi ja lukumäärä; asiakkaiden ja vastapuolten lukumäärä; niiden asiakkaiden lukumäärä, joille laitos on ainoa tai pääasiallinen pankkikumppani;</w:t>
            </w:r>
          </w:p>
          <w:p w14:paraId="7FE1BBD2" w14:textId="77777777" w:rsidR="00B81226" w:rsidRDefault="00B82AC2">
            <w:pPr>
              <w:pStyle w:val="P68B1DB1-ListParagraph38"/>
              <w:numPr>
                <w:ilvl w:val="0"/>
                <w:numId w:val="131"/>
              </w:numPr>
              <w:spacing w:line="276" w:lineRule="auto"/>
            </w:pPr>
            <w:r>
              <w:lastRenderedPageBreak/>
              <w:t>laitoksen merkitys paikallisella, alueellisella, kansallisella tai Euroopan tasolla asianomaisista markkinoista riippuen. Laitoksen merkitystä voidaan arvioida markkinaosuuden, sidosten, monitahoisuuden ja valtioiden rajat ylittävän toiminnan perusteella.</w:t>
            </w:r>
          </w:p>
          <w:p w14:paraId="7FE1BBD3" w14:textId="77777777" w:rsidR="00B81226" w:rsidRDefault="00B82AC2">
            <w:pPr>
              <w:pStyle w:val="P68B1DB1-ListParagraph38"/>
              <w:numPr>
                <w:ilvl w:val="0"/>
                <w:numId w:val="131"/>
              </w:numPr>
              <w:spacing w:line="276" w:lineRule="auto"/>
            </w:pPr>
            <w:r>
              <w:t xml:space="preserve">niiden asiakkaiden ja sidosryhmien luonne, joihin toiminto vaikuttaa, kuten muun muassa vähittäisasiakkaat, yritysasiakkaat, pankkien väliset asiakkaat, keskusvastapuoliyhteisöt ja julkisyhteisöt; </w:t>
            </w:r>
          </w:p>
          <w:p w14:paraId="7FE1BBD4" w14:textId="77777777" w:rsidR="00B81226" w:rsidRDefault="00B82AC2">
            <w:pPr>
              <w:pStyle w:val="P68B1DB1-ListParagraph38"/>
              <w:numPr>
                <w:ilvl w:val="0"/>
                <w:numId w:val="131"/>
              </w:numPr>
              <w:spacing w:line="276" w:lineRule="auto"/>
            </w:pPr>
            <w:r>
              <w:t>toiminnon mahdollisesti aiheuttama häiriö markkinoilla, infrastruktuureissa, asiakkaiden keskuudessa ja julkisissa palveluissa. Arvioinnissa voidaan ottaa huomioon erityisesti vaikutus kyseisten markkinoiden likvidiyteen, asiakasyrityksissä aiheutuneen häiriön vaikutus ja laajuus sekä lyhyen aikavälin likviditeettitarpeet; merkityksellisyys vastapuolten, asiakkaiden ja yleisön kannalta; asiakkaiden reagointikyky ja -nopeus; merkitys muiden markkinoiden toiminnan kannalta; vaikutus muiden markkinoiden likvid</w:t>
            </w:r>
            <w:r>
              <w:t>iyteen, toimintoihin ja rakenteeseen; vaikutus tärkeimpiin asiakkaisiin sidossuhteessa oleviin muihin vastapuoliin ja toiminnon vuorovaikutus muiden palveluiden kanssa.</w:t>
            </w:r>
          </w:p>
          <w:p w14:paraId="7FE1BBD5" w14:textId="77777777" w:rsidR="00B81226" w:rsidRDefault="00B81226">
            <w:pPr>
              <w:pStyle w:val="TableParagraph"/>
              <w:spacing w:before="108"/>
              <w:jc w:val="both"/>
              <w:rPr>
                <w:rFonts w:ascii="Times New Roman" w:hAnsi="Times New Roman" w:cs="Times New Roman"/>
                <w:color w:val="000000" w:themeColor="text1"/>
                <w:sz w:val="20"/>
                <w:szCs w:val="20"/>
              </w:rPr>
            </w:pPr>
          </w:p>
        </w:tc>
      </w:tr>
      <w:tr w:rsidR="00B81226" w14:paraId="7FE1BBDA" w14:textId="77777777">
        <w:tc>
          <w:tcPr>
            <w:tcW w:w="1080" w:type="dxa"/>
            <w:tcBorders>
              <w:top w:val="single" w:sz="4" w:space="0" w:color="1A171C"/>
              <w:left w:val="nil"/>
              <w:bottom w:val="single" w:sz="4" w:space="0" w:color="1A171C"/>
              <w:right w:val="single" w:sz="4" w:space="0" w:color="1A171C"/>
            </w:tcBorders>
            <w:vAlign w:val="center"/>
          </w:tcPr>
          <w:p w14:paraId="7FE1BBD7" w14:textId="77777777" w:rsidR="00B81226" w:rsidRDefault="00B82AC2">
            <w:pPr>
              <w:pStyle w:val="P68B1DB1-TableParagraph17"/>
              <w:spacing w:before="108"/>
              <w:jc w:val="both"/>
            </w:pPr>
            <w:r>
              <w:lastRenderedPageBreak/>
              <w:t>0120–0140</w:t>
            </w:r>
          </w:p>
        </w:tc>
        <w:tc>
          <w:tcPr>
            <w:tcW w:w="8003" w:type="dxa"/>
            <w:tcBorders>
              <w:top w:val="single" w:sz="4" w:space="0" w:color="1A171C"/>
              <w:left w:val="single" w:sz="4" w:space="0" w:color="1A171C"/>
              <w:bottom w:val="single" w:sz="4" w:space="0" w:color="1A171C"/>
              <w:right w:val="nil"/>
            </w:tcBorders>
            <w:vAlign w:val="center"/>
          </w:tcPr>
          <w:p w14:paraId="7FE1BBD8" w14:textId="77777777" w:rsidR="00B81226" w:rsidRDefault="00B82AC2">
            <w:pPr>
              <w:pStyle w:val="P68B1DB1-TableParagraph14"/>
              <w:spacing w:before="108"/>
              <w:jc w:val="both"/>
              <w:rPr>
                <w:bCs/>
              </w:rPr>
            </w:pPr>
            <w:r>
              <w:t xml:space="preserve">Luonne ja laajuus </w:t>
            </w:r>
          </w:p>
          <w:p w14:paraId="7FE1BBD9" w14:textId="77777777" w:rsidR="00B81226" w:rsidRDefault="00B82AC2">
            <w:pPr>
              <w:pStyle w:val="P68B1DB1-TableParagraph13"/>
              <w:spacing w:before="108"/>
              <w:jc w:val="both"/>
            </w:pPr>
            <w:r>
              <w:t>Maailmanlaajuinen, kansallinen tai alueellinen ulottuvuus sekä transaktioiden volyymi ja lukumäärä; asiakkaiden ja vastapuolten lukumäärä; niiden asiakkaiden lukumäärä, joille laitos on ainoa tai pääasiallinen pankkikumppani;</w:t>
            </w:r>
          </w:p>
        </w:tc>
      </w:tr>
      <w:tr w:rsidR="00B81226" w14:paraId="7FE1BBE0" w14:textId="77777777">
        <w:tc>
          <w:tcPr>
            <w:tcW w:w="1080" w:type="dxa"/>
            <w:tcBorders>
              <w:top w:val="single" w:sz="4" w:space="0" w:color="1A171C"/>
              <w:left w:val="nil"/>
              <w:bottom w:val="single" w:sz="4" w:space="0" w:color="1A171C"/>
              <w:right w:val="single" w:sz="4" w:space="0" w:color="1A171C"/>
            </w:tcBorders>
            <w:vAlign w:val="center"/>
          </w:tcPr>
          <w:p w14:paraId="7FE1BBDB" w14:textId="77777777" w:rsidR="00B81226" w:rsidRDefault="00B82AC2">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BDC" w14:textId="77777777" w:rsidR="00B81226" w:rsidRDefault="00B82AC2">
            <w:pPr>
              <w:pStyle w:val="P68B1DB1-TableParagraph14"/>
              <w:spacing w:before="108"/>
              <w:jc w:val="both"/>
              <w:rPr>
                <w:bCs/>
              </w:rPr>
            </w:pPr>
            <w:r>
              <w:t>Kokoindikaattori 1</w:t>
            </w:r>
          </w:p>
          <w:p w14:paraId="0D530995" w14:textId="77777777" w:rsidR="00B81226" w:rsidRDefault="00B82AC2">
            <w:pPr>
              <w:pStyle w:val="P68B1DB1-Normal31"/>
              <w:spacing w:line="276" w:lineRule="auto"/>
              <w:jc w:val="both"/>
            </w:pPr>
            <w:r>
              <w:t>Arvioi pankin merkitystä näissä toiminnoissa. Tämä arvio ilmaistaan laadullisesti seuraavasti: ”korkea”, ”keskitasoinen”, ”keskitasoinen” tai ”alhainen”. Ilmoitetaan ”High”, jos funktio on suuri, ”keskikokoinen”, jos se on keskitasoinen, ”keskikokoinen”, jos se on pieni, ja ”pieni”, jos se on vähäinen. Tämän laadullisen arvioinnin vertailuarvona käytetään makrotaloudellisia muuttujia, kuten BKT:tä, väestöä (talletukset, luotonanto, maksut, käteisvarat, selvitys- ja säilytyspalvelut) tai markkinoiden kokoa (</w:t>
            </w:r>
            <w:r>
              <w:t xml:space="preserve">pääomamarkkinoiden ja tukkurahoituksen osalta). </w:t>
            </w:r>
          </w:p>
          <w:p w14:paraId="7FE1BBDD" w14:textId="31D8226E" w:rsidR="00B81226" w:rsidRDefault="00B81226">
            <w:pPr>
              <w:pStyle w:val="TableParagraph"/>
              <w:spacing w:before="108"/>
              <w:jc w:val="both"/>
              <w:rPr>
                <w:rFonts w:ascii="Times New Roman" w:hAnsi="Times New Roman" w:cs="Times New Roman"/>
                <w:color w:val="000000" w:themeColor="text1"/>
                <w:sz w:val="20"/>
                <w:szCs w:val="20"/>
              </w:rPr>
            </w:pPr>
          </w:p>
          <w:p w14:paraId="7FE1BBDE" w14:textId="19F9153D" w:rsidR="00B81226" w:rsidRDefault="00B82AC2">
            <w:pPr>
              <w:pStyle w:val="P68B1DB1-ListParagraph32"/>
              <w:numPr>
                <w:ilvl w:val="0"/>
                <w:numId w:val="300"/>
              </w:numPr>
              <w:spacing w:line="276" w:lineRule="auto"/>
            </w:pPr>
            <w:r>
              <w:t xml:space="preserve">Asiantuntija-arvio tapahtumien </w:t>
            </w:r>
            <w:r>
              <w:rPr>
                <w:b/>
              </w:rPr>
              <w:t>arvon</w:t>
            </w:r>
            <w:r>
              <w:t xml:space="preserve"> suuruudesta (sarakkeessa 0030 toiminnoissa 3.1, 3.2, 3.3 ja 3.4) avoimet positiot (tunnus 3.5 s. 50); tai säilytettävien varojen kokonaismäärä (s. 0060, tunniste 3.6) </w:t>
            </w:r>
            <w:r>
              <w:rPr>
                <w:b/>
              </w:rPr>
              <w:t>EU:n</w:t>
            </w:r>
            <w:r>
              <w:t xml:space="preserve"> näkökulmasta [</w:t>
            </w:r>
            <w:r>
              <w:rPr>
                <w:i/>
              </w:rPr>
              <w:t>yksi taso korkeampi kuin relevantit markkinat]</w:t>
            </w:r>
            <w:r>
              <w:t xml:space="preserve">: </w:t>
            </w:r>
          </w:p>
          <w:p w14:paraId="7FE1BBDF" w14:textId="77777777" w:rsidR="00B81226" w:rsidRDefault="00B82AC2">
            <w:pPr>
              <w:pStyle w:val="P68B1DB1-ListParagraph32"/>
              <w:numPr>
                <w:ilvl w:val="0"/>
                <w:numId w:val="126"/>
              </w:numPr>
              <w:spacing w:line="276" w:lineRule="auto"/>
            </w:pPr>
            <w:r>
              <w:t xml:space="preserve">Kuinka merkittäväksi arvioitte pankkinne käsittelemien tapahtumien arvon </w:t>
            </w:r>
            <w:r>
              <w:rPr>
                <w:i/>
              </w:rPr>
              <w:t>tai</w:t>
            </w:r>
            <w:r>
              <w:t xml:space="preserve"> asiakkaisiinne liittyvien avointen positioiden arvon keskusvastapuolessa </w:t>
            </w:r>
            <w:r>
              <w:rPr>
                <w:i/>
              </w:rPr>
              <w:t>tai</w:t>
            </w:r>
            <w:r>
              <w:t xml:space="preserve"> asiakkaidenne lukuun säilytettyjen varojen kokonaisarvon EU:n näkökulmasta tarkasteltuna?</w:t>
            </w:r>
          </w:p>
        </w:tc>
      </w:tr>
      <w:tr w:rsidR="00B81226" w14:paraId="7FE1BBE7" w14:textId="77777777">
        <w:tc>
          <w:tcPr>
            <w:tcW w:w="1080" w:type="dxa"/>
            <w:tcBorders>
              <w:top w:val="single" w:sz="4" w:space="0" w:color="1A171C"/>
              <w:left w:val="nil"/>
              <w:bottom w:val="single" w:sz="4" w:space="0" w:color="1A171C"/>
              <w:right w:val="single" w:sz="4" w:space="0" w:color="1A171C"/>
            </w:tcBorders>
            <w:vAlign w:val="center"/>
          </w:tcPr>
          <w:p w14:paraId="7FE1BBE1" w14:textId="77777777" w:rsidR="00B81226" w:rsidRDefault="00B82AC2">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BE2" w14:textId="77777777" w:rsidR="00B81226" w:rsidRDefault="00B82AC2">
            <w:pPr>
              <w:pStyle w:val="P68B1DB1-TableParagraph14"/>
              <w:spacing w:before="108"/>
              <w:jc w:val="both"/>
              <w:rPr>
                <w:bCs/>
              </w:rPr>
            </w:pPr>
            <w:r>
              <w:t>Kokoindikaattori 2</w:t>
            </w:r>
          </w:p>
          <w:p w14:paraId="7D6A05E9" w14:textId="77777777" w:rsidR="00B81226" w:rsidRDefault="00B82AC2">
            <w:pPr>
              <w:pStyle w:val="P68B1DB1-Normal31"/>
              <w:spacing w:line="276" w:lineRule="auto"/>
              <w:jc w:val="both"/>
            </w:pPr>
            <w:r>
              <w:t>Arvioi pankin merkitystä näissä toiminnoissa. Tämä arvio ilmaistaan laadullisesti seuraavasti: ”korkea”, ”keskitasoinen”, ”keskitasoinen” tai ”alhainen”. Ilmoitetaan ”High”, jos funktio on suuri, ”keskikokoinen”, jos se on keskitasoinen, ”keskikokoinen”, jos se on pieni, ja ”pieni”, jos se on vähäinen. Tämän laadullisen arvioinnin vertailuarvona käytetään makrotaloudellisia muuttujia, kuten BKT:tä, väestöä (talletukset, luotonanto, maksut, käteisvarat, selvitys- ja säilytyspalvelut) tai markkinoiden kokoa (</w:t>
            </w:r>
            <w:r>
              <w:t xml:space="preserve">pääomamarkkinoiden ja tukkurahoituksen osalta). </w:t>
            </w:r>
          </w:p>
          <w:p w14:paraId="7FE1BBE3" w14:textId="27BCCC99" w:rsidR="00B81226" w:rsidRDefault="00B82AC2">
            <w:pPr>
              <w:pStyle w:val="P68B1DB1-TableParagraph13"/>
              <w:spacing w:before="108"/>
              <w:jc w:val="both"/>
            </w:pPr>
            <w:r>
              <w:t xml:space="preserve"> </w:t>
            </w:r>
          </w:p>
          <w:p w14:paraId="7FE1BBE4" w14:textId="0FB26117" w:rsidR="00B81226" w:rsidRDefault="00B82AC2">
            <w:pPr>
              <w:pStyle w:val="P68B1DB1-ListParagraph32"/>
              <w:numPr>
                <w:ilvl w:val="0"/>
                <w:numId w:val="120"/>
              </w:numPr>
              <w:spacing w:line="276" w:lineRule="auto"/>
            </w:pPr>
            <w:r>
              <w:lastRenderedPageBreak/>
              <w:t xml:space="preserve">Asiantuntija-arvio tapahtumien </w:t>
            </w:r>
            <w:r>
              <w:rPr>
                <w:b/>
              </w:rPr>
              <w:t>lukumäärästä</w:t>
            </w:r>
            <w:r>
              <w:t xml:space="preserve"> (sarakkeessa 0100 toimintojen tunnukset 3.1, 3.2, 3.3 ja 3.4) tai asiakkaiden lukumäärä (sarakkeessa 0110 tunnisteiden 3.5 ja 3.6 osalta) </w:t>
            </w:r>
            <w:r>
              <w:rPr>
                <w:b/>
              </w:rPr>
              <w:t>kansallisesta</w:t>
            </w:r>
            <w:r>
              <w:t xml:space="preserve"> näkökulmasta [</w:t>
            </w:r>
            <w:r>
              <w:rPr>
                <w:i/>
              </w:rPr>
              <w:t>asianomaisten markkinoiden tasolla</w:t>
            </w:r>
            <w:r>
              <w:t>]:</w:t>
            </w:r>
          </w:p>
          <w:p w14:paraId="7FE1BBE5" w14:textId="77777777" w:rsidR="00B81226" w:rsidRDefault="00B82AC2">
            <w:pPr>
              <w:pStyle w:val="P68B1DB1-ListParagraph32"/>
              <w:numPr>
                <w:ilvl w:val="1"/>
                <w:numId w:val="124"/>
              </w:numPr>
              <w:spacing w:line="276" w:lineRule="auto"/>
            </w:pPr>
            <w:r>
              <w:t>Kuinka merkittäväksi arvioitte laitoksenne tapahtumien</w:t>
            </w:r>
            <w:r>
              <w:rPr>
                <w:i/>
              </w:rPr>
              <w:t xml:space="preserve"> tai</w:t>
            </w:r>
            <w:r>
              <w:t xml:space="preserve"> asiakkaiden kokonaismäärän kansallisesta näkökulmasta tarkasteltuna?</w:t>
            </w:r>
          </w:p>
          <w:p w14:paraId="7FE1BBE6" w14:textId="77777777" w:rsidR="00B81226" w:rsidRDefault="00B81226">
            <w:pPr>
              <w:spacing w:line="276" w:lineRule="auto"/>
              <w:rPr>
                <w:rFonts w:ascii="Times New Roman" w:hAnsi="Times New Roman"/>
                <w:color w:val="000000" w:themeColor="text1"/>
                <w:sz w:val="20"/>
                <w:szCs w:val="20"/>
              </w:rPr>
            </w:pPr>
          </w:p>
        </w:tc>
      </w:tr>
      <w:tr w:rsidR="00B81226" w14:paraId="7FE1BBEE" w14:textId="77777777">
        <w:tc>
          <w:tcPr>
            <w:tcW w:w="1080" w:type="dxa"/>
            <w:tcBorders>
              <w:top w:val="single" w:sz="4" w:space="0" w:color="1A171C"/>
              <w:left w:val="nil"/>
              <w:bottom w:val="single" w:sz="4" w:space="0" w:color="1A171C"/>
              <w:right w:val="single" w:sz="4" w:space="0" w:color="1A171C"/>
            </w:tcBorders>
            <w:vAlign w:val="center"/>
          </w:tcPr>
          <w:p w14:paraId="7FE1BBE8" w14:textId="77777777" w:rsidR="00B81226" w:rsidRDefault="00B82AC2">
            <w:pPr>
              <w:pStyle w:val="P68B1DB1-TableParagraph17"/>
              <w:spacing w:before="108"/>
              <w:jc w:val="both"/>
            </w:pPr>
            <w:r>
              <w:lastRenderedPageBreak/>
              <w:t>0140</w:t>
            </w:r>
          </w:p>
        </w:tc>
        <w:tc>
          <w:tcPr>
            <w:tcW w:w="8003" w:type="dxa"/>
            <w:tcBorders>
              <w:top w:val="single" w:sz="4" w:space="0" w:color="1A171C"/>
              <w:left w:val="single" w:sz="4" w:space="0" w:color="1A171C"/>
              <w:bottom w:val="single" w:sz="4" w:space="0" w:color="1A171C"/>
              <w:right w:val="nil"/>
            </w:tcBorders>
            <w:vAlign w:val="center"/>
          </w:tcPr>
          <w:p w14:paraId="7FE1BBE9" w14:textId="77777777" w:rsidR="00B81226" w:rsidRDefault="00B82AC2">
            <w:pPr>
              <w:pStyle w:val="P68B1DB1-TableParagraph14"/>
              <w:spacing w:before="108"/>
              <w:jc w:val="both"/>
              <w:rPr>
                <w:bCs/>
              </w:rPr>
            </w:pPr>
            <w:r>
              <w:t>Rajatylittävää toimintaa koskeva indikaattori</w:t>
            </w:r>
          </w:p>
          <w:p w14:paraId="7FE1BBEA" w14:textId="77777777" w:rsidR="00B81226" w:rsidRDefault="00B82AC2">
            <w:pPr>
              <w:pStyle w:val="P68B1DB1-TableParagraph13"/>
              <w:spacing w:before="108"/>
              <w:jc w:val="both"/>
            </w:pPr>
            <w:r>
              <w:t>Arvioida rajat ylittävän toiminnan suhteellista merkitystä eri taloudellisille toiminnoille.</w:t>
            </w:r>
          </w:p>
          <w:p w14:paraId="7FE1BBEB" w14:textId="77777777" w:rsidR="00B81226" w:rsidRDefault="00B82AC2">
            <w:pPr>
              <w:pStyle w:val="P68B1DB1-TableParagraph13"/>
              <w:spacing w:before="108"/>
              <w:jc w:val="both"/>
            </w:pPr>
            <w:r>
              <w:t xml:space="preserve">Tätä ei tarvitse arvioida, jos kyse on raporteista, joissa merkitykselliset markkinat ovat alueelliset. </w:t>
            </w:r>
          </w:p>
          <w:p w14:paraId="31893031" w14:textId="17F40C8B" w:rsidR="00B81226" w:rsidRDefault="00B82AC2">
            <w:pPr>
              <w:pStyle w:val="P68B1DB1-TableParagraph33"/>
              <w:spacing w:before="108"/>
              <w:jc w:val="both"/>
            </w:pPr>
            <w:r>
              <w:t xml:space="preserve">Sellaisten EU:n jäsenvaltioiden lukumäärä, joiden osalta raportoivan yhteisön markkinaosuus on yli 2 % (maksutapahtumien, arvopaperitransaktioiden tai käteistapahtumien arvon tai asiakkaisiin liittyvien avointen positioiden arvon keskusvastapuolessa tai säilytyksessä olevien varojen kokonaismäärän mukaan). Mietintö: </w:t>
            </w:r>
          </w:p>
          <w:p w14:paraId="58BCAA6E" w14:textId="090336B0" w:rsidR="00B81226" w:rsidRDefault="00B82AC2">
            <w:pPr>
              <w:pStyle w:val="P68B1DB1-TableParagraph33"/>
              <w:numPr>
                <w:ilvl w:val="0"/>
                <w:numId w:val="282"/>
              </w:numPr>
              <w:spacing w:before="108"/>
              <w:jc w:val="both"/>
            </w:pPr>
            <w:r>
              <w:t xml:space="preserve">≤ 1 maa; </w:t>
            </w:r>
          </w:p>
          <w:p w14:paraId="5B55A7F9" w14:textId="6B3C23F3" w:rsidR="00B81226" w:rsidRDefault="00B82AC2">
            <w:pPr>
              <w:pStyle w:val="P68B1DB1-TableParagraph33"/>
              <w:numPr>
                <w:ilvl w:val="0"/>
                <w:numId w:val="282"/>
              </w:numPr>
              <w:spacing w:before="108"/>
              <w:jc w:val="both"/>
            </w:pPr>
            <w:r>
              <w:t>Kahteen tai kolmeen maahan</w:t>
            </w:r>
          </w:p>
          <w:p w14:paraId="6A334CED" w14:textId="15F946E0" w:rsidR="00B81226" w:rsidRDefault="00B82AC2">
            <w:pPr>
              <w:pStyle w:val="P68B1DB1-TableParagraph33"/>
              <w:numPr>
                <w:ilvl w:val="0"/>
                <w:numId w:val="282"/>
              </w:numPr>
              <w:spacing w:before="108"/>
              <w:jc w:val="both"/>
            </w:pPr>
            <w:r>
              <w:t xml:space="preserve">4–5 maata; </w:t>
            </w:r>
          </w:p>
          <w:p w14:paraId="4D1B0AB8" w14:textId="03F4FDF2" w:rsidR="00B81226" w:rsidRDefault="00B82AC2">
            <w:pPr>
              <w:pStyle w:val="P68B1DB1-TableParagraph33"/>
              <w:numPr>
                <w:ilvl w:val="0"/>
                <w:numId w:val="282"/>
              </w:numPr>
              <w:spacing w:before="108"/>
              <w:jc w:val="both"/>
            </w:pPr>
            <w:r>
              <w:t xml:space="preserve">&gt; 5 maata, </w:t>
            </w:r>
          </w:p>
          <w:p w14:paraId="7FE1BBED" w14:textId="6A2A41A1" w:rsidR="00B81226" w:rsidRDefault="00B82AC2">
            <w:pPr>
              <w:pStyle w:val="P68B1DB1-TableParagraph33"/>
              <w:spacing w:before="108"/>
              <w:jc w:val="both"/>
              <w:rPr>
                <w:rFonts w:cs="Times New Roman"/>
                <w:color w:val="000000" w:themeColor="text1"/>
              </w:rPr>
            </w:pPr>
            <w:r>
              <w:t xml:space="preserve"> </w:t>
            </w:r>
          </w:p>
        </w:tc>
      </w:tr>
      <w:tr w:rsidR="00B81226" w14:paraId="7FE1BBFD" w14:textId="77777777">
        <w:tc>
          <w:tcPr>
            <w:tcW w:w="1080" w:type="dxa"/>
            <w:tcBorders>
              <w:top w:val="single" w:sz="4" w:space="0" w:color="1A171C"/>
              <w:left w:val="nil"/>
              <w:bottom w:val="single" w:sz="4" w:space="0" w:color="1A171C"/>
              <w:right w:val="single" w:sz="4" w:space="0" w:color="1A171C"/>
            </w:tcBorders>
            <w:vAlign w:val="center"/>
          </w:tcPr>
          <w:p w14:paraId="7FE1BBEF" w14:textId="77777777" w:rsidR="00B81226" w:rsidRDefault="00B82AC2">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F0" w14:textId="77777777" w:rsidR="00B81226" w:rsidRDefault="00B82AC2">
            <w:pPr>
              <w:pStyle w:val="P68B1DB1-TableParagraph14"/>
              <w:spacing w:before="108"/>
              <w:jc w:val="both"/>
              <w:rPr>
                <w:bCs/>
              </w:rPr>
            </w:pPr>
            <w:r>
              <w:t xml:space="preserve">Merkityksellisyys — </w:t>
            </w:r>
          </w:p>
          <w:p w14:paraId="7FE1BBF1" w14:textId="77777777" w:rsidR="00B81226" w:rsidRDefault="00B82AC2">
            <w:pPr>
              <w:pStyle w:val="P68B1DB1-TableParagraph13"/>
              <w:spacing w:before="108"/>
              <w:jc w:val="both"/>
            </w:pPr>
            <w:r>
              <w:t>Paikallisella, alueellisella, kansallisella tai Euroopan tasolla asianomaisista markkinoista riippuen. Laitoksen merkitystä voidaan arvioida markkinaosuuden, sidosten, monitahoisuuden ja valtioiden rajat ylittävän toiminnan perusteella.</w:t>
            </w:r>
          </w:p>
          <w:p w14:paraId="7FE1BBF2" w14:textId="77777777" w:rsidR="00B81226" w:rsidRDefault="00B82AC2">
            <w:pPr>
              <w:pStyle w:val="P68B1DB1-TableParagraph14"/>
              <w:spacing w:before="108"/>
              <w:jc w:val="both"/>
              <w:rPr>
                <w:bCs/>
              </w:rPr>
            </w:pPr>
            <w:r>
              <w:t>Markkinaosuus</w:t>
            </w:r>
          </w:p>
          <w:p w14:paraId="30AC503F" w14:textId="77777777" w:rsidR="00B81226" w:rsidRDefault="00B82AC2">
            <w:pPr>
              <w:pStyle w:val="P68B1DB1-Normal31"/>
              <w:spacing w:line="276" w:lineRule="auto"/>
              <w:jc w:val="both"/>
            </w:pPr>
            <w:r>
              <w:t xml:space="preserve">Arvioitava raportoivan yhteisön markkinaosuuden merkitys verrattuna lomakkeessa ilmoitettuihin kansallisiin tai muihin merkityksellisiin markkinoihin. Tämä arvio ilmaistaan laadullisesti seuraavasti: </w:t>
            </w:r>
          </w:p>
          <w:p w14:paraId="5D8F45F8" w14:textId="77777777" w:rsidR="00B81226" w:rsidRDefault="00B82AC2">
            <w:pPr>
              <w:pStyle w:val="P68B1DB1-ListParagraph32"/>
              <w:numPr>
                <w:ilvl w:val="0"/>
                <w:numId w:val="276"/>
              </w:numPr>
              <w:spacing w:line="276" w:lineRule="auto"/>
              <w:jc w:val="both"/>
            </w:pPr>
            <w:r>
              <w:t>Suuri, jos markkinaosuus on suuri</w:t>
            </w:r>
          </w:p>
          <w:p w14:paraId="5C7C2710" w14:textId="77777777" w:rsidR="00B81226" w:rsidRDefault="00B82AC2">
            <w:pPr>
              <w:pStyle w:val="P68B1DB1-ListParagraph32"/>
              <w:numPr>
                <w:ilvl w:val="0"/>
                <w:numId w:val="276"/>
              </w:numPr>
              <w:spacing w:line="276" w:lineRule="auto"/>
              <w:jc w:val="both"/>
            </w:pPr>
            <w:r>
              <w:t>Keskikorkea, jos markkinaosuus on keskisuuri</w:t>
            </w:r>
          </w:p>
          <w:p w14:paraId="21F38734" w14:textId="77777777" w:rsidR="00B81226" w:rsidRDefault="00B82AC2">
            <w:pPr>
              <w:pStyle w:val="P68B1DB1-ListParagraph32"/>
              <w:numPr>
                <w:ilvl w:val="0"/>
                <w:numId w:val="276"/>
              </w:numPr>
              <w:spacing w:line="276" w:lineRule="auto"/>
              <w:jc w:val="both"/>
            </w:pPr>
            <w:r>
              <w:t xml:space="preserve">Keskisuuri-pieni, jos markkinaosuus on pieni, tai </w:t>
            </w:r>
          </w:p>
          <w:p w14:paraId="16968912" w14:textId="77777777" w:rsidR="00B81226" w:rsidRDefault="00B82AC2">
            <w:pPr>
              <w:pStyle w:val="P68B1DB1-ListParagraph32"/>
              <w:numPr>
                <w:ilvl w:val="0"/>
                <w:numId w:val="276"/>
              </w:numPr>
              <w:spacing w:line="276" w:lineRule="auto"/>
              <w:jc w:val="both"/>
            </w:pPr>
            <w:r>
              <w:t xml:space="preserve">Pieni, jos markkinaosuus on vähäinen. </w:t>
            </w:r>
          </w:p>
          <w:p w14:paraId="7FE1BBF7" w14:textId="3931B1D9" w:rsidR="00B81226" w:rsidRDefault="00B81226">
            <w:pPr>
              <w:pStyle w:val="ListParagraph"/>
              <w:spacing w:line="276" w:lineRule="auto"/>
              <w:jc w:val="both"/>
              <w:rPr>
                <w:rFonts w:ascii="Times New Roman" w:eastAsiaTheme="minorHAnsi" w:hAnsi="Times New Roman"/>
                <w:color w:val="000000" w:themeColor="text1"/>
                <w:sz w:val="20"/>
                <w:szCs w:val="20"/>
              </w:rPr>
            </w:pPr>
          </w:p>
          <w:p w14:paraId="7FE1BBF8" w14:textId="77777777" w:rsidR="00B81226" w:rsidRDefault="00B82AC2">
            <w:pPr>
              <w:pStyle w:val="P68B1DB1-TableParagraph13"/>
              <w:spacing w:before="108"/>
              <w:jc w:val="both"/>
            </w:pPr>
            <w:r>
              <w:t xml:space="preserve">Arvioinnissa otetaan huomioon raportoivan yhteisön maan (tai muiden merkityksellisten markkinoiden) markkinarakenne ja markkinaosuudet, jotka ilmoitetaan osassa 2. </w:t>
            </w:r>
          </w:p>
          <w:p w14:paraId="7FE1BBF9" w14:textId="77777777" w:rsidR="00B81226" w:rsidRDefault="00B82AC2">
            <w:pPr>
              <w:pStyle w:val="P68B1DB1-TableParagraph13"/>
              <w:spacing w:before="108"/>
              <w:jc w:val="both"/>
            </w:pPr>
            <w:r>
              <w:t>2.Kvantitatiiviset tiedot:</w:t>
            </w:r>
          </w:p>
          <w:p w14:paraId="7FE1BBFA" w14:textId="77777777" w:rsidR="00B81226" w:rsidRDefault="00B82AC2">
            <w:pPr>
              <w:pStyle w:val="P68B1DB1-ListParagraph32"/>
              <w:numPr>
                <w:ilvl w:val="0"/>
                <w:numId w:val="117"/>
              </w:numPr>
              <w:jc w:val="both"/>
              <w:rPr>
                <w:i/>
                <w:iCs/>
              </w:rPr>
            </w:pPr>
            <w:r>
              <w:t xml:space="preserve">Asiantuntija-arvio </w:t>
            </w:r>
            <w:r>
              <w:rPr>
                <w:b/>
              </w:rPr>
              <w:t xml:space="preserve">kansallisesta </w:t>
            </w:r>
            <w:r>
              <w:t>markkinaosuudesta (ilmoitettu sarakkeessa 0020, lukuun ottamatta tapauksia, joissa raportti annetaan eri merkityksellisten markkinoiden tasolla, jolloin on tehtävä arviointi merkityksellisten markkinoiden osuudesta)</w:t>
            </w:r>
          </w:p>
          <w:p w14:paraId="7FE1BBFB" w14:textId="77777777" w:rsidR="00B81226" w:rsidRDefault="00B81226">
            <w:pPr>
              <w:pStyle w:val="TableParagraph"/>
              <w:spacing w:before="108"/>
              <w:jc w:val="both"/>
              <w:rPr>
                <w:rFonts w:ascii="Times New Roman" w:hAnsi="Times New Roman" w:cs="Times New Roman"/>
                <w:color w:val="000000" w:themeColor="text1"/>
                <w:sz w:val="20"/>
                <w:szCs w:val="20"/>
              </w:rPr>
            </w:pPr>
          </w:p>
          <w:p w14:paraId="7FE1BBFC" w14:textId="77777777" w:rsidR="00B81226" w:rsidRDefault="00B81226">
            <w:pPr>
              <w:pStyle w:val="TableParagraph"/>
              <w:spacing w:before="108"/>
              <w:jc w:val="both"/>
              <w:rPr>
                <w:rFonts w:ascii="Times New Roman" w:hAnsi="Times New Roman" w:cs="Times New Roman"/>
                <w:color w:val="000000" w:themeColor="text1"/>
                <w:sz w:val="20"/>
                <w:szCs w:val="20"/>
              </w:rPr>
            </w:pPr>
          </w:p>
        </w:tc>
      </w:tr>
      <w:tr w:rsidR="00B81226" w14:paraId="7FE1BC09" w14:textId="77777777">
        <w:tc>
          <w:tcPr>
            <w:tcW w:w="1080" w:type="dxa"/>
            <w:tcBorders>
              <w:top w:val="single" w:sz="4" w:space="0" w:color="1A171C"/>
              <w:left w:val="nil"/>
              <w:bottom w:val="single" w:sz="4" w:space="0" w:color="1A171C"/>
              <w:right w:val="single" w:sz="4" w:space="0" w:color="1A171C"/>
            </w:tcBorders>
            <w:vAlign w:val="center"/>
          </w:tcPr>
          <w:p w14:paraId="7FE1BBFE" w14:textId="77777777" w:rsidR="00B81226" w:rsidRDefault="00B82AC2">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FF" w14:textId="77777777" w:rsidR="00B81226" w:rsidRDefault="00B82AC2">
            <w:pPr>
              <w:pStyle w:val="P68B1DB1-TableParagraph14"/>
              <w:spacing w:before="108"/>
              <w:jc w:val="both"/>
              <w:rPr>
                <w:bCs/>
              </w:rPr>
            </w:pPr>
            <w:r>
              <w:t>Markkinoiden rakenne – markkinoiden keskittyminen</w:t>
            </w:r>
          </w:p>
          <w:p w14:paraId="7FE1BC00" w14:textId="77777777" w:rsidR="00B81226" w:rsidRDefault="00B82AC2">
            <w:pPr>
              <w:pStyle w:val="P68B1DB1-TableParagraph13"/>
              <w:spacing w:before="108"/>
              <w:jc w:val="both"/>
            </w:pPr>
            <w:r>
              <w:t xml:space="preserve">Markkinoiden keskittyminen mitattuna markkinoilla tällä hetkellä toimivien kilpailijoiden lukumäärällä </w:t>
            </w:r>
          </w:p>
          <w:p w14:paraId="7FE1BC01" w14:textId="77777777" w:rsidR="00B81226" w:rsidRDefault="00B82AC2">
            <w:pPr>
              <w:pStyle w:val="P68B1DB1-TableParagraph13"/>
              <w:spacing w:before="108"/>
              <w:jc w:val="both"/>
            </w:pPr>
            <w:r>
              <w:t xml:space="preserve">samankaltaiset taloudelliset toiminnot ja/tai vastaavien palvelujen tarjoaminen yhtäläisin ehdoin (eli </w:t>
            </w:r>
          </w:p>
          <w:p w14:paraId="7FE1BC02" w14:textId="77777777" w:rsidR="00B81226" w:rsidRDefault="00B82AC2">
            <w:pPr>
              <w:pStyle w:val="P68B1DB1-TableParagraph13"/>
              <w:spacing w:before="108"/>
              <w:jc w:val="both"/>
            </w:pPr>
            <w:r>
              <w:lastRenderedPageBreak/>
              <w:t xml:space="preserve">määrältään, laadultaan ja kustannuksiltaan vertailukelpoiset), jotka mahdollisesti otetaan haltuun </w:t>
            </w:r>
          </w:p>
          <w:p w14:paraId="7FE1BC03" w14:textId="77777777" w:rsidR="00B81226" w:rsidRDefault="00B82AC2">
            <w:pPr>
              <w:pStyle w:val="P68B1DB1-TableParagraph13"/>
              <w:spacing w:before="108"/>
              <w:jc w:val="both"/>
            </w:pPr>
            <w:r>
              <w:t xml:space="preserve">raportoivan yhteisön (tai sen osan) asiakkaat ja/tai liiketoiminta kohtuullisen ajan kuluessa. </w:t>
            </w:r>
          </w:p>
          <w:p w14:paraId="7FE1BC04" w14:textId="77777777" w:rsidR="00B81226" w:rsidRDefault="00B82AC2">
            <w:pPr>
              <w:pStyle w:val="P68B1DB1-TableParagraph13"/>
              <w:spacing w:before="108"/>
              <w:jc w:val="both"/>
            </w:pPr>
            <w:r>
              <w:t xml:space="preserve">Tämä on ilmoitettava alaluokissa, jotka ovat samat kullekin alatoiminnolle. </w:t>
            </w:r>
          </w:p>
          <w:p w14:paraId="4C2F14CB" w14:textId="77777777" w:rsidR="00B81226" w:rsidRDefault="00B82AC2">
            <w:pPr>
              <w:pStyle w:val="P68B1DB1-ListParagraph32"/>
              <w:numPr>
                <w:ilvl w:val="0"/>
                <w:numId w:val="277"/>
              </w:numPr>
              <w:jc w:val="both"/>
            </w:pPr>
            <w:r>
              <w:t xml:space="preserve">&gt; 20 kilpailijaa; </w:t>
            </w:r>
          </w:p>
          <w:p w14:paraId="453D853E" w14:textId="77777777" w:rsidR="00B81226" w:rsidRDefault="00B82AC2">
            <w:pPr>
              <w:pStyle w:val="P68B1DB1-ListParagraph32"/>
              <w:numPr>
                <w:ilvl w:val="0"/>
                <w:numId w:val="277"/>
              </w:numPr>
              <w:jc w:val="both"/>
            </w:pPr>
            <w:r>
              <w:t xml:space="preserve">11–20 kilpailijaa; </w:t>
            </w:r>
          </w:p>
          <w:p w14:paraId="642D6421" w14:textId="77777777" w:rsidR="00B81226" w:rsidRDefault="00B82AC2">
            <w:pPr>
              <w:pStyle w:val="P68B1DB1-ListParagraph32"/>
              <w:numPr>
                <w:ilvl w:val="0"/>
                <w:numId w:val="277"/>
              </w:numPr>
              <w:jc w:val="both"/>
            </w:pPr>
            <w:r>
              <w:t xml:space="preserve">5–10 kilpailijaa, </w:t>
            </w:r>
          </w:p>
          <w:p w14:paraId="3C672034" w14:textId="77777777" w:rsidR="00B81226" w:rsidRDefault="00B82AC2">
            <w:pPr>
              <w:pStyle w:val="P68B1DB1-ListParagraph32"/>
              <w:numPr>
                <w:ilvl w:val="0"/>
                <w:numId w:val="277"/>
              </w:numPr>
              <w:jc w:val="both"/>
              <w:rPr>
                <w:b/>
                <w:bCs/>
                <w:color w:val="000000" w:themeColor="text1"/>
              </w:rPr>
            </w:pPr>
            <w:r>
              <w:t>&amp;5 kilpailijaa</w:t>
            </w:r>
          </w:p>
          <w:p w14:paraId="7FE1BC08" w14:textId="3B09659F" w:rsidR="00B81226" w:rsidRDefault="00B81226">
            <w:pPr>
              <w:jc w:val="both"/>
              <w:rPr>
                <w:rFonts w:ascii="Times New Roman" w:hAnsi="Times New Roman"/>
                <w:color w:val="000000" w:themeColor="text1"/>
                <w:sz w:val="20"/>
                <w:szCs w:val="20"/>
              </w:rPr>
            </w:pPr>
          </w:p>
        </w:tc>
      </w:tr>
      <w:tr w:rsidR="00B81226" w14:paraId="7FE1BC19" w14:textId="77777777">
        <w:tc>
          <w:tcPr>
            <w:tcW w:w="1080" w:type="dxa"/>
            <w:tcBorders>
              <w:top w:val="single" w:sz="4" w:space="0" w:color="1A171C"/>
              <w:left w:val="nil"/>
              <w:bottom w:val="single" w:sz="4" w:space="0" w:color="1A171C"/>
              <w:right w:val="single" w:sz="4" w:space="0" w:color="1A171C"/>
            </w:tcBorders>
            <w:vAlign w:val="center"/>
          </w:tcPr>
          <w:p w14:paraId="7FE1BC0A" w14:textId="77777777" w:rsidR="00B81226" w:rsidRDefault="00B82AC2">
            <w:pPr>
              <w:pStyle w:val="P68B1DB1-TableParagraph17"/>
              <w:spacing w:before="108"/>
              <w:jc w:val="both"/>
            </w:pPr>
            <w:r>
              <w:lastRenderedPageBreak/>
              <w:t>0170</w:t>
            </w:r>
          </w:p>
        </w:tc>
        <w:tc>
          <w:tcPr>
            <w:tcW w:w="8003" w:type="dxa"/>
            <w:tcBorders>
              <w:top w:val="single" w:sz="4" w:space="0" w:color="1A171C"/>
              <w:left w:val="single" w:sz="4" w:space="0" w:color="1A171C"/>
              <w:bottom w:val="single" w:sz="4" w:space="0" w:color="1A171C"/>
              <w:right w:val="nil"/>
            </w:tcBorders>
            <w:vAlign w:val="center"/>
          </w:tcPr>
          <w:p w14:paraId="7FE1BC0B" w14:textId="77777777" w:rsidR="00B81226" w:rsidRDefault="00B82AC2">
            <w:pPr>
              <w:pStyle w:val="P68B1DB1-TableParagraph14"/>
              <w:spacing w:before="108"/>
              <w:jc w:val="both"/>
              <w:rPr>
                <w:bCs/>
              </w:rPr>
            </w:pPr>
            <w:r>
              <w:t>Ajoitus – Korvauksen odotettu aika</w:t>
            </w:r>
          </w:p>
          <w:p w14:paraId="7FE1BC0C" w14:textId="77777777" w:rsidR="00B81226" w:rsidRDefault="00B82AC2">
            <w:pPr>
              <w:pStyle w:val="P68B1DB1-TableParagraph13"/>
              <w:spacing w:before="108"/>
              <w:jc w:val="both"/>
            </w:pPr>
            <w:r>
              <w:t>Arvioi raportoinnin tarjoaman taloudellisen toiminnon edellyttämä aika</w:t>
            </w:r>
          </w:p>
          <w:p w14:paraId="7FE1BC0D" w14:textId="77777777" w:rsidR="00B81226" w:rsidRDefault="00B82AC2">
            <w:pPr>
              <w:pStyle w:val="P68B1DB1-TableParagraph13"/>
              <w:spacing w:before="108"/>
              <w:jc w:val="both"/>
            </w:pPr>
            <w:r>
              <w:t xml:space="preserve">yhteisö, jonka markkinat absorboivat kriisitilanteessa. Määrä sisältää </w:t>
            </w:r>
          </w:p>
          <w:p w14:paraId="7FE1BC0E" w14:textId="77777777" w:rsidR="00B81226" w:rsidRDefault="00B82AC2">
            <w:pPr>
              <w:pStyle w:val="P68B1DB1-ListParagraph38"/>
              <w:numPr>
                <w:ilvl w:val="0"/>
                <w:numId w:val="274"/>
              </w:numPr>
              <w:jc w:val="both"/>
            </w:pPr>
            <w:r>
              <w:t xml:space="preserve">aika, jonka yksi tai useampi kilpailija tarvitsee toiminnon toteuttamiseen tarvittavien oikeudellisten ja teknisten toimenpiteiden toteuttamiseen; sekä  </w:t>
            </w:r>
          </w:p>
          <w:p w14:paraId="7FE1BC0F" w14:textId="77777777" w:rsidR="00B81226" w:rsidRDefault="00B82AC2">
            <w:pPr>
              <w:pStyle w:val="P68B1DB1-ListParagraph38"/>
              <w:numPr>
                <w:ilvl w:val="0"/>
                <w:numId w:val="274"/>
              </w:numPr>
              <w:jc w:val="both"/>
            </w:pPr>
            <w:r>
              <w:t xml:space="preserve">aika, jonka palvelun käyttäjät tarvitsevat toiseen palveluntarjoajaan siirtymiseen. </w:t>
            </w:r>
          </w:p>
          <w:p w14:paraId="7FE1BC10" w14:textId="77777777" w:rsidR="00B81226" w:rsidRDefault="00B81226">
            <w:pPr>
              <w:pStyle w:val="TableParagraph"/>
              <w:spacing w:before="108"/>
              <w:jc w:val="both"/>
              <w:rPr>
                <w:rFonts w:ascii="Times New Roman" w:hAnsi="Times New Roman" w:cs="Times New Roman"/>
                <w:color w:val="000000" w:themeColor="text1"/>
                <w:sz w:val="20"/>
                <w:szCs w:val="20"/>
              </w:rPr>
            </w:pPr>
          </w:p>
          <w:p w14:paraId="7FE1BC11" w14:textId="77777777" w:rsidR="00B81226" w:rsidRDefault="00B82AC2">
            <w:pPr>
              <w:pStyle w:val="P68B1DB1-TableParagraph13"/>
              <w:spacing w:before="108"/>
              <w:jc w:val="both"/>
            </w:pPr>
            <w:r>
              <w:t>Edellisen osalta voitte arvioida, kuinka paljon aikaa raportoiva laitos tarvitsisi voidakseen kattaa laitoksenne liiketoiminnan (tai sen osan) kohtuullisin kustannuksin kriisitilanteessa. Ilmoitetaan arvioitu korvaamisaika lomakkeessa esitetyissä alaluokissa:</w:t>
            </w:r>
          </w:p>
          <w:p w14:paraId="7FE1BC12" w14:textId="77777777" w:rsidR="00B81226" w:rsidRDefault="00B81226">
            <w:pPr>
              <w:jc w:val="both"/>
              <w:rPr>
                <w:rFonts w:ascii="Times New Roman" w:eastAsia="Times New Roman" w:hAnsi="Times New Roman" w:cs="Times New Roman"/>
                <w:sz w:val="20"/>
                <w:szCs w:val="20"/>
              </w:rPr>
            </w:pPr>
          </w:p>
          <w:p w14:paraId="7FE1BC13" w14:textId="77777777" w:rsidR="00B81226" w:rsidRDefault="00B82AC2">
            <w:pPr>
              <w:pStyle w:val="P68B1DB1-Normal31"/>
              <w:jc w:val="both"/>
            </w:pPr>
            <w:bookmarkStart w:id="118" w:name="_Hlk194476081"/>
            <w:r>
              <w:t xml:space="preserve">Alaluokat: </w:t>
            </w:r>
          </w:p>
          <w:p w14:paraId="7FE1BC14" w14:textId="728C4DE4" w:rsidR="00B81226" w:rsidRDefault="00B82AC2">
            <w:pPr>
              <w:pStyle w:val="P68B1DB1-ListParagraph32"/>
              <w:numPr>
                <w:ilvl w:val="0"/>
                <w:numId w:val="284"/>
              </w:numPr>
              <w:jc w:val="both"/>
            </w:pPr>
            <w:r>
              <w:t xml:space="preserve">1 päivä; </w:t>
            </w:r>
          </w:p>
          <w:p w14:paraId="7FE1BC15" w14:textId="15883A0D" w:rsidR="00B81226" w:rsidRDefault="00B82AC2">
            <w:pPr>
              <w:pStyle w:val="P68B1DB1-ListParagraph32"/>
              <w:numPr>
                <w:ilvl w:val="0"/>
                <w:numId w:val="284"/>
              </w:numPr>
              <w:jc w:val="both"/>
            </w:pPr>
            <w:r>
              <w:t xml:space="preserve">1–2 päivää; </w:t>
            </w:r>
          </w:p>
          <w:p w14:paraId="7FE1BC16" w14:textId="0B950876" w:rsidR="00B81226" w:rsidRDefault="00B82AC2">
            <w:pPr>
              <w:pStyle w:val="P68B1DB1-ListParagraph32"/>
              <w:numPr>
                <w:ilvl w:val="0"/>
                <w:numId w:val="284"/>
              </w:numPr>
              <w:jc w:val="both"/>
            </w:pPr>
            <w:r>
              <w:t xml:space="preserve">&gt; 2 päivää ≤ 1 viikko </w:t>
            </w:r>
          </w:p>
          <w:p w14:paraId="7FE1BC17" w14:textId="0973D87D" w:rsidR="00B81226" w:rsidRDefault="00B82AC2">
            <w:pPr>
              <w:pStyle w:val="P68B1DB1-ListParagraph32"/>
              <w:numPr>
                <w:ilvl w:val="0"/>
                <w:numId w:val="284"/>
              </w:numPr>
              <w:jc w:val="both"/>
            </w:pPr>
            <w:r>
              <w:t xml:space="preserve">&gt; 1 viikko. </w:t>
            </w:r>
          </w:p>
          <w:bookmarkEnd w:id="118"/>
          <w:p w14:paraId="7FE1BC18" w14:textId="77777777" w:rsidR="00B81226" w:rsidRDefault="00B81226">
            <w:pPr>
              <w:pStyle w:val="TableParagraph"/>
              <w:spacing w:before="108"/>
              <w:jc w:val="both"/>
              <w:rPr>
                <w:rFonts w:ascii="Times New Roman" w:hAnsi="Times New Roman" w:cs="Times New Roman"/>
                <w:color w:val="000000" w:themeColor="text1"/>
                <w:sz w:val="20"/>
                <w:szCs w:val="20"/>
              </w:rPr>
            </w:pPr>
          </w:p>
        </w:tc>
      </w:tr>
      <w:tr w:rsidR="00B81226" w14:paraId="7FE1BC1C" w14:textId="77777777">
        <w:tc>
          <w:tcPr>
            <w:tcW w:w="1080" w:type="dxa"/>
            <w:tcBorders>
              <w:top w:val="single" w:sz="4" w:space="0" w:color="1A171C"/>
              <w:left w:val="nil"/>
              <w:bottom w:val="single" w:sz="4" w:space="0" w:color="1A171C"/>
              <w:right w:val="single" w:sz="4" w:space="0" w:color="1A171C"/>
            </w:tcBorders>
            <w:vAlign w:val="center"/>
          </w:tcPr>
          <w:p w14:paraId="7FE1BC1A" w14:textId="77777777" w:rsidR="00B81226" w:rsidRDefault="00B82AC2">
            <w:pPr>
              <w:pStyle w:val="P68B1DB1-TableParagraph17"/>
              <w:spacing w:before="108"/>
              <w:jc w:val="both"/>
            </w:pPr>
            <w:r>
              <w:t>0180–0190</w:t>
            </w:r>
          </w:p>
        </w:tc>
        <w:tc>
          <w:tcPr>
            <w:tcW w:w="8003" w:type="dxa"/>
            <w:tcBorders>
              <w:top w:val="single" w:sz="4" w:space="0" w:color="1A171C"/>
              <w:left w:val="single" w:sz="4" w:space="0" w:color="1A171C"/>
              <w:bottom w:val="single" w:sz="4" w:space="0" w:color="1A171C"/>
              <w:right w:val="nil"/>
            </w:tcBorders>
            <w:vAlign w:val="center"/>
          </w:tcPr>
          <w:p w14:paraId="7FE1BC1B" w14:textId="77777777" w:rsidR="00B81226" w:rsidRDefault="00B82AC2">
            <w:pPr>
              <w:pStyle w:val="P68B1DB1-TableParagraph14"/>
              <w:spacing w:before="108"/>
              <w:jc w:val="both"/>
              <w:rPr>
                <w:bCs/>
              </w:rPr>
            </w:pPr>
            <w:r>
              <w:t>Korvaamiskyky</w:t>
            </w:r>
          </w:p>
        </w:tc>
      </w:tr>
      <w:tr w:rsidR="00B81226" w14:paraId="7FE1BC26" w14:textId="77777777">
        <w:tc>
          <w:tcPr>
            <w:tcW w:w="1080" w:type="dxa"/>
            <w:tcBorders>
              <w:top w:val="single" w:sz="4" w:space="0" w:color="1A171C"/>
              <w:left w:val="nil"/>
              <w:bottom w:val="single" w:sz="4" w:space="0" w:color="1A171C"/>
              <w:right w:val="single" w:sz="4" w:space="0" w:color="1A171C"/>
            </w:tcBorders>
            <w:vAlign w:val="center"/>
          </w:tcPr>
          <w:p w14:paraId="7FE1BC1D" w14:textId="77777777" w:rsidR="00B81226" w:rsidRDefault="00B82AC2">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1E" w14:textId="77777777" w:rsidR="00B81226" w:rsidRDefault="00B82AC2">
            <w:pPr>
              <w:pStyle w:val="P68B1DB1-TableParagraph14"/>
              <w:spacing w:before="108"/>
              <w:jc w:val="both"/>
              <w:rPr>
                <w:bCs/>
              </w:rPr>
            </w:pPr>
            <w:r>
              <w:t>Markkinoille pääsyä tai laajentumista koskevat lainsäädäntöiset esteet</w:t>
            </w:r>
          </w:p>
          <w:p w14:paraId="7FE1BC1F" w14:textId="77777777" w:rsidR="00B81226" w:rsidRDefault="00B81226">
            <w:pPr>
              <w:pStyle w:val="TableParagraph"/>
              <w:spacing w:before="108"/>
              <w:jc w:val="both"/>
              <w:rPr>
                <w:rFonts w:ascii="Times New Roman" w:hAnsi="Times New Roman" w:cs="Times New Roman"/>
                <w:color w:val="000000" w:themeColor="text1"/>
                <w:sz w:val="20"/>
                <w:szCs w:val="20"/>
              </w:rPr>
            </w:pPr>
          </w:p>
          <w:p w14:paraId="7FE1BC20" w14:textId="77777777" w:rsidR="00B81226" w:rsidRDefault="00B82AC2">
            <w:pPr>
              <w:pStyle w:val="P68B1DB1-TableParagraph13"/>
              <w:spacing w:before="108"/>
              <w:jc w:val="both"/>
            </w:pPr>
            <w:r>
              <w:t xml:space="preserve">Oikeudelliset esteet, jotka estävät kilpailijoita tarjoamasta palvelua. Luottolaitosten liiketoiminnan harjoittamista koskevia oikeudellisia vaatimuksia (esim. pankkitoimilupia tai pääomavaatimuksia) ei pidetä ylitsepääsemättöminä esteinä vaihtoehtoisten palveluntarjoajien läsnäololle. Tämä indikaattori on ilmoitettava alaluokissa, jotka ovat samat kullekin alatoiminnolle: </w:t>
            </w:r>
          </w:p>
          <w:p w14:paraId="7FE1BC21" w14:textId="474C67C3" w:rsidR="00B81226" w:rsidRDefault="00B82AC2">
            <w:pPr>
              <w:pStyle w:val="P68B1DB1-ListParagraph39"/>
              <w:numPr>
                <w:ilvl w:val="0"/>
                <w:numId w:val="275"/>
              </w:numPr>
              <w:jc w:val="both"/>
            </w:pPr>
            <w:r>
              <w:t xml:space="preserve">ei merkittäviä esteitä, </w:t>
            </w:r>
          </w:p>
          <w:p w14:paraId="7FE1BC22" w14:textId="2597009C" w:rsidR="00B81226" w:rsidRDefault="00B82AC2">
            <w:pPr>
              <w:pStyle w:val="P68B1DB1-ListParagraph39"/>
              <w:numPr>
                <w:ilvl w:val="0"/>
                <w:numId w:val="275"/>
              </w:numPr>
              <w:jc w:val="both"/>
            </w:pPr>
            <w:r>
              <w:t xml:space="preserve">joitakin esteitä, </w:t>
            </w:r>
          </w:p>
          <w:p w14:paraId="7FE1BC23" w14:textId="78601E46" w:rsidR="00B81226" w:rsidRDefault="00B82AC2">
            <w:pPr>
              <w:pStyle w:val="P68B1DB1-ListParagraph39"/>
              <w:numPr>
                <w:ilvl w:val="0"/>
                <w:numId w:val="275"/>
              </w:numPr>
              <w:jc w:val="both"/>
            </w:pPr>
            <w:r>
              <w:t xml:space="preserve">merkittävät (mutta ylitsepääsemättömät) esteet, </w:t>
            </w:r>
          </w:p>
          <w:p w14:paraId="7FE1BC25" w14:textId="12D666ED" w:rsidR="00B81226" w:rsidRDefault="00B82AC2">
            <w:pPr>
              <w:pStyle w:val="P68B1DB1-ListParagraph8"/>
              <w:numPr>
                <w:ilvl w:val="0"/>
                <w:numId w:val="275"/>
              </w:numPr>
              <w:jc w:val="both"/>
            </w:pPr>
            <w:r>
              <w:t>kriittiset esteet (vaikeudet hävittää).</w:t>
            </w:r>
          </w:p>
        </w:tc>
      </w:tr>
      <w:tr w:rsidR="00B81226" w14:paraId="7FE1BC31" w14:textId="77777777">
        <w:tc>
          <w:tcPr>
            <w:tcW w:w="1080" w:type="dxa"/>
            <w:tcBorders>
              <w:top w:val="single" w:sz="4" w:space="0" w:color="1A171C"/>
              <w:left w:val="nil"/>
              <w:bottom w:val="single" w:sz="4" w:space="0" w:color="1A171C"/>
              <w:right w:val="single" w:sz="4" w:space="0" w:color="1A171C"/>
            </w:tcBorders>
            <w:vAlign w:val="center"/>
          </w:tcPr>
          <w:p w14:paraId="7FE1BC27" w14:textId="77777777" w:rsidR="00B81226" w:rsidRDefault="00B82AC2">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28" w14:textId="77777777" w:rsidR="00B81226" w:rsidRDefault="00B82AC2">
            <w:pPr>
              <w:pStyle w:val="P68B1DB1-TableParagraph14"/>
              <w:spacing w:before="108"/>
              <w:jc w:val="both"/>
              <w:rPr>
                <w:bCs/>
              </w:rPr>
            </w:pPr>
            <w:r>
              <w:t>Markkinoille pääsyä tai laajentumista koskevat toiminnalliset vaatimukset</w:t>
            </w:r>
          </w:p>
          <w:p w14:paraId="7FE1BC29" w14:textId="77777777" w:rsidR="00B81226" w:rsidRDefault="00B81226">
            <w:pPr>
              <w:pStyle w:val="TableParagraph"/>
              <w:spacing w:before="108"/>
              <w:jc w:val="both"/>
              <w:rPr>
                <w:rFonts w:ascii="Times New Roman" w:hAnsi="Times New Roman" w:cs="Times New Roman"/>
                <w:color w:val="000000" w:themeColor="text1"/>
                <w:sz w:val="20"/>
                <w:szCs w:val="20"/>
              </w:rPr>
            </w:pPr>
          </w:p>
          <w:p w14:paraId="7FE1BC2A" w14:textId="46374DD1" w:rsidR="00B81226" w:rsidRDefault="00B82AC2">
            <w:pPr>
              <w:pStyle w:val="P68B1DB1-TableParagraph13"/>
              <w:spacing w:before="108"/>
              <w:jc w:val="both"/>
            </w:pPr>
            <w:r>
              <w:t xml:space="preserve">Organisatoriset, tekniset ja infrastruktuurivaatimukset, joita kilpailijoilla on palvelun tarjoamiseksi. (Ala)toimintoon liittyvien palvelujen tarjoaminen edellyttää, että palveluntarjoajat investoivat (uusiin tai täydentäviin) infrastruktuureihin tai muuttavat organisaatioitaan. Arvioitava markkinoiden kykyä ottaa vastaan tietty liiketoiminta esimerkiksi pääomavaatimusten osalta. </w:t>
            </w:r>
          </w:p>
          <w:p w14:paraId="7FE1BC2B" w14:textId="77777777" w:rsidR="00B81226" w:rsidRDefault="00B82AC2">
            <w:pPr>
              <w:pStyle w:val="P68B1DB1-TableParagraph13"/>
              <w:spacing w:before="108"/>
              <w:jc w:val="both"/>
            </w:pPr>
            <w:r>
              <w:t xml:space="preserve">Tämä indikaattori on ilmoitettava alaluokissa, jotka ovat samat kullekin alatoiminnolle: </w:t>
            </w:r>
          </w:p>
          <w:p w14:paraId="7FE1BC2C" w14:textId="59F4E6B2" w:rsidR="00B81226" w:rsidRDefault="00B82AC2">
            <w:pPr>
              <w:pStyle w:val="P68B1DB1-ListParagraph39"/>
              <w:numPr>
                <w:ilvl w:val="0"/>
                <w:numId w:val="278"/>
              </w:numPr>
              <w:jc w:val="both"/>
            </w:pPr>
            <w:r>
              <w:t xml:space="preserve">ei merkittäviä vaatimuksia, </w:t>
            </w:r>
          </w:p>
          <w:p w14:paraId="7FE1BC2D" w14:textId="17A47EF8" w:rsidR="00B81226" w:rsidRDefault="00B82AC2">
            <w:pPr>
              <w:pStyle w:val="P68B1DB1-ListParagraph39"/>
              <w:numPr>
                <w:ilvl w:val="0"/>
                <w:numId w:val="278"/>
              </w:numPr>
              <w:jc w:val="both"/>
            </w:pPr>
            <w:r>
              <w:t xml:space="preserve">joitakin vaatimuksia, </w:t>
            </w:r>
          </w:p>
          <w:p w14:paraId="7FE1BC2E" w14:textId="6B2B459E" w:rsidR="00B81226" w:rsidRDefault="00B82AC2">
            <w:pPr>
              <w:pStyle w:val="P68B1DB1-ListParagraph39"/>
              <w:numPr>
                <w:ilvl w:val="0"/>
                <w:numId w:val="278"/>
              </w:numPr>
              <w:jc w:val="both"/>
            </w:pPr>
            <w:r>
              <w:t xml:space="preserve">olennaiset (mutta ylitsepääsemättömät) vaatimukset, </w:t>
            </w:r>
          </w:p>
          <w:p w14:paraId="7FE1BC2F" w14:textId="79851C7C" w:rsidR="00B81226" w:rsidRDefault="00B82AC2">
            <w:pPr>
              <w:pStyle w:val="P68B1DB1-ListParagraph39"/>
              <w:numPr>
                <w:ilvl w:val="0"/>
                <w:numId w:val="278"/>
              </w:numPr>
              <w:jc w:val="both"/>
            </w:pPr>
            <w:r>
              <w:lastRenderedPageBreak/>
              <w:t>kriittiset vaatimukset (vaikeudet selviytyä).</w:t>
            </w:r>
          </w:p>
          <w:p w14:paraId="7FE1BC30" w14:textId="77777777" w:rsidR="00B81226" w:rsidRDefault="00B81226">
            <w:pPr>
              <w:pStyle w:val="TableParagraph"/>
              <w:spacing w:before="108"/>
              <w:jc w:val="both"/>
              <w:rPr>
                <w:rFonts w:ascii="Times New Roman" w:hAnsi="Times New Roman" w:cs="Times New Roman"/>
                <w:color w:val="000000" w:themeColor="text1"/>
                <w:sz w:val="20"/>
                <w:szCs w:val="20"/>
              </w:rPr>
            </w:pPr>
          </w:p>
        </w:tc>
      </w:tr>
      <w:tr w:rsidR="00B81226" w14:paraId="7FE1BC3C" w14:textId="77777777">
        <w:tc>
          <w:tcPr>
            <w:tcW w:w="1080" w:type="dxa"/>
            <w:tcBorders>
              <w:top w:val="single" w:sz="4" w:space="0" w:color="1A171C"/>
              <w:left w:val="nil"/>
              <w:bottom w:val="single" w:sz="4" w:space="0" w:color="1A171C"/>
              <w:right w:val="single" w:sz="4" w:space="0" w:color="1A171C"/>
            </w:tcBorders>
            <w:vAlign w:val="center"/>
          </w:tcPr>
          <w:p w14:paraId="7FE1BC32" w14:textId="52B11BD9" w:rsidR="00B81226" w:rsidRDefault="00B82AC2">
            <w:pPr>
              <w:pStyle w:val="P68B1DB1-TableParagraph17"/>
              <w:spacing w:before="108"/>
              <w:jc w:val="both"/>
            </w:pPr>
            <w:r>
              <w:lastRenderedPageBreak/>
              <w:t>0200–0210</w:t>
            </w:r>
          </w:p>
        </w:tc>
        <w:tc>
          <w:tcPr>
            <w:tcW w:w="8003" w:type="dxa"/>
            <w:tcBorders>
              <w:top w:val="single" w:sz="4" w:space="0" w:color="1A171C"/>
              <w:left w:val="single" w:sz="4" w:space="0" w:color="1A171C"/>
              <w:bottom w:val="single" w:sz="4" w:space="0" w:color="1A171C"/>
              <w:right w:val="nil"/>
            </w:tcBorders>
            <w:vAlign w:val="center"/>
          </w:tcPr>
          <w:p w14:paraId="7FE1BC3B" w14:textId="49D1E6DE" w:rsidR="00B81226" w:rsidRDefault="00B82AC2">
            <w:pPr>
              <w:pStyle w:val="P68B1DB1-TableParagraph14"/>
              <w:spacing w:before="108"/>
              <w:jc w:val="both"/>
              <w:rPr>
                <w:bCs/>
              </w:rPr>
            </w:pPr>
            <w:r>
              <w:t>Aluksen aloittamiskapasiteetti</w:t>
            </w:r>
          </w:p>
        </w:tc>
      </w:tr>
      <w:tr w:rsidR="00B81226" w14:paraId="0BE6FD10" w14:textId="77777777">
        <w:tc>
          <w:tcPr>
            <w:tcW w:w="1080" w:type="dxa"/>
            <w:tcBorders>
              <w:top w:val="single" w:sz="4" w:space="0" w:color="1A171C"/>
              <w:left w:val="nil"/>
              <w:bottom w:val="single" w:sz="4" w:space="0" w:color="1A171C"/>
              <w:right w:val="single" w:sz="4" w:space="0" w:color="1A171C"/>
            </w:tcBorders>
            <w:vAlign w:val="center"/>
          </w:tcPr>
          <w:p w14:paraId="1AAF59C4" w14:textId="3EB76F52" w:rsidR="00B81226" w:rsidRDefault="00B82AC2">
            <w:pPr>
              <w:pStyle w:val="P68B1DB1-TableParagraph17"/>
              <w:spacing w:before="108"/>
              <w:jc w:val="both"/>
            </w:pPr>
            <w:r>
              <w:t>0200</w:t>
            </w:r>
          </w:p>
        </w:tc>
        <w:tc>
          <w:tcPr>
            <w:tcW w:w="8003" w:type="dxa"/>
            <w:tcBorders>
              <w:top w:val="single" w:sz="4" w:space="0" w:color="1A171C"/>
              <w:left w:val="single" w:sz="4" w:space="0" w:color="1A171C"/>
              <w:bottom w:val="single" w:sz="4" w:space="0" w:color="1A171C"/>
              <w:right w:val="nil"/>
            </w:tcBorders>
            <w:vAlign w:val="center"/>
          </w:tcPr>
          <w:p w14:paraId="31D48F67" w14:textId="6F8A0F32" w:rsidR="00B81226" w:rsidRDefault="00B82AC2">
            <w:pPr>
              <w:pStyle w:val="P68B1DB1-TableParagraph14"/>
              <w:spacing w:before="108"/>
              <w:rPr>
                <w:bCs/>
              </w:rPr>
            </w:pPr>
            <w:r>
              <w:t>Perehdytyskapasiteetti – Uusilta asiakkailta yhden työpäivän aikana saatujen hakemusten määrä (lukumäärä)</w:t>
            </w:r>
          </w:p>
          <w:p w14:paraId="2BBAFCB8" w14:textId="77777777" w:rsidR="00B81226" w:rsidRDefault="00B82AC2">
            <w:pPr>
              <w:pStyle w:val="P68B1DB1-TableParagraph13"/>
              <w:spacing w:before="108"/>
            </w:pPr>
            <w:r>
              <w:t>Laitoksia pyydetään toimittamaan suurin määrä hakemuksia, jos laitos on validoinut pankkipalvelupyynnön.</w:t>
            </w:r>
          </w:p>
          <w:p w14:paraId="3F7DDDEF" w14:textId="77777777" w:rsidR="00B81226" w:rsidRDefault="00B81226">
            <w:pPr>
              <w:pStyle w:val="TableParagraph"/>
              <w:spacing w:before="108"/>
              <w:jc w:val="both"/>
              <w:rPr>
                <w:rFonts w:ascii="Times New Roman" w:hAnsi="Times New Roman" w:cs="Times New Roman"/>
                <w:color w:val="000000" w:themeColor="text1"/>
                <w:sz w:val="20"/>
                <w:szCs w:val="20"/>
              </w:rPr>
            </w:pPr>
          </w:p>
          <w:p w14:paraId="5AB7F16A" w14:textId="77777777" w:rsidR="00B81226" w:rsidRDefault="00B82AC2">
            <w:pPr>
              <w:pStyle w:val="P68B1DB1-TableParagraph13"/>
              <w:spacing w:before="108"/>
              <w:jc w:val="both"/>
              <w:rPr>
                <w:b/>
                <w:bCs/>
              </w:rPr>
            </w:pPr>
            <w:r>
              <w:t xml:space="preserve">Rahalaitoksille tarjottavien maksupalvelujen, muille kuin rahalaitoksille tarjottavien maksupalvelujen ja käteispalvelujen aloittamiskapasiteetti uusien tilien lukumääränä ilmaistaan yhden työpäivän kuluessa. </w:t>
            </w:r>
          </w:p>
          <w:p w14:paraId="10BCF6A2" w14:textId="77777777" w:rsidR="00B81226" w:rsidRDefault="00B82AC2">
            <w:pPr>
              <w:pStyle w:val="P68B1DB1-TableParagraph13"/>
              <w:spacing w:before="108"/>
              <w:jc w:val="both"/>
              <w:rPr>
                <w:b/>
                <w:bCs/>
              </w:rPr>
            </w:pPr>
            <w:r>
              <w:t>Toimielinten odotetaan ottavan huomioon uusien asiakkaiden perehdyttämisen aikataulun, koska uusi asiakas on hakenut pankkipalvelua.</w:t>
            </w:r>
          </w:p>
          <w:p w14:paraId="54138520" w14:textId="77777777" w:rsidR="00B81226" w:rsidRDefault="00B81226">
            <w:pPr>
              <w:pStyle w:val="TableParagraph"/>
              <w:spacing w:before="108"/>
              <w:rPr>
                <w:rFonts w:ascii="Times New Roman" w:hAnsi="Times New Roman" w:cs="Times New Roman"/>
                <w:b/>
                <w:bCs/>
                <w:color w:val="000000" w:themeColor="text1"/>
                <w:sz w:val="20"/>
                <w:szCs w:val="20"/>
              </w:rPr>
            </w:pPr>
          </w:p>
        </w:tc>
      </w:tr>
      <w:tr w:rsidR="00B81226" w14:paraId="2D232CA8" w14:textId="77777777">
        <w:tc>
          <w:tcPr>
            <w:tcW w:w="1080" w:type="dxa"/>
            <w:tcBorders>
              <w:top w:val="single" w:sz="4" w:space="0" w:color="1A171C"/>
              <w:left w:val="nil"/>
              <w:bottom w:val="single" w:sz="4" w:space="0" w:color="1A171C"/>
              <w:right w:val="single" w:sz="4" w:space="0" w:color="1A171C"/>
            </w:tcBorders>
            <w:vAlign w:val="center"/>
          </w:tcPr>
          <w:p w14:paraId="2162C590" w14:textId="3E29DAE4" w:rsidR="00B81226" w:rsidRDefault="00B82AC2">
            <w:pPr>
              <w:pStyle w:val="P68B1DB1-TableParagraph17"/>
              <w:spacing w:before="108"/>
              <w:jc w:val="both"/>
            </w:pPr>
            <w:r>
              <w:t>0210</w:t>
            </w:r>
          </w:p>
        </w:tc>
        <w:tc>
          <w:tcPr>
            <w:tcW w:w="8003" w:type="dxa"/>
            <w:tcBorders>
              <w:top w:val="single" w:sz="4" w:space="0" w:color="1A171C"/>
              <w:left w:val="single" w:sz="4" w:space="0" w:color="1A171C"/>
              <w:bottom w:val="single" w:sz="4" w:space="0" w:color="1A171C"/>
              <w:right w:val="nil"/>
            </w:tcBorders>
            <w:vAlign w:val="center"/>
          </w:tcPr>
          <w:p w14:paraId="65DBE0BE" w14:textId="55EA2BB1" w:rsidR="00B81226" w:rsidRDefault="00B82AC2">
            <w:pPr>
              <w:pStyle w:val="P68B1DB1-TableParagraph14"/>
              <w:spacing w:before="108"/>
              <w:rPr>
                <w:bCs/>
              </w:rPr>
            </w:pPr>
            <w:r>
              <w:t>Perehdytyskapasiteetti – yli 7 työpäivän pituisten uusien asiakkaiden hakemusten lukumäärä (Number)</w:t>
            </w:r>
          </w:p>
          <w:p w14:paraId="6C6045B8" w14:textId="77777777" w:rsidR="00B81226" w:rsidRDefault="00B82AC2">
            <w:pPr>
              <w:pStyle w:val="P68B1DB1-TableParagraph13"/>
              <w:spacing w:before="108"/>
            </w:pPr>
            <w:r>
              <w:t>Laitoksia pyydetään toimittamaan suurin määrä hakemuksia, jos laitos on validoinut pankkipalvelupyynnön.</w:t>
            </w:r>
          </w:p>
          <w:p w14:paraId="59CBAFC9" w14:textId="77777777" w:rsidR="00B81226" w:rsidRDefault="00B82AC2">
            <w:pPr>
              <w:pStyle w:val="P68B1DB1-TableParagraph13"/>
              <w:spacing w:before="108"/>
              <w:jc w:val="both"/>
            </w:pPr>
            <w:r>
              <w:t>Arvopapereiden toimituspalvelujen, keskusvastapuolten selvityspalvelujen ja säilytyspalvelujen aloittamiskapasiteetti uusien tilien lukumääränä ilmaistaan seitsemän työpäivän kuluessa.</w:t>
            </w:r>
          </w:p>
          <w:p w14:paraId="7623A7E1" w14:textId="77777777" w:rsidR="00B81226" w:rsidRDefault="00B82AC2">
            <w:pPr>
              <w:pStyle w:val="P68B1DB1-TableParagraph13"/>
              <w:spacing w:before="108"/>
              <w:jc w:val="both"/>
              <w:rPr>
                <w:b/>
                <w:bCs/>
              </w:rPr>
            </w:pPr>
            <w:r>
              <w:t>Toimielinten odotetaan ottavan huomioon uusien asiakkaiden perehdyttämisen aikataulun, koska uusi asiakas on hakenut pankkipalvelua.</w:t>
            </w:r>
          </w:p>
          <w:p w14:paraId="6541ECB8" w14:textId="7269F4A9" w:rsidR="00B81226" w:rsidRDefault="00B81226">
            <w:pPr>
              <w:pStyle w:val="TableParagraph"/>
              <w:spacing w:before="108"/>
              <w:rPr>
                <w:rFonts w:ascii="Times New Roman" w:hAnsi="Times New Roman" w:cs="Times New Roman"/>
                <w:b/>
                <w:bCs/>
                <w:color w:val="000000" w:themeColor="text1"/>
                <w:sz w:val="20"/>
                <w:szCs w:val="20"/>
              </w:rPr>
            </w:pPr>
          </w:p>
        </w:tc>
      </w:tr>
      <w:tr w:rsidR="00B81226" w14:paraId="7FE1BC3F" w14:textId="77777777">
        <w:tc>
          <w:tcPr>
            <w:tcW w:w="1080" w:type="dxa"/>
            <w:tcBorders>
              <w:top w:val="single" w:sz="4" w:space="0" w:color="1A171C"/>
              <w:left w:val="nil"/>
              <w:bottom w:val="single" w:sz="4" w:space="0" w:color="1A171C"/>
              <w:right w:val="single" w:sz="4" w:space="0" w:color="1A171C"/>
            </w:tcBorders>
            <w:vAlign w:val="center"/>
          </w:tcPr>
          <w:p w14:paraId="7FE1BC3D" w14:textId="77777777" w:rsidR="00B81226" w:rsidRDefault="00B82AC2">
            <w:pPr>
              <w:pStyle w:val="P68B1DB1-TableParagraph17"/>
              <w:spacing w:before="108"/>
              <w:jc w:val="both"/>
            </w:pPr>
            <w:r>
              <w:t>0230–0250</w:t>
            </w:r>
          </w:p>
        </w:tc>
        <w:tc>
          <w:tcPr>
            <w:tcW w:w="8003" w:type="dxa"/>
            <w:tcBorders>
              <w:top w:val="single" w:sz="4" w:space="0" w:color="1A171C"/>
              <w:left w:val="single" w:sz="4" w:space="0" w:color="1A171C"/>
              <w:bottom w:val="single" w:sz="4" w:space="0" w:color="1A171C"/>
              <w:right w:val="nil"/>
            </w:tcBorders>
            <w:vAlign w:val="center"/>
          </w:tcPr>
          <w:p w14:paraId="7FE1BC3E" w14:textId="77777777" w:rsidR="00B81226" w:rsidRDefault="00B82AC2">
            <w:pPr>
              <w:pStyle w:val="P68B1DB1-TableParagraph14"/>
              <w:spacing w:before="108"/>
              <w:rPr>
                <w:bCs/>
              </w:rPr>
            </w:pPr>
            <w:r>
              <w:t>Kriittisyysarviointi</w:t>
            </w:r>
          </w:p>
        </w:tc>
      </w:tr>
      <w:tr w:rsidR="00B81226" w14:paraId="7FE1BC45" w14:textId="77777777">
        <w:tc>
          <w:tcPr>
            <w:tcW w:w="1080" w:type="dxa"/>
            <w:tcBorders>
              <w:top w:val="single" w:sz="4" w:space="0" w:color="1A171C"/>
              <w:left w:val="nil"/>
              <w:bottom w:val="single" w:sz="4" w:space="0" w:color="1A171C"/>
              <w:right w:val="single" w:sz="4" w:space="0" w:color="1A171C"/>
            </w:tcBorders>
            <w:vAlign w:val="center"/>
          </w:tcPr>
          <w:p w14:paraId="7FE1BC40" w14:textId="77777777" w:rsidR="00B81226" w:rsidRDefault="00B82AC2">
            <w:pPr>
              <w:pStyle w:val="P68B1DB1-TableParagraph17"/>
              <w:spacing w:before="108"/>
              <w:jc w:val="both"/>
            </w:pPr>
            <w:r>
              <w:t>0230</w:t>
            </w:r>
          </w:p>
        </w:tc>
        <w:tc>
          <w:tcPr>
            <w:tcW w:w="8003" w:type="dxa"/>
            <w:tcBorders>
              <w:top w:val="single" w:sz="4" w:space="0" w:color="1A171C"/>
              <w:left w:val="single" w:sz="4" w:space="0" w:color="1A171C"/>
              <w:bottom w:val="single" w:sz="4" w:space="0" w:color="1A171C"/>
              <w:right w:val="nil"/>
            </w:tcBorders>
            <w:vAlign w:val="center"/>
          </w:tcPr>
          <w:p w14:paraId="7FE1BC41" w14:textId="77777777" w:rsidR="00B81226" w:rsidRDefault="00B82AC2">
            <w:pPr>
              <w:pStyle w:val="P68B1DB1-TableParagraph13"/>
              <w:spacing w:before="108"/>
            </w:pPr>
            <w:r>
              <w:t xml:space="preserve">Vaikutus markkinoihin </w:t>
            </w:r>
          </w:p>
          <w:p w14:paraId="7FE1BC42" w14:textId="77777777" w:rsidR="00B81226" w:rsidRDefault="00B82AC2">
            <w:pPr>
              <w:pStyle w:val="P68B1DB1-TableParagraph13"/>
              <w:spacing w:before="108"/>
            </w:pPr>
            <w:r>
              <w:t>Toiminnon yhtäkkisen keskeytymisen arvioitu vaikutus kolmansiin osapuoliin, rahoitusmarkkinoihin ja reaalitalouteen, kun otetaan huomioon laitoksen koko, markkinaosuus kyseisessä maassa, ulkoiset ja sisäiset sidokset, monitahoisuus ja rajatylittävä toiminta.</w:t>
            </w:r>
          </w:p>
          <w:p w14:paraId="7FE1BC43" w14:textId="46266FB9" w:rsidR="00B81226" w:rsidRDefault="00B82AC2">
            <w:pPr>
              <w:pStyle w:val="P68B1DB1-TableParagraph13"/>
              <w:spacing w:before="108"/>
            </w:pPr>
            <w:r>
              <w:t>Tämä arvio ilmaistaan laadullisesti seuraavasti: ”korkea”, ”keskitasoinen”, ”keskitasoinen” tai ”alhainen”.</w:t>
            </w:r>
          </w:p>
          <w:p w14:paraId="7FE1BC44" w14:textId="7CCB4614" w:rsidR="00B81226" w:rsidRDefault="00B82AC2">
            <w:pPr>
              <w:pStyle w:val="P68B1DB1-TableParagraph13"/>
              <w:spacing w:before="108"/>
            </w:pPr>
            <w:r>
              <w:t>Ilmoitetaan ”High”, jos toiminnon keskeytyminen vaikuttaa hyvin merkittävästi kansallisiin markkinoihin; ”MH”, jos vaikutus on merkittävä; ”Medium-Low”, jos vaikutus on olennainen mutta rajallinen; ja ”Vähäinen”, jos vaikutus on vähäinen.</w:t>
            </w:r>
          </w:p>
        </w:tc>
      </w:tr>
      <w:tr w:rsidR="00B81226" w14:paraId="7FE1BC52" w14:textId="77777777">
        <w:tc>
          <w:tcPr>
            <w:tcW w:w="1080" w:type="dxa"/>
            <w:tcBorders>
              <w:top w:val="single" w:sz="4" w:space="0" w:color="1A171C"/>
              <w:left w:val="nil"/>
              <w:bottom w:val="single" w:sz="4" w:space="0" w:color="1A171C"/>
              <w:right w:val="single" w:sz="4" w:space="0" w:color="1A171C"/>
            </w:tcBorders>
            <w:vAlign w:val="center"/>
          </w:tcPr>
          <w:p w14:paraId="7FE1BC46" w14:textId="77777777" w:rsidR="00B81226" w:rsidRDefault="00B82AC2">
            <w:pPr>
              <w:pStyle w:val="P68B1DB1-TableParagraph17"/>
              <w:spacing w:before="108"/>
              <w:jc w:val="both"/>
            </w:pPr>
            <w:r>
              <w:t>0240</w:t>
            </w:r>
          </w:p>
        </w:tc>
        <w:tc>
          <w:tcPr>
            <w:tcW w:w="8003" w:type="dxa"/>
            <w:tcBorders>
              <w:top w:val="single" w:sz="4" w:space="0" w:color="1A171C"/>
              <w:left w:val="single" w:sz="4" w:space="0" w:color="1A171C"/>
              <w:bottom w:val="single" w:sz="4" w:space="0" w:color="1A171C"/>
              <w:right w:val="nil"/>
            </w:tcBorders>
            <w:vAlign w:val="center"/>
          </w:tcPr>
          <w:p w14:paraId="7FE1BC47" w14:textId="77777777" w:rsidR="00B81226" w:rsidRDefault="00B82AC2">
            <w:pPr>
              <w:pStyle w:val="P68B1DB1-TableParagraph14"/>
              <w:spacing w:before="108"/>
              <w:rPr>
                <w:bCs/>
              </w:rPr>
            </w:pPr>
            <w:r>
              <w:t>Korvattavuus</w:t>
            </w:r>
          </w:p>
          <w:p w14:paraId="7FE1BC48" w14:textId="77777777" w:rsidR="00B81226" w:rsidRDefault="00B82AC2">
            <w:pPr>
              <w:pStyle w:val="P68B1DB1-TableParagraph13"/>
              <w:spacing w:before="108"/>
            </w:pPr>
            <w:r>
              <w:t>Delegoidun asetuksen (EU) 2016/778 6 artiklan 3 kohta.</w:t>
            </w:r>
          </w:p>
          <w:p w14:paraId="7FE1BC49" w14:textId="77777777" w:rsidR="00B81226" w:rsidRDefault="00B82AC2">
            <w:pPr>
              <w:pStyle w:val="P68B1DB1-TableParagraph13"/>
              <w:spacing w:before="108"/>
            </w:pPr>
            <w:r>
              <w:t>Toiminto katsotaan korvattavissa olevaksi, jos se voidaan korvata hyväksyttävällä tavalla ja kohtuullisessa ajassa samalla, kun vältetään järjestelmätason ongelmat reaalitaloudessa ja finanssimarkkinoilla. Seuraavat tekijät on otettava huomioon:</w:t>
            </w:r>
          </w:p>
          <w:p w14:paraId="7FE1BC4A" w14:textId="77777777" w:rsidR="00B81226" w:rsidRDefault="00B82AC2">
            <w:pPr>
              <w:pStyle w:val="P68B1DB1-TableParagraph13"/>
              <w:spacing w:before="108"/>
            </w:pPr>
            <w:r>
              <w:t xml:space="preserve">(a) kyseisen toiminnon markkinoiden rakenne ja korvaavien tarjoajien saatavilla olo; </w:t>
            </w:r>
          </w:p>
          <w:p w14:paraId="7FE1BC4B" w14:textId="77777777" w:rsidR="00B81226" w:rsidRDefault="00B82AC2">
            <w:pPr>
              <w:pStyle w:val="P68B1DB1-TableParagraph13"/>
              <w:spacing w:before="108"/>
            </w:pPr>
            <w:r>
              <w:t xml:space="preserve">(b) muiden tarjoajien kapasiteettivalmiudet, toiminnon suorittamista koskevat vaatimukset ja mahdolliset markkinoille pääsyn tai toiminnan laajentamisen esteet; </w:t>
            </w:r>
          </w:p>
          <w:p w14:paraId="7FE1BC4C" w14:textId="77777777" w:rsidR="00B81226" w:rsidRDefault="00B82AC2">
            <w:pPr>
              <w:pStyle w:val="P68B1DB1-TableParagraph13"/>
              <w:spacing w:before="108"/>
            </w:pPr>
            <w:r>
              <w:t xml:space="preserve">(c) muiden tarjoajien kannustimet alkaa harjoittaa kyseistä toimintaa; </w:t>
            </w:r>
          </w:p>
          <w:p w14:paraId="7FE1BC4D" w14:textId="77777777" w:rsidR="00B81226" w:rsidRDefault="00B82AC2">
            <w:pPr>
              <w:pStyle w:val="P68B1DB1-TableParagraph13"/>
              <w:spacing w:before="108"/>
            </w:pPr>
            <w:r>
              <w:lastRenderedPageBreak/>
              <w:t>(d) aika, jonka palvelun käyttäjät tarvitsevat siirtyäkseen uuteen palveluntarjoajaan, ja siirrosta aiheutuvat kustannukset, aika, jonka muut kilpailijat tarvitsevat alkaakseen hoitaa toimintoja, ja se, onko kyseinen aika riittävän pitkä merkittävien häiriöiden ehkäisemiseksi riippuen palvelun tyypistä.</w:t>
            </w:r>
          </w:p>
          <w:p w14:paraId="7FE1BC4E" w14:textId="5259F9E9" w:rsidR="00B81226" w:rsidRDefault="00B82AC2">
            <w:pPr>
              <w:pStyle w:val="P68B1DB1-TableParagraph13"/>
              <w:spacing w:before="108"/>
            </w:pPr>
            <w:r>
              <w:t xml:space="preserve">Esitettävä kokonaisarvio kunkin toiminnon odotetusta korvattavuuden asteesta ottaen huomioon aiemmin arvioidut eri ulottuvuudet (markkinaosuus, markkinoiden keskittyminen, korvaamisen aika, oikeudelliset esteet ja markkinoille tulon tai laajentumisen toiminnalliset vaatimukset). Tämä arvio ilmaistaan laadullisesti seuraavasti: ”korkea”, ”keskitasoinen”, ”keskitasoinen” tai ”alhainen”. </w:t>
            </w:r>
          </w:p>
          <w:p w14:paraId="7FE1BC4F" w14:textId="2848C2C9" w:rsidR="00B81226" w:rsidRDefault="00B82AC2">
            <w:pPr>
              <w:pStyle w:val="P68B1DB1-TableParagraph13"/>
              <w:spacing w:before="108"/>
            </w:pPr>
            <w:r>
              <w:t>Ilmoitetaan ”H”, jos toinen pankki voi helposti tarjota toiminnon vastaavissa olosuhteissa kohtuullisessa ajassa;</w:t>
            </w:r>
          </w:p>
          <w:p w14:paraId="7FE1BC50" w14:textId="60D54ED6" w:rsidR="00B81226" w:rsidRDefault="00B82AC2">
            <w:pPr>
              <w:pStyle w:val="P68B1DB1-TableParagraph13"/>
              <w:spacing w:before="108"/>
            </w:pPr>
            <w:r>
              <w:t xml:space="preserve">”L”, jos toimintoa ei voida korvata helposti tai nopeasti; </w:t>
            </w:r>
          </w:p>
          <w:p w14:paraId="7FE1BC51" w14:textId="0F9A1660" w:rsidR="00B81226" w:rsidRDefault="00B82AC2">
            <w:pPr>
              <w:pStyle w:val="P68B1DB1-TableParagraph13"/>
              <w:spacing w:before="108"/>
            </w:pPr>
            <w:r>
              <w:t>”MH” ja ”ML” välitapauksissa ottaen huomioon eri ulottuvuudet (esim. markkinaosuus, markkinoiden keskittyminen, korvaamiseen kuluva aika sekä maahantulon tai laajentumisen oikeudelliset esteet ja niihin liittyen toimintaa koskevat vaatimukset).</w:t>
            </w:r>
          </w:p>
        </w:tc>
      </w:tr>
      <w:tr w:rsidR="00B81226" w14:paraId="7FE1BC57" w14:textId="77777777">
        <w:tc>
          <w:tcPr>
            <w:tcW w:w="1080" w:type="dxa"/>
            <w:tcBorders>
              <w:top w:val="single" w:sz="4" w:space="0" w:color="1A171C"/>
              <w:left w:val="nil"/>
              <w:bottom w:val="single" w:sz="4" w:space="0" w:color="1A171C"/>
              <w:right w:val="single" w:sz="4" w:space="0" w:color="1A171C"/>
            </w:tcBorders>
            <w:vAlign w:val="center"/>
          </w:tcPr>
          <w:p w14:paraId="7FE1BC53" w14:textId="77777777" w:rsidR="00B81226" w:rsidRDefault="00B82AC2">
            <w:pPr>
              <w:pStyle w:val="P68B1DB1-TableParagraph17"/>
              <w:spacing w:before="108"/>
              <w:jc w:val="both"/>
            </w:pPr>
            <w:r>
              <w:lastRenderedPageBreak/>
              <w:t>0250</w:t>
            </w:r>
          </w:p>
        </w:tc>
        <w:tc>
          <w:tcPr>
            <w:tcW w:w="8003" w:type="dxa"/>
            <w:tcBorders>
              <w:top w:val="single" w:sz="4" w:space="0" w:color="1A171C"/>
              <w:left w:val="single" w:sz="4" w:space="0" w:color="1A171C"/>
              <w:bottom w:val="single" w:sz="4" w:space="0" w:color="1A171C"/>
              <w:right w:val="nil"/>
            </w:tcBorders>
            <w:vAlign w:val="center"/>
          </w:tcPr>
          <w:p w14:paraId="7FE1BC54" w14:textId="77777777" w:rsidR="00B81226" w:rsidRDefault="00B82AC2">
            <w:pPr>
              <w:pStyle w:val="P68B1DB1-TableParagraph14"/>
              <w:spacing w:before="108"/>
              <w:rPr>
                <w:bCs/>
              </w:rPr>
            </w:pPr>
            <w:r>
              <w:t>Kriittinen toiminto</w:t>
            </w:r>
          </w:p>
          <w:p w14:paraId="7FE1BC55" w14:textId="77777777" w:rsidR="00B81226" w:rsidRDefault="00B82AC2">
            <w:pPr>
              <w:pStyle w:val="P68B1DB1-TableParagraph13"/>
              <w:spacing w:before="108"/>
            </w:pPr>
            <w:r>
              <w:t>Tässä sarakkeessa ilmoitetaan, katsotaanko taloudellisen toiminnan olevan kyseisen maan markkinoiden kannalta kriittinen, kun otetaan huomioon instituution suorittama vaikutus- ja korvaavuusanalyysi.</w:t>
            </w:r>
          </w:p>
          <w:p w14:paraId="7FE1BC56" w14:textId="77777777" w:rsidR="00B81226" w:rsidRDefault="00B82AC2">
            <w:pPr>
              <w:pStyle w:val="P68B1DB1-TableParagraph13"/>
              <w:spacing w:before="108"/>
            </w:pPr>
            <w:r>
              <w:t>Ilmoitetaan ”Kyllä” tai ”Ei”.</w:t>
            </w:r>
          </w:p>
        </w:tc>
      </w:tr>
      <w:tr w:rsidR="00B81226" w14:paraId="7FE1BC5B" w14:textId="77777777">
        <w:tc>
          <w:tcPr>
            <w:tcW w:w="1080" w:type="dxa"/>
            <w:tcBorders>
              <w:top w:val="single" w:sz="4" w:space="0" w:color="1A171C"/>
              <w:left w:val="nil"/>
              <w:bottom w:val="single" w:sz="4" w:space="0" w:color="1A171C"/>
              <w:right w:val="single" w:sz="4" w:space="0" w:color="1A171C"/>
            </w:tcBorders>
            <w:vAlign w:val="center"/>
          </w:tcPr>
          <w:p w14:paraId="7FE1BC58" w14:textId="77777777" w:rsidR="00B81226" w:rsidRDefault="00B82AC2">
            <w:pPr>
              <w:pStyle w:val="P68B1DB1-TableParagraph17"/>
              <w:spacing w:before="108"/>
              <w:jc w:val="both"/>
            </w:pPr>
            <w:r>
              <w:t>0260</w:t>
            </w:r>
          </w:p>
        </w:tc>
        <w:tc>
          <w:tcPr>
            <w:tcW w:w="8003" w:type="dxa"/>
            <w:tcBorders>
              <w:top w:val="single" w:sz="4" w:space="0" w:color="1A171C"/>
              <w:left w:val="single" w:sz="4" w:space="0" w:color="1A171C"/>
              <w:bottom w:val="single" w:sz="4" w:space="0" w:color="1A171C"/>
              <w:right w:val="nil"/>
            </w:tcBorders>
            <w:vAlign w:val="center"/>
          </w:tcPr>
          <w:p w14:paraId="7FE1BC59" w14:textId="77777777" w:rsidR="00B81226" w:rsidRDefault="00B82AC2">
            <w:pPr>
              <w:pStyle w:val="P68B1DB1-TableParagraph14"/>
              <w:spacing w:before="108"/>
              <w:rPr>
                <w:bCs/>
              </w:rPr>
            </w:pPr>
            <w:r>
              <w:t>Ryhmän huomautukset</w:t>
            </w:r>
          </w:p>
          <w:p w14:paraId="7FE1BC5A" w14:textId="77777777" w:rsidR="00B81226" w:rsidRDefault="00B82AC2">
            <w:pPr>
              <w:pStyle w:val="P68B1DB1-TableParagraph13"/>
              <w:spacing w:before="108"/>
            </w:pPr>
            <w:r>
              <w:t>Tässä kentässä raportoiva yhteisö voi selittää kaikki oletukset, joita on käytetty arvioitaessa raportoitujen toimintojen kriittisyyttä.</w:t>
            </w:r>
          </w:p>
        </w:tc>
      </w:tr>
    </w:tbl>
    <w:p w14:paraId="7FE1BC5C" w14:textId="77777777" w:rsidR="00B81226" w:rsidRDefault="00B81226">
      <w:pPr>
        <w:pStyle w:val="Instructionsberschrift2"/>
        <w:rPr>
          <w:rFonts w:ascii="Times New Roman" w:hAnsi="Times New Roman" w:cs="Times New Roman"/>
        </w:rPr>
      </w:pPr>
    </w:p>
    <w:p w14:paraId="7FE1BC5D" w14:textId="5C971E12" w:rsidR="00B81226" w:rsidRDefault="00B82AC2">
      <w:pPr>
        <w:pStyle w:val="P68B1DB1-Instructionsberschrift25"/>
      </w:pPr>
      <w:bookmarkStart w:id="119" w:name="_Toc208245448"/>
      <w:r>
        <w:t>II.13</w:t>
      </w:r>
      <w:r>
        <w:tab/>
        <w:t>Z 07.01.4 FUNC 1 CM</w:t>
      </w:r>
      <w:bookmarkEnd w:id="119"/>
    </w:p>
    <w:p w14:paraId="7FE1BC65" w14:textId="77777777" w:rsidR="00B81226" w:rsidRDefault="00B81226">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B81226" w14:paraId="7FE1BC6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C66" w14:textId="77777777" w:rsidR="00B81226" w:rsidRDefault="00B82AC2">
            <w:pPr>
              <w:pStyle w:val="P68B1DB1-TableParagraph17"/>
              <w:spacing w:before="108"/>
              <w:ind w:left="85"/>
              <w:jc w:val="both"/>
            </w:pPr>
            <w:r>
              <w:t>Sarakkeet</w:t>
            </w:r>
          </w:p>
        </w:tc>
        <w:tc>
          <w:tcPr>
            <w:tcW w:w="8003" w:type="dxa"/>
            <w:tcBorders>
              <w:top w:val="single" w:sz="4" w:space="0" w:color="1A171C"/>
              <w:left w:val="single" w:sz="4" w:space="0" w:color="1A171C"/>
              <w:bottom w:val="single" w:sz="4" w:space="0" w:color="1A171C"/>
              <w:right w:val="nil"/>
            </w:tcBorders>
            <w:shd w:val="clear" w:color="auto" w:fill="E4E5E5"/>
          </w:tcPr>
          <w:p w14:paraId="7FE1BC67" w14:textId="77777777" w:rsidR="00B81226" w:rsidRDefault="00B82AC2">
            <w:pPr>
              <w:pStyle w:val="P68B1DB1-TableParagraph17"/>
              <w:spacing w:before="108"/>
              <w:ind w:left="85" w:right="1"/>
              <w:jc w:val="both"/>
            </w:pPr>
            <w:r>
              <w:t>Ohjeet</w:t>
            </w:r>
          </w:p>
        </w:tc>
      </w:tr>
      <w:tr w:rsidR="00B81226" w14:paraId="7FE1BC6C" w14:textId="77777777">
        <w:tc>
          <w:tcPr>
            <w:tcW w:w="1080" w:type="dxa"/>
            <w:tcBorders>
              <w:top w:val="single" w:sz="4" w:space="0" w:color="1A171C"/>
              <w:left w:val="nil"/>
              <w:bottom w:val="single" w:sz="4" w:space="0" w:color="1A171C"/>
              <w:right w:val="single" w:sz="4" w:space="0" w:color="1A171C"/>
            </w:tcBorders>
            <w:vAlign w:val="center"/>
          </w:tcPr>
          <w:p w14:paraId="7FE1BC69" w14:textId="77777777" w:rsidR="00B81226" w:rsidRDefault="00B82AC2">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C6A" w14:textId="77777777" w:rsidR="00B81226" w:rsidRDefault="00B82AC2">
            <w:pPr>
              <w:pStyle w:val="P68B1DB1-TableParagraph14"/>
              <w:spacing w:before="108"/>
              <w:ind w:left="85"/>
              <w:jc w:val="both"/>
              <w:rPr>
                <w:bCs/>
              </w:rPr>
            </w:pPr>
            <w:r>
              <w:t>Taloudellisen toiminnon kuvaus</w:t>
            </w:r>
          </w:p>
          <w:p w14:paraId="7FE1BC6B" w14:textId="673475F1" w:rsidR="00B81226" w:rsidRDefault="00B82AC2">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Jos taloudellinen toiminto on tyyppiä ”Muu” (Z</w:t>
            </w:r>
            <w:r>
              <w:t xml:space="preserve">07.01.4 FUNC 1 CM </w:t>
            </w:r>
            <w:r>
              <w:rPr>
                <w:rFonts w:ascii="Times New Roman" w:eastAsia="Cambria" w:hAnsi="Times New Roman" w:cs="Times New Roman"/>
                <w:color w:val="000000" w:themeColor="text1"/>
                <w:sz w:val="20"/>
                <w:szCs w:val="20"/>
              </w:rPr>
              <w:t xml:space="preserve">r0290–r0310), tästä toiminnosta on annettava kuvaus. </w:t>
            </w:r>
          </w:p>
        </w:tc>
      </w:tr>
      <w:tr w:rsidR="00B81226" w14:paraId="7FE1BC70" w14:textId="77777777">
        <w:tc>
          <w:tcPr>
            <w:tcW w:w="1080" w:type="dxa"/>
            <w:tcBorders>
              <w:top w:val="single" w:sz="4" w:space="0" w:color="1A171C"/>
              <w:left w:val="nil"/>
              <w:bottom w:val="single" w:sz="4" w:space="0" w:color="1A171C"/>
              <w:right w:val="single" w:sz="4" w:space="0" w:color="1A171C"/>
            </w:tcBorders>
            <w:vAlign w:val="center"/>
          </w:tcPr>
          <w:p w14:paraId="7FE1BC6D" w14:textId="77777777" w:rsidR="00B81226" w:rsidRDefault="00B82AC2">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C6E" w14:textId="77777777" w:rsidR="00B81226" w:rsidRDefault="00B82AC2">
            <w:pPr>
              <w:pStyle w:val="P68B1DB1-TableParagraph14"/>
              <w:spacing w:before="108"/>
              <w:ind w:left="85"/>
              <w:jc w:val="both"/>
              <w:rPr>
                <w:bCs/>
              </w:rPr>
            </w:pPr>
            <w:r>
              <w:t xml:space="preserve">Markkinaosuus </w:t>
            </w:r>
          </w:p>
          <w:p w14:paraId="7FE1BC6F" w14:textId="629D801B" w:rsidR="00B81226" w:rsidRDefault="00B82AC2">
            <w:pPr>
              <w:pStyle w:val="P68B1DB1-TableParagraph17"/>
              <w:spacing w:before="108"/>
              <w:ind w:left="85"/>
            </w:pPr>
            <w:r>
              <w:t>Arvio laitoksen tai konsernin markkinaosuudesta kyseisen taloudellisen toiminnon osalta kussakin maassa tai kullakin taloudellisella alueella. Prosenttiosuutena koko markkinasta notatiivisena arvona laskettuna. jälkimarkkinoiden kirjanpitoarvo ja ensimarkkinoiden maksutuotot.</w:t>
            </w:r>
          </w:p>
        </w:tc>
      </w:tr>
      <w:tr w:rsidR="00B81226" w14:paraId="7FE1BC77" w14:textId="77777777">
        <w:tc>
          <w:tcPr>
            <w:tcW w:w="1080" w:type="dxa"/>
            <w:tcBorders>
              <w:top w:val="single" w:sz="4" w:space="0" w:color="1A171C"/>
              <w:left w:val="nil"/>
              <w:bottom w:val="single" w:sz="4" w:space="0" w:color="1A171C"/>
              <w:right w:val="single" w:sz="4" w:space="0" w:color="1A171C"/>
            </w:tcBorders>
            <w:vAlign w:val="center"/>
          </w:tcPr>
          <w:p w14:paraId="7FE1BC71" w14:textId="77777777" w:rsidR="00B81226" w:rsidRDefault="00B82AC2">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C72" w14:textId="77777777" w:rsidR="00B81226" w:rsidRDefault="00B82AC2">
            <w:pPr>
              <w:pStyle w:val="P68B1DB1-TableParagraph14"/>
              <w:spacing w:before="108"/>
              <w:rPr>
                <w:bCs/>
              </w:rPr>
            </w:pPr>
            <w:r>
              <w:t>Nimellis arvo</w:t>
            </w:r>
          </w:p>
          <w:p w14:paraId="7FE1BC73" w14:textId="77777777" w:rsidR="00B81226" w:rsidRDefault="00B82AC2">
            <w:pPr>
              <w:pStyle w:val="P68B1DB1-TableParagraph17"/>
              <w:spacing w:before="108"/>
            </w:pPr>
            <w:r>
              <w:t xml:space="preserve">kaikkien sellaisten sopimusten nimellisbruttosumma, jotka on tehty mutta joita ei ole vielä toimitettu viitepäivänä. </w:t>
            </w:r>
          </w:p>
          <w:p w14:paraId="7FE1BC74" w14:textId="77777777" w:rsidR="00B81226" w:rsidRDefault="00B82AC2">
            <w:pPr>
              <w:pStyle w:val="P68B1DB1-TableParagraph17"/>
              <w:spacing w:before="108"/>
            </w:pPr>
            <w:r>
              <w:t>Viiteasiakirjat: Määritelmä, ks. FINREP-raportoinnin liitteessä V olevan 2 osan 133 kohta; tiedot, ks. FINREP-raportoinnin liitteet III, IV ja V:</w:t>
            </w:r>
          </w:p>
          <w:p w14:paraId="7FE1BC75" w14:textId="77777777" w:rsidR="00B81226" w:rsidRDefault="00B82AC2">
            <w:pPr>
              <w:pStyle w:val="P68B1DB1-TableParagraph17"/>
              <w:spacing w:before="108"/>
            </w:pPr>
            <w:r>
              <w:t>— Johdannaiset yhteensä (4.1–4.2): Lomake F 10.00, sarake 030, rivi 290.</w:t>
            </w:r>
          </w:p>
          <w:p w14:paraId="7FE1BC76" w14:textId="77777777" w:rsidR="00B81226" w:rsidRDefault="00B82AC2">
            <w:pPr>
              <w:pStyle w:val="P68B1DB1-TableParagraph17"/>
              <w:spacing w:before="108"/>
            </w:pPr>
            <w:r>
              <w:lastRenderedPageBreak/>
              <w:t>— OTC-johdannaiset (4.1): Lomake F 10.00, sarake 030, rivit 300+ 310+ 320.</w:t>
            </w:r>
          </w:p>
        </w:tc>
      </w:tr>
      <w:tr w:rsidR="00B81226" w14:paraId="7FE1BC7C" w14:textId="77777777">
        <w:tc>
          <w:tcPr>
            <w:tcW w:w="1080" w:type="dxa"/>
            <w:tcBorders>
              <w:top w:val="single" w:sz="4" w:space="0" w:color="1A171C"/>
              <w:left w:val="nil"/>
              <w:bottom w:val="single" w:sz="4" w:space="0" w:color="1A171C"/>
              <w:right w:val="single" w:sz="4" w:space="0" w:color="1A171C"/>
            </w:tcBorders>
            <w:vAlign w:val="center"/>
          </w:tcPr>
          <w:p w14:paraId="7FE1BC78" w14:textId="77777777" w:rsidR="00B81226" w:rsidRDefault="00B82AC2">
            <w:pPr>
              <w:pStyle w:val="P68B1DB1-TableParagraph17"/>
              <w:spacing w:before="108"/>
              <w:ind w:left="85"/>
              <w:jc w:val="both"/>
            </w:pPr>
            <w:r>
              <w:lastRenderedPageBreak/>
              <w:t>0040</w:t>
            </w:r>
          </w:p>
        </w:tc>
        <w:tc>
          <w:tcPr>
            <w:tcW w:w="8003" w:type="dxa"/>
            <w:tcBorders>
              <w:top w:val="single" w:sz="4" w:space="0" w:color="1A171C"/>
              <w:left w:val="single" w:sz="4" w:space="0" w:color="1A171C"/>
              <w:bottom w:val="single" w:sz="4" w:space="0" w:color="1A171C"/>
              <w:right w:val="nil"/>
            </w:tcBorders>
            <w:vAlign w:val="center"/>
          </w:tcPr>
          <w:p w14:paraId="7FE1BC79" w14:textId="77777777" w:rsidR="00B81226" w:rsidRDefault="00B82AC2">
            <w:pPr>
              <w:pStyle w:val="P68B1DB1-TableParagraph14"/>
              <w:spacing w:before="108"/>
              <w:rPr>
                <w:bCs/>
              </w:rPr>
            </w:pPr>
            <w:r>
              <w:t>Kirjanpitoarvo</w:t>
            </w:r>
          </w:p>
          <w:p w14:paraId="7FE1BC7A" w14:textId="77777777" w:rsidR="00B81226" w:rsidRDefault="00B82AC2">
            <w:pPr>
              <w:pStyle w:val="P68B1DB1-TableParagraph17"/>
              <w:spacing w:before="108"/>
            </w:pPr>
            <w:r>
              <w:t>Varojen kirjanpitoarvo – kirjanpitoarvo, joka ilmoitetaan taseen vastaavaa-puolella (kertyneet korot mukaan luettuina) [FINREP: Liitteessä V olevan 1 osan 27 kohta] oman pääoman ehtoisten instrumenttien ja velkapapereiden osalta [FINREP: Liitteessä V olevan 1 osan 31 kohta], luokiteltuna ”Kaupankäyntitarkoituksessa pidettäviksi” [FINREP: Liitteessä V olevan 1 osan 15 kohdan a alakohta ja 16 kohdan a alakohta].</w:t>
            </w:r>
          </w:p>
          <w:p w14:paraId="7FE1BC7B" w14:textId="77777777" w:rsidR="00B81226" w:rsidRDefault="00B82AC2">
            <w:pPr>
              <w:pStyle w:val="P68B1DB1-TableParagraph17"/>
              <w:spacing w:before="108"/>
            </w:pPr>
            <w:r>
              <w:t>Viite FINREP: Liite III, lomake F 04.01, sarake 010, rivit 010+ 060+ 120.</w:t>
            </w:r>
          </w:p>
        </w:tc>
      </w:tr>
      <w:tr w:rsidR="00B81226" w14:paraId="7FE1BC81" w14:textId="77777777">
        <w:tc>
          <w:tcPr>
            <w:tcW w:w="1080" w:type="dxa"/>
            <w:tcBorders>
              <w:top w:val="single" w:sz="4" w:space="0" w:color="1A171C"/>
              <w:left w:val="nil"/>
              <w:bottom w:val="single" w:sz="4" w:space="0" w:color="1A171C"/>
              <w:right w:val="single" w:sz="4" w:space="0" w:color="1A171C"/>
            </w:tcBorders>
            <w:vAlign w:val="center"/>
          </w:tcPr>
          <w:p w14:paraId="7FE1BC7D" w14:textId="77777777" w:rsidR="00B81226" w:rsidRDefault="00B82AC2">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C7E" w14:textId="77777777" w:rsidR="00B81226" w:rsidRDefault="00B82AC2">
            <w:pPr>
              <w:pStyle w:val="P68B1DB1-TableParagraph14"/>
              <w:spacing w:before="108"/>
              <w:jc w:val="both"/>
              <w:rPr>
                <w:bCs/>
              </w:rPr>
            </w:pPr>
            <w:r>
              <w:t>Maksutulot</w:t>
            </w:r>
          </w:p>
          <w:p w14:paraId="7FE1BC7F" w14:textId="77777777" w:rsidR="00B81226" w:rsidRDefault="00B82AC2">
            <w:pPr>
              <w:pStyle w:val="P68B1DB1-TableParagraph13"/>
              <w:spacing w:before="108"/>
              <w:jc w:val="both"/>
            </w:pPr>
            <w:r>
              <w:t>Maksut ja välityspalkkiot, jotka laitos on saanut osallistumisesta sellaisten arvopapereiden alullepanoon tai liikkeeseenlaskuun, joita se ei ole itse pannut alulle tai laskenut liikkeeseen;</w:t>
            </w:r>
          </w:p>
          <w:p w14:paraId="7FE1BC80" w14:textId="77777777" w:rsidR="00B81226" w:rsidRDefault="00B82AC2">
            <w:pPr>
              <w:pStyle w:val="P68B1DB1-TableParagraph13"/>
              <w:spacing w:before="108"/>
              <w:jc w:val="both"/>
            </w:pPr>
            <w:r>
              <w:t>Viite FINREP: Liite III, IV, lomake F 22.01 sarake 010, rivit 030+ 180.</w:t>
            </w:r>
          </w:p>
        </w:tc>
      </w:tr>
      <w:tr w:rsidR="00B81226" w14:paraId="7FE1BC87" w14:textId="77777777">
        <w:tc>
          <w:tcPr>
            <w:tcW w:w="1080" w:type="dxa"/>
            <w:tcBorders>
              <w:top w:val="single" w:sz="4" w:space="0" w:color="1A171C"/>
              <w:left w:val="nil"/>
              <w:bottom w:val="single" w:sz="4" w:space="0" w:color="1A171C"/>
              <w:right w:val="single" w:sz="4" w:space="0" w:color="1A171C"/>
            </w:tcBorders>
            <w:vAlign w:val="center"/>
          </w:tcPr>
          <w:p w14:paraId="7FE1BC82" w14:textId="77777777" w:rsidR="00B81226" w:rsidRDefault="00B82AC2">
            <w:pPr>
              <w:pStyle w:val="P68B1DB1-TableParagraph17"/>
              <w:spacing w:before="108"/>
              <w:jc w:val="both"/>
            </w:pPr>
            <w:r>
              <w:t>0060–0080</w:t>
            </w:r>
          </w:p>
        </w:tc>
        <w:tc>
          <w:tcPr>
            <w:tcW w:w="8003" w:type="dxa"/>
            <w:tcBorders>
              <w:top w:val="single" w:sz="4" w:space="0" w:color="1A171C"/>
              <w:left w:val="single" w:sz="4" w:space="0" w:color="1A171C"/>
              <w:bottom w:val="single" w:sz="4" w:space="0" w:color="1A171C"/>
              <w:right w:val="nil"/>
            </w:tcBorders>
            <w:vAlign w:val="center"/>
          </w:tcPr>
          <w:p w14:paraId="7FE1BC83" w14:textId="77777777" w:rsidR="00B81226" w:rsidRDefault="00B82AC2">
            <w:pPr>
              <w:pStyle w:val="P68B1DB1-TableParagraph14"/>
              <w:spacing w:before="108"/>
              <w:jc w:val="both"/>
              <w:rPr>
                <w:bCs/>
              </w:rPr>
            </w:pPr>
            <w:r>
              <w:t>Rajatylittävän toiminnan arvo</w:t>
            </w:r>
          </w:p>
          <w:p w14:paraId="7FE1BC84" w14:textId="4F4878AE" w:rsidR="00B81226" w:rsidRDefault="00B82AC2">
            <w:pPr>
              <w:pStyle w:val="P68B1DB1-TableParagraph13"/>
              <w:spacing w:before="108"/>
              <w:jc w:val="both"/>
            </w:pPr>
            <w:r>
              <w:t xml:space="preserve">Johdannaiset: kotimaan tai asianomaisen maan ulkopuolella jäljellä oleva nimellismäärä. </w:t>
            </w:r>
          </w:p>
          <w:p w14:paraId="7FE1BC85" w14:textId="77777777" w:rsidR="00B81226" w:rsidRDefault="00B82AC2">
            <w:pPr>
              <w:pStyle w:val="P68B1DB1-TableParagraph13"/>
              <w:spacing w:before="108"/>
              <w:jc w:val="both"/>
            </w:pPr>
            <w:r>
              <w:t>Jälkimarkkinat: kotimaan tai asianomaisen maan ulkopuolella jäljellä oleva bruttomääräinen kirjanpitoarvo. Taustaviitteet: FINREP, liite III, taulukko 20.04, sarake 011, rivit 040+ 080, kaikki maat paitsi kotimaa tai muu asianomainen maa.</w:t>
            </w:r>
          </w:p>
          <w:p w14:paraId="7FE1BC86" w14:textId="68837303" w:rsidR="00B81226" w:rsidRDefault="00B82AC2">
            <w:pPr>
              <w:pStyle w:val="P68B1DB1-TableParagraph13"/>
              <w:spacing w:before="108"/>
              <w:jc w:val="both"/>
            </w:pPr>
            <w:r>
              <w:t>Ensimarkkinat: kotimaan tai asianomaisen maan ulkopuolella saadut maksutulot.</w:t>
            </w:r>
          </w:p>
        </w:tc>
      </w:tr>
      <w:tr w:rsidR="00B81226" w14:paraId="7FE1BC8B" w14:textId="77777777">
        <w:tc>
          <w:tcPr>
            <w:tcW w:w="1080" w:type="dxa"/>
            <w:tcBorders>
              <w:top w:val="single" w:sz="4" w:space="0" w:color="1A171C"/>
              <w:left w:val="nil"/>
              <w:bottom w:val="single" w:sz="4" w:space="0" w:color="1A171C"/>
              <w:right w:val="single" w:sz="4" w:space="0" w:color="1A171C"/>
            </w:tcBorders>
            <w:vAlign w:val="center"/>
          </w:tcPr>
          <w:p w14:paraId="7FE1BC88" w14:textId="77777777" w:rsidR="00B81226" w:rsidRDefault="00B82AC2">
            <w:pPr>
              <w:pStyle w:val="P68B1DB1-TableParagraph17"/>
              <w:spacing w:before="108"/>
              <w:ind w:left="85"/>
              <w:jc w:val="both"/>
            </w:pPr>
            <w:r>
              <w:t>0090–0100</w:t>
            </w:r>
          </w:p>
        </w:tc>
        <w:tc>
          <w:tcPr>
            <w:tcW w:w="8003" w:type="dxa"/>
            <w:tcBorders>
              <w:top w:val="single" w:sz="4" w:space="0" w:color="1A171C"/>
              <w:left w:val="single" w:sz="4" w:space="0" w:color="1A171C"/>
              <w:bottom w:val="single" w:sz="4" w:space="0" w:color="1A171C"/>
              <w:right w:val="nil"/>
            </w:tcBorders>
            <w:vAlign w:val="center"/>
          </w:tcPr>
          <w:p w14:paraId="7FE1BC89" w14:textId="77777777" w:rsidR="00B81226" w:rsidRDefault="00B82AC2">
            <w:pPr>
              <w:pStyle w:val="P68B1DB1-TableParagraph14"/>
              <w:spacing w:before="108"/>
              <w:jc w:val="both"/>
              <w:rPr>
                <w:bCs/>
              </w:rPr>
            </w:pPr>
            <w:r>
              <w:t>Vastapuolten tai tapahtumien lukumäärä.</w:t>
            </w:r>
          </w:p>
          <w:p w14:paraId="7FE1BC8A" w14:textId="77777777" w:rsidR="00B81226" w:rsidRDefault="00B82AC2">
            <w:pPr>
              <w:pStyle w:val="P68B1DB1-TableParagraph13"/>
              <w:spacing w:before="108"/>
              <w:jc w:val="both"/>
              <w:rPr>
                <w:b/>
                <w:bCs/>
              </w:rPr>
            </w:pPr>
            <w:r>
              <w:t>Johdannaisten ja jälkimarkkinoiden osalta vastapuolten kokonaismäärä. Ensimarkkinoiden osalta merkintäsitoumusliiketoimien kokonaismäärä.</w:t>
            </w:r>
          </w:p>
        </w:tc>
      </w:tr>
      <w:tr w:rsidR="00B81226" w14:paraId="7FE1BC94" w14:textId="77777777">
        <w:tc>
          <w:tcPr>
            <w:tcW w:w="1080" w:type="dxa"/>
            <w:tcBorders>
              <w:top w:val="single" w:sz="4" w:space="0" w:color="1A171C"/>
              <w:left w:val="nil"/>
              <w:bottom w:val="single" w:sz="4" w:space="0" w:color="1A171C"/>
              <w:right w:val="single" w:sz="4" w:space="0" w:color="1A171C"/>
            </w:tcBorders>
            <w:vAlign w:val="center"/>
          </w:tcPr>
          <w:p w14:paraId="7FE1BC8C" w14:textId="77777777" w:rsidR="00B81226" w:rsidRDefault="00B82AC2">
            <w:pPr>
              <w:pStyle w:val="P68B1DB1-TableParagraph17"/>
              <w:spacing w:before="108"/>
              <w:ind w:left="85"/>
              <w:jc w:val="both"/>
            </w:pPr>
            <w:r>
              <w:t>0110–0180</w:t>
            </w:r>
          </w:p>
        </w:tc>
        <w:tc>
          <w:tcPr>
            <w:tcW w:w="8003" w:type="dxa"/>
            <w:tcBorders>
              <w:top w:val="single" w:sz="4" w:space="0" w:color="1A171C"/>
              <w:left w:val="single" w:sz="4" w:space="0" w:color="1A171C"/>
              <w:bottom w:val="single" w:sz="4" w:space="0" w:color="1A171C"/>
              <w:right w:val="nil"/>
            </w:tcBorders>
            <w:vAlign w:val="center"/>
          </w:tcPr>
          <w:p w14:paraId="7FE1BC8D" w14:textId="77777777" w:rsidR="00B81226" w:rsidRDefault="00B82AC2">
            <w:pPr>
              <w:pStyle w:val="P68B1DB1-TableParagraph14"/>
              <w:spacing w:before="108"/>
              <w:jc w:val="both"/>
              <w:rPr>
                <w:bCs/>
              </w:rPr>
            </w:pPr>
            <w:r>
              <w:t>Vaikutus- ja korvattavuusanalyysit</w:t>
            </w:r>
          </w:p>
          <w:p w14:paraId="7FE1BC8E" w14:textId="77777777" w:rsidR="00B81226" w:rsidRDefault="00B82AC2">
            <w:pPr>
              <w:pStyle w:val="P68B1DB1-TableParagraph13"/>
              <w:spacing w:before="108"/>
              <w:jc w:val="both"/>
            </w:pPr>
            <w:r>
              <w:t>Kolmansiin osapuoliin kohdistuvan vaikutuksen arviointikriteereihin on sisällyttävä seuraavat osatekijät kriittisistä toiminnoista annetun komission delegoidun asetuksen (EU) 2016/778 mukaisesti:</w:t>
            </w:r>
          </w:p>
          <w:p w14:paraId="7FE1BC8F" w14:textId="77777777" w:rsidR="00B81226" w:rsidRDefault="00B82AC2">
            <w:pPr>
              <w:pStyle w:val="P68B1DB1-ListParagraph38"/>
              <w:numPr>
                <w:ilvl w:val="0"/>
                <w:numId w:val="131"/>
              </w:numPr>
              <w:spacing w:line="276" w:lineRule="auto"/>
            </w:pPr>
            <w:r>
              <w:t>toiminnan luonne ja laajuus, maailmanlaajuinen, kansallinen tai alueellinen ulottuvuus sekä transaktioiden volyymi ja lukumäärä; asiakkaiden ja vastapuolten lukumäärä; niiden asiakkaiden lukumäärä, joille laitos on ainoa tai pääasiallinen pankkikumppani;</w:t>
            </w:r>
          </w:p>
          <w:p w14:paraId="7FE1BC90" w14:textId="77777777" w:rsidR="00B81226" w:rsidRDefault="00B82AC2">
            <w:pPr>
              <w:pStyle w:val="P68B1DB1-ListParagraph38"/>
              <w:numPr>
                <w:ilvl w:val="0"/>
                <w:numId w:val="131"/>
              </w:numPr>
              <w:spacing w:line="276" w:lineRule="auto"/>
            </w:pPr>
            <w:r>
              <w:t>laitoksen merkitys paikallisella, alueellisella, kansallisella tai Euroopan tasolla asianomaisista markkinoista riippuen. Laitoksen merkitystä voidaan arvioida markkinaosuuden, sidosten, monitahoisuuden ja valtioiden rajat ylittävän toiminnan perusteella.</w:t>
            </w:r>
          </w:p>
          <w:p w14:paraId="7FE1BC91" w14:textId="77777777" w:rsidR="00B81226" w:rsidRDefault="00B82AC2">
            <w:pPr>
              <w:pStyle w:val="P68B1DB1-ListParagraph38"/>
              <w:numPr>
                <w:ilvl w:val="0"/>
                <w:numId w:val="131"/>
              </w:numPr>
              <w:spacing w:line="276" w:lineRule="auto"/>
            </w:pPr>
            <w:r>
              <w:t xml:space="preserve">niiden asiakkaiden ja sidosryhmien luonne, joihin toiminto vaikuttaa, kuten muun muassa vähittäisasiakkaat, yritysasiakkaat, pankkien väliset asiakkaat, keskusvastapuoliyhteisöt ja julkisyhteisöt; </w:t>
            </w:r>
          </w:p>
          <w:p w14:paraId="7FE1BC92" w14:textId="77777777" w:rsidR="00B81226" w:rsidRDefault="00B82AC2">
            <w:pPr>
              <w:pStyle w:val="P68B1DB1-ListParagraph38"/>
              <w:numPr>
                <w:ilvl w:val="0"/>
                <w:numId w:val="131"/>
              </w:numPr>
              <w:spacing w:line="276" w:lineRule="auto"/>
            </w:pPr>
            <w:r>
              <w:t>toiminnon mahdollisesti aiheuttama häiriö markkinoilla, infrastruktuureissa, asiakkaiden keskuudessa ja julkisissa palveluissa. Arvioinnissa voidaan ottaa huomioon erityisesti vaikutus kyseisten markkinoiden likvidiyteen, asiakasyrityksissä aiheutuneen häiriön vaikutus ja laajuus sekä lyhyen aikavälin likviditeettitarpeet; merkityksellisyys vastapuolten, asiakkaiden ja yleisön kannalta; asiakkaiden reagointikyky ja -nopeus; merkitys muiden markkinoiden toiminnan kannalta; vaikutus muiden markkinoiden likvid</w:t>
            </w:r>
            <w:r>
              <w:t>iyteen, toimintoihin ja rakenteeseen; vaikutus tärkeimpiin asiakkaisiin sidossuhteessa oleviin muihin vastapuoliin ja toiminnon vuorovaikutus muiden palveluiden kanssa.</w:t>
            </w:r>
          </w:p>
          <w:p w14:paraId="7FE1BC93" w14:textId="77777777" w:rsidR="00B81226" w:rsidRDefault="00B81226">
            <w:pPr>
              <w:pStyle w:val="TableParagraph"/>
              <w:spacing w:before="108"/>
              <w:jc w:val="both"/>
              <w:rPr>
                <w:rFonts w:ascii="Times New Roman" w:hAnsi="Times New Roman" w:cs="Times New Roman"/>
                <w:color w:val="000000" w:themeColor="text1"/>
                <w:sz w:val="20"/>
                <w:szCs w:val="20"/>
              </w:rPr>
            </w:pPr>
          </w:p>
        </w:tc>
      </w:tr>
      <w:tr w:rsidR="00B81226" w14:paraId="7FE1BC98" w14:textId="77777777">
        <w:tc>
          <w:tcPr>
            <w:tcW w:w="1080" w:type="dxa"/>
            <w:tcBorders>
              <w:top w:val="single" w:sz="4" w:space="0" w:color="1A171C"/>
              <w:left w:val="nil"/>
              <w:bottom w:val="single" w:sz="4" w:space="0" w:color="1A171C"/>
              <w:right w:val="single" w:sz="4" w:space="0" w:color="1A171C"/>
            </w:tcBorders>
            <w:vAlign w:val="center"/>
          </w:tcPr>
          <w:p w14:paraId="7FE1BC95" w14:textId="77777777" w:rsidR="00B81226" w:rsidRDefault="00B82AC2">
            <w:pPr>
              <w:pStyle w:val="P68B1DB1-TableParagraph17"/>
              <w:spacing w:before="108"/>
              <w:ind w:left="85"/>
              <w:jc w:val="both"/>
            </w:pPr>
            <w:r>
              <w:lastRenderedPageBreak/>
              <w:t>0110–0130</w:t>
            </w:r>
          </w:p>
        </w:tc>
        <w:tc>
          <w:tcPr>
            <w:tcW w:w="8003" w:type="dxa"/>
            <w:tcBorders>
              <w:top w:val="single" w:sz="4" w:space="0" w:color="1A171C"/>
              <w:left w:val="single" w:sz="4" w:space="0" w:color="1A171C"/>
              <w:bottom w:val="single" w:sz="4" w:space="0" w:color="1A171C"/>
              <w:right w:val="nil"/>
            </w:tcBorders>
            <w:vAlign w:val="center"/>
          </w:tcPr>
          <w:p w14:paraId="7FE1BC96" w14:textId="77777777" w:rsidR="00B81226" w:rsidRDefault="00B82AC2">
            <w:pPr>
              <w:pStyle w:val="P68B1DB1-TableParagraph14"/>
              <w:spacing w:before="108"/>
              <w:jc w:val="both"/>
              <w:rPr>
                <w:bCs/>
              </w:rPr>
            </w:pPr>
            <w:r>
              <w:t xml:space="preserve">Luonne ja laajuus </w:t>
            </w:r>
          </w:p>
          <w:p w14:paraId="7FE1BC97" w14:textId="77777777" w:rsidR="00B81226" w:rsidRDefault="00B82AC2">
            <w:pPr>
              <w:pStyle w:val="P68B1DB1-TableParagraph13"/>
              <w:spacing w:before="108"/>
              <w:jc w:val="both"/>
            </w:pPr>
            <w:r>
              <w:t>Maailmanlaajuinen, kansallinen tai alueellinen ulottuvuus sekä transaktioiden volyymi ja lukumäärä; asiakkaiden ja vastapuolten lukumäärä; niiden asiakkaiden lukumäärä, joille laitos on ainoa tai pääasiallinen pankkikumppani;</w:t>
            </w:r>
          </w:p>
        </w:tc>
      </w:tr>
      <w:tr w:rsidR="00B81226" w14:paraId="7FE1BC9E" w14:textId="77777777">
        <w:tc>
          <w:tcPr>
            <w:tcW w:w="1080" w:type="dxa"/>
            <w:tcBorders>
              <w:top w:val="single" w:sz="4" w:space="0" w:color="1A171C"/>
              <w:left w:val="nil"/>
              <w:bottom w:val="single" w:sz="4" w:space="0" w:color="1A171C"/>
              <w:right w:val="single" w:sz="4" w:space="0" w:color="1A171C"/>
            </w:tcBorders>
            <w:vAlign w:val="center"/>
          </w:tcPr>
          <w:p w14:paraId="7FE1BC99" w14:textId="77777777" w:rsidR="00B81226" w:rsidRDefault="00B82AC2">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C9A" w14:textId="77777777" w:rsidR="00B81226" w:rsidRDefault="00B82AC2">
            <w:pPr>
              <w:pStyle w:val="P68B1DB1-TableParagraph14"/>
              <w:spacing w:before="108"/>
              <w:jc w:val="both"/>
              <w:rPr>
                <w:bCs/>
              </w:rPr>
            </w:pPr>
            <w:r>
              <w:t>Kokoindikaattori 1</w:t>
            </w:r>
          </w:p>
          <w:p w14:paraId="4965F0DF" w14:textId="77777777" w:rsidR="00B81226" w:rsidRDefault="00B82AC2">
            <w:pPr>
              <w:pStyle w:val="P68B1DB1-Normal31"/>
              <w:spacing w:line="276" w:lineRule="auto"/>
              <w:jc w:val="both"/>
            </w:pPr>
            <w:r>
              <w:t>Arvioi pankin merkitystä näissä toiminnoissa. Tämä arvio ilmaistaan laadullisesti seuraavasti: ”korkea”, ”keskitasoinen”, ”keskitasoinen” tai ”alhainen”. Ilmoitetaan ”High”, jos funktio on suuri, ”keskikokoinen”, jos se on keskitasoinen, ”keskikokoinen”, jos se on pieni, ja ”pieni”, jos se on vähäinen. Tämän laadullisen arvioinnin vertailuarvona käytetään makrotaloudellisia muuttujia, kuten BKT:tä, väestöä (talletukset, luotonanto, maksut, käteisvarat, selvitys- ja säilytyspalvelut) tai markkinoiden kokoa (</w:t>
            </w:r>
            <w:r>
              <w:t xml:space="preserve">pääomamarkkinoiden ja tukkurahoituksen osalta). </w:t>
            </w:r>
          </w:p>
          <w:p w14:paraId="7FE1BC9B" w14:textId="478A7B58" w:rsidR="00B81226" w:rsidRDefault="00B82AC2">
            <w:pPr>
              <w:pStyle w:val="P68B1DB1-TableParagraph13"/>
              <w:spacing w:before="108"/>
              <w:jc w:val="both"/>
            </w:pPr>
            <w:r>
              <w:t xml:space="preserve"> </w:t>
            </w:r>
          </w:p>
          <w:p w14:paraId="7FE1BC9C" w14:textId="3823487E" w:rsidR="00B81226" w:rsidRDefault="00B82AC2">
            <w:pPr>
              <w:pStyle w:val="P68B1DB1-ListParagraph32"/>
              <w:numPr>
                <w:ilvl w:val="0"/>
                <w:numId w:val="126"/>
              </w:numPr>
              <w:spacing w:line="276" w:lineRule="auto"/>
            </w:pPr>
            <w:r>
              <w:t xml:space="preserve">Asiantuntija-arvio jäljellä olevan nimellismäärän </w:t>
            </w:r>
            <w:r>
              <w:rPr>
                <w:b/>
              </w:rPr>
              <w:t>arvosta</w:t>
            </w:r>
            <w:r>
              <w:t xml:space="preserve"> (s. 0030 funktioiden 4.1 ja 4.2 osalta) kirjanpitoarvo (tunnisteen 4.3 sarake 0040); tai maksutulot (tunnisteen 4.4 kohta 0050) </w:t>
            </w:r>
            <w:r>
              <w:rPr>
                <w:b/>
              </w:rPr>
              <w:t>maailmanlaajuisesta</w:t>
            </w:r>
            <w:r>
              <w:t xml:space="preserve"> näkökulmasta [</w:t>
            </w:r>
            <w:r>
              <w:rPr>
                <w:i/>
              </w:rPr>
              <w:t>yksi taso korkeampi kuin relevantit markkinat. Jos merkitykselliset markkinat ovat globaalit, koko 1 on turha eikä siitä tarvitse ilmoittaa]</w:t>
            </w:r>
            <w:r>
              <w:t>:</w:t>
            </w:r>
          </w:p>
          <w:p w14:paraId="7FE1BC9D" w14:textId="77777777" w:rsidR="00B81226" w:rsidRDefault="00B82AC2">
            <w:pPr>
              <w:pStyle w:val="P68B1DB1-TableParagraph33"/>
              <w:spacing w:before="108"/>
              <w:jc w:val="both"/>
              <w:rPr>
                <w:rFonts w:cs="Times New Roman"/>
                <w:color w:val="000000" w:themeColor="text1"/>
              </w:rPr>
            </w:pPr>
            <w:r>
              <w:t>Kuinka suuri on mielestäsi kokonaisnimellismäärä tai kertyneet kirjanpitoarvot tai palkkiotuotot?</w:t>
            </w:r>
          </w:p>
        </w:tc>
      </w:tr>
      <w:tr w:rsidR="00B81226" w14:paraId="7FE1BCA5" w14:textId="77777777">
        <w:tc>
          <w:tcPr>
            <w:tcW w:w="1080" w:type="dxa"/>
            <w:tcBorders>
              <w:top w:val="single" w:sz="4" w:space="0" w:color="1A171C"/>
              <w:left w:val="nil"/>
              <w:bottom w:val="single" w:sz="4" w:space="0" w:color="1A171C"/>
              <w:right w:val="single" w:sz="4" w:space="0" w:color="1A171C"/>
            </w:tcBorders>
            <w:vAlign w:val="center"/>
          </w:tcPr>
          <w:p w14:paraId="7FE1BC9F" w14:textId="77777777" w:rsidR="00B81226" w:rsidRDefault="00B82AC2">
            <w:pPr>
              <w:pStyle w:val="P68B1DB1-TableParagraph17"/>
              <w:spacing w:before="108"/>
              <w:ind w:left="85"/>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CA0" w14:textId="77777777" w:rsidR="00B81226" w:rsidRDefault="00B82AC2">
            <w:pPr>
              <w:pStyle w:val="P68B1DB1-TableParagraph14"/>
              <w:spacing w:before="108"/>
              <w:jc w:val="both"/>
              <w:rPr>
                <w:bCs/>
              </w:rPr>
            </w:pPr>
            <w:r>
              <w:t>Kokoindikaattori 2</w:t>
            </w:r>
          </w:p>
          <w:p w14:paraId="419C7762" w14:textId="77777777" w:rsidR="00B81226" w:rsidRDefault="00B82AC2">
            <w:pPr>
              <w:pStyle w:val="P68B1DB1-Normal31"/>
              <w:spacing w:line="276" w:lineRule="auto"/>
              <w:jc w:val="both"/>
            </w:pPr>
            <w:r>
              <w:t>Arvioi pankin merkitystä näissä toiminnoissa. Tämä arvio ilmaistaan laadullisesti seuraavasti: ”korkea”, ”keskitasoinen”, ”keskitasoinen” tai ”alhainen”. Ilmoitetaan ”High”, jos funktio on suuri, ”keskikokoinen”, jos se on keskitasoinen, ”keskikokoinen”, jos se on pieni, ja ”pieni”, jos se on vähäinen. Tämän laadullisen arvioinnin vertailuarvona käytetään makrotaloudellisia muuttujia, kuten BKT:tä, väestöä (talletukset, luotonanto, maksut, käteisvarat, selvitys- ja säilytyspalvelut) tai markkinoiden kokoa (</w:t>
            </w:r>
            <w:r>
              <w:t xml:space="preserve">pääomamarkkinoiden ja tukkurahoituksen osalta). </w:t>
            </w:r>
          </w:p>
          <w:p w14:paraId="7FE1BCA1" w14:textId="7FB998B3" w:rsidR="00B81226" w:rsidRDefault="00B82AC2">
            <w:pPr>
              <w:pStyle w:val="P68B1DB1-TableParagraph13"/>
              <w:spacing w:before="108"/>
              <w:jc w:val="both"/>
            </w:pPr>
            <w:r>
              <w:t xml:space="preserve"> </w:t>
            </w:r>
          </w:p>
          <w:p w14:paraId="3C42A32E" w14:textId="77777777" w:rsidR="00B81226" w:rsidRDefault="00B82AC2">
            <w:pPr>
              <w:pStyle w:val="P68B1DB1-ListParagraph32"/>
              <w:numPr>
                <w:ilvl w:val="0"/>
                <w:numId w:val="124"/>
              </w:numPr>
              <w:spacing w:line="276" w:lineRule="auto"/>
            </w:pPr>
            <w:r>
              <w:t xml:space="preserve">Asiantuntija-arvio vastapuolten määrästä (sarake 0090 toiminnon tunnuksille 4.1, 4.2, 4.3) tai allekirjoitettujen tapahtumien </w:t>
            </w:r>
            <w:r>
              <w:rPr>
                <w:b/>
              </w:rPr>
              <w:t>määrästä</w:t>
            </w:r>
            <w:r>
              <w:t xml:space="preserve"> (sarake 0100 toiminnon tunnuksille 4.4) </w:t>
            </w:r>
            <w:r>
              <w:rPr>
                <w:b/>
              </w:rPr>
              <w:t>kansallisesta</w:t>
            </w:r>
            <w:r>
              <w:t xml:space="preserve"> näkökulmasta [</w:t>
            </w:r>
            <w:r>
              <w:rPr>
                <w:i/>
              </w:rPr>
              <w:t>merkityksellisten markkinoiden tasolla</w:t>
            </w:r>
            <w:r>
              <w:t>]:</w:t>
            </w:r>
          </w:p>
          <w:p w14:paraId="7FE1BCA3" w14:textId="77777777" w:rsidR="00B81226" w:rsidRDefault="00B82AC2">
            <w:pPr>
              <w:pStyle w:val="P68B1DB1-ListParagraph32"/>
              <w:numPr>
                <w:ilvl w:val="1"/>
                <w:numId w:val="124"/>
              </w:numPr>
              <w:spacing w:line="276" w:lineRule="auto"/>
            </w:pPr>
            <w:r>
              <w:t>Kuinka merkittäväksi arvioitte laitoksenne vastapuolten</w:t>
            </w:r>
            <w:r>
              <w:rPr>
                <w:i/>
              </w:rPr>
              <w:t xml:space="preserve"> tai</w:t>
            </w:r>
            <w:r>
              <w:t xml:space="preserve"> merkintäsitoumustapahtumien lukumäärän kansallisesta näkökulmasta tarkasteltuna?</w:t>
            </w:r>
          </w:p>
          <w:p w14:paraId="7FE1BCA4" w14:textId="77777777" w:rsidR="00B81226" w:rsidRDefault="00B81226">
            <w:pPr>
              <w:pStyle w:val="TableParagraph"/>
              <w:spacing w:before="108"/>
              <w:jc w:val="both"/>
              <w:rPr>
                <w:rFonts w:ascii="Times New Roman" w:hAnsi="Times New Roman" w:cs="Times New Roman"/>
                <w:color w:val="000000" w:themeColor="text1"/>
                <w:sz w:val="20"/>
                <w:szCs w:val="20"/>
              </w:rPr>
            </w:pPr>
          </w:p>
        </w:tc>
      </w:tr>
      <w:tr w:rsidR="00B81226" w14:paraId="7FE1BCB0" w14:textId="77777777">
        <w:tc>
          <w:tcPr>
            <w:tcW w:w="1080" w:type="dxa"/>
            <w:tcBorders>
              <w:top w:val="single" w:sz="4" w:space="0" w:color="1A171C"/>
              <w:left w:val="nil"/>
              <w:bottom w:val="single" w:sz="4" w:space="0" w:color="1A171C"/>
              <w:right w:val="single" w:sz="4" w:space="0" w:color="1A171C"/>
            </w:tcBorders>
            <w:vAlign w:val="center"/>
          </w:tcPr>
          <w:p w14:paraId="7FE1BCA6" w14:textId="77777777" w:rsidR="00B81226" w:rsidRDefault="00B82AC2">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CA7" w14:textId="77777777" w:rsidR="00B81226" w:rsidRDefault="00B82AC2">
            <w:pPr>
              <w:pStyle w:val="P68B1DB1-TableParagraph14"/>
              <w:spacing w:before="108"/>
              <w:jc w:val="both"/>
              <w:rPr>
                <w:bCs/>
              </w:rPr>
            </w:pPr>
            <w:r>
              <w:t>Rajatylittävää toimintaa koskeva indikaattori</w:t>
            </w:r>
          </w:p>
          <w:p w14:paraId="7FE1BCA8" w14:textId="77777777" w:rsidR="00B81226" w:rsidRDefault="00B82AC2">
            <w:pPr>
              <w:pStyle w:val="P68B1DB1-TableParagraph13"/>
              <w:spacing w:before="108"/>
              <w:jc w:val="both"/>
            </w:pPr>
            <w:r>
              <w:t>Arvioida rajat ylittävän toiminnan suhteellista merkitystä eri taloudellisille toiminnoille.</w:t>
            </w:r>
          </w:p>
          <w:p w14:paraId="7FE1BCA9" w14:textId="77777777" w:rsidR="00B81226" w:rsidRDefault="00B82AC2">
            <w:pPr>
              <w:pStyle w:val="P68B1DB1-TableParagraph13"/>
              <w:spacing w:before="108"/>
              <w:jc w:val="both"/>
            </w:pPr>
            <w:r>
              <w:t xml:space="preserve">Tätä ei tarvitse arvioida, jos kyse on raporteista, joissa merkitykselliset markkinat ovat alueelliset. </w:t>
            </w:r>
          </w:p>
          <w:p w14:paraId="7FE1BCAA" w14:textId="77777777" w:rsidR="00B81226" w:rsidRDefault="00B82AC2">
            <w:pPr>
              <w:pStyle w:val="P68B1DB1-ListParagraph32"/>
              <w:numPr>
                <w:ilvl w:val="0"/>
                <w:numId w:val="118"/>
              </w:numPr>
              <w:rPr>
                <w:i/>
                <w:iCs/>
              </w:rPr>
            </w:pPr>
            <w:r>
              <w:t xml:space="preserve">Raportoivan yhteisön rajatylittävän toiminnan osuus prosentteina kokonaisarvosta, nimellisarvon (johdannaiset), kirjanpitoarvon (jälkimarkkinat) tai ulkomaisten asiakkaiden suorittamista maksuista saatujen tulojen (ensimarkkinat) mukaan. Mietintö: </w:t>
            </w:r>
          </w:p>
          <w:p w14:paraId="7FE1BCAB" w14:textId="7D11D6B0" w:rsidR="00B81226" w:rsidRDefault="00B82AC2">
            <w:pPr>
              <w:pStyle w:val="P68B1DB1-ListParagraph32"/>
              <w:numPr>
                <w:ilvl w:val="1"/>
                <w:numId w:val="118"/>
              </w:numPr>
              <w:rPr>
                <w:i/>
                <w:iCs/>
              </w:rPr>
            </w:pPr>
            <w:bookmarkStart w:id="120" w:name="_Hlk194476322"/>
            <w:r>
              <w:t xml:space="preserve">&amp;5 %; </w:t>
            </w:r>
          </w:p>
          <w:p w14:paraId="7FE1BCAC" w14:textId="35A9186D" w:rsidR="00B81226" w:rsidRDefault="00B82AC2">
            <w:pPr>
              <w:pStyle w:val="P68B1DB1-ListParagraph32"/>
              <w:numPr>
                <w:ilvl w:val="1"/>
                <w:numId w:val="118"/>
              </w:numPr>
              <w:rPr>
                <w:i/>
                <w:iCs/>
              </w:rPr>
            </w:pPr>
            <w:r>
              <w:t xml:space="preserve">5–15 PROSENTTIA; </w:t>
            </w:r>
          </w:p>
          <w:p w14:paraId="7FE1BCAD" w14:textId="54C07240" w:rsidR="00B81226" w:rsidRDefault="00B82AC2">
            <w:pPr>
              <w:pStyle w:val="P68B1DB1-ListParagraph32"/>
              <w:numPr>
                <w:ilvl w:val="1"/>
                <w:numId w:val="118"/>
              </w:numPr>
              <w:rPr>
                <w:i/>
                <w:iCs/>
              </w:rPr>
            </w:pPr>
            <w:r>
              <w:t xml:space="preserve">16–25 %, </w:t>
            </w:r>
          </w:p>
          <w:p w14:paraId="7FE1BCAE" w14:textId="34AC2F5B" w:rsidR="00B81226" w:rsidRDefault="00B82AC2">
            <w:pPr>
              <w:pStyle w:val="P68B1DB1-ListParagraph32"/>
              <w:numPr>
                <w:ilvl w:val="1"/>
                <w:numId w:val="118"/>
              </w:numPr>
              <w:rPr>
                <w:i/>
                <w:iCs/>
              </w:rPr>
            </w:pPr>
            <w:r>
              <w:t xml:space="preserve">&gt; 25 % </w:t>
            </w:r>
          </w:p>
          <w:bookmarkEnd w:id="120"/>
          <w:p w14:paraId="7FE1BCAF" w14:textId="77777777" w:rsidR="00B81226" w:rsidRDefault="00B81226">
            <w:pPr>
              <w:pStyle w:val="TableParagraph"/>
              <w:spacing w:before="108"/>
              <w:jc w:val="both"/>
              <w:rPr>
                <w:rFonts w:ascii="Times New Roman" w:hAnsi="Times New Roman" w:cs="Times New Roman"/>
                <w:color w:val="000000" w:themeColor="text1"/>
                <w:sz w:val="20"/>
                <w:szCs w:val="20"/>
              </w:rPr>
            </w:pPr>
          </w:p>
        </w:tc>
      </w:tr>
      <w:tr w:rsidR="00B81226" w14:paraId="7FE1BCBF" w14:textId="77777777">
        <w:tc>
          <w:tcPr>
            <w:tcW w:w="1080" w:type="dxa"/>
            <w:tcBorders>
              <w:top w:val="single" w:sz="4" w:space="0" w:color="1A171C"/>
              <w:left w:val="nil"/>
              <w:bottom w:val="single" w:sz="4" w:space="0" w:color="1A171C"/>
              <w:right w:val="single" w:sz="4" w:space="0" w:color="1A171C"/>
            </w:tcBorders>
            <w:vAlign w:val="center"/>
          </w:tcPr>
          <w:p w14:paraId="7FE1BCB1" w14:textId="77777777" w:rsidR="00B81226" w:rsidRDefault="00B82AC2">
            <w:pPr>
              <w:pStyle w:val="P68B1DB1-TableParagraph17"/>
              <w:spacing w:before="108"/>
              <w:ind w:left="85"/>
              <w:jc w:val="both"/>
            </w:pPr>
            <w:r>
              <w:lastRenderedPageBreak/>
              <w:t>0140</w:t>
            </w:r>
          </w:p>
        </w:tc>
        <w:tc>
          <w:tcPr>
            <w:tcW w:w="8003" w:type="dxa"/>
            <w:tcBorders>
              <w:top w:val="single" w:sz="4" w:space="0" w:color="1A171C"/>
              <w:left w:val="single" w:sz="4" w:space="0" w:color="1A171C"/>
              <w:bottom w:val="single" w:sz="4" w:space="0" w:color="1A171C"/>
              <w:right w:val="nil"/>
            </w:tcBorders>
            <w:vAlign w:val="center"/>
          </w:tcPr>
          <w:p w14:paraId="7FE1BCB2" w14:textId="77777777" w:rsidR="00B81226" w:rsidRDefault="00B82AC2">
            <w:pPr>
              <w:pStyle w:val="P68B1DB1-TableParagraph14"/>
              <w:spacing w:before="108"/>
              <w:jc w:val="both"/>
              <w:rPr>
                <w:bCs/>
              </w:rPr>
            </w:pPr>
            <w:r>
              <w:t xml:space="preserve">Merkityksellisyys — </w:t>
            </w:r>
          </w:p>
          <w:p w14:paraId="7FE1BCB3" w14:textId="77777777" w:rsidR="00B81226" w:rsidRDefault="00B82AC2">
            <w:pPr>
              <w:pStyle w:val="P68B1DB1-TableParagraph13"/>
              <w:spacing w:before="108"/>
              <w:jc w:val="both"/>
            </w:pPr>
            <w:r>
              <w:t>Paikallisella, alueellisella, kansallisella tai Euroopan tasolla asianomaisista markkinoista riippuen. Laitoksen merkitystä voidaan arvioida markkinaosuuden, sidosten, monitahoisuuden ja valtioiden rajat ylittävän toiminnan perusteella.</w:t>
            </w:r>
          </w:p>
          <w:p w14:paraId="7FE1BCB4" w14:textId="77777777" w:rsidR="00B81226" w:rsidRDefault="00B82AC2">
            <w:pPr>
              <w:pStyle w:val="P68B1DB1-TableParagraph14"/>
              <w:spacing w:before="108"/>
              <w:jc w:val="both"/>
              <w:rPr>
                <w:bCs/>
              </w:rPr>
            </w:pPr>
            <w:r>
              <w:t>Markkinaosuus</w:t>
            </w:r>
          </w:p>
          <w:p w14:paraId="7FE1BCB5" w14:textId="77777777" w:rsidR="00B81226" w:rsidRDefault="00B82AC2">
            <w:pPr>
              <w:pStyle w:val="P68B1DB1-TableParagraph13"/>
              <w:spacing w:before="108"/>
              <w:jc w:val="both"/>
            </w:pPr>
            <w:r>
              <w:t xml:space="preserve">Arvioitava raportoivan yhteisön markkinaosuuden merkitys verrattuna lomakkeessa ilmoitettuihin kansallisiin tai muihin merkityksellisiin markkinoihin. Tämä arvio ilmaistaan laadullisesti seuraavasti: </w:t>
            </w:r>
          </w:p>
          <w:p w14:paraId="7FE1BCB6" w14:textId="3D988DC8" w:rsidR="00B81226" w:rsidRDefault="00B82AC2">
            <w:pPr>
              <w:pStyle w:val="P68B1DB1-ListParagraph38"/>
              <w:numPr>
                <w:ilvl w:val="0"/>
                <w:numId w:val="276"/>
              </w:numPr>
              <w:spacing w:line="276" w:lineRule="auto"/>
              <w:jc w:val="both"/>
            </w:pPr>
            <w:r>
              <w:t>Suuri, jos markkinaosuus on suuri</w:t>
            </w:r>
          </w:p>
          <w:p w14:paraId="7FE1BCB7" w14:textId="2084195C" w:rsidR="00B81226" w:rsidRDefault="00B82AC2">
            <w:pPr>
              <w:pStyle w:val="P68B1DB1-ListParagraph38"/>
              <w:numPr>
                <w:ilvl w:val="0"/>
                <w:numId w:val="276"/>
              </w:numPr>
              <w:spacing w:line="276" w:lineRule="auto"/>
              <w:jc w:val="both"/>
            </w:pPr>
            <w:r>
              <w:t>Keskikorkea, jos markkinaosuus on keskisuuri</w:t>
            </w:r>
          </w:p>
          <w:p w14:paraId="7FE1BCB8" w14:textId="06CDA0E3" w:rsidR="00B81226" w:rsidRDefault="00B82AC2">
            <w:pPr>
              <w:pStyle w:val="P68B1DB1-ListParagraph38"/>
              <w:numPr>
                <w:ilvl w:val="0"/>
                <w:numId w:val="276"/>
              </w:numPr>
              <w:spacing w:line="276" w:lineRule="auto"/>
              <w:jc w:val="both"/>
            </w:pPr>
            <w:r>
              <w:t xml:space="preserve">Keskisuuri – pieni, jos markkinaosuus on pieni, tai </w:t>
            </w:r>
          </w:p>
          <w:p w14:paraId="7FE1BCB9" w14:textId="19A1DC5D" w:rsidR="00B81226" w:rsidRDefault="00B82AC2">
            <w:pPr>
              <w:pStyle w:val="P68B1DB1-ListParagraph38"/>
              <w:numPr>
                <w:ilvl w:val="0"/>
                <w:numId w:val="276"/>
              </w:numPr>
              <w:spacing w:line="276" w:lineRule="auto"/>
              <w:jc w:val="both"/>
            </w:pPr>
            <w:r>
              <w:t xml:space="preserve">Pieni”, jos markkinaosuus on vähäinen. </w:t>
            </w:r>
          </w:p>
          <w:p w14:paraId="7FE1BCBA" w14:textId="77777777" w:rsidR="00B81226" w:rsidRDefault="00B82AC2">
            <w:pPr>
              <w:pStyle w:val="P68B1DB1-TableParagraph13"/>
              <w:spacing w:before="108"/>
              <w:jc w:val="both"/>
            </w:pPr>
            <w:r>
              <w:t xml:space="preserve">Arvioinnissa otetaan huomioon raportoivan yhteisön maan (tai muiden merkityksellisten markkinoiden) markkinarakenne ja markkinaosuudet, jotka ilmoitetaan osassa 2. </w:t>
            </w:r>
          </w:p>
          <w:p w14:paraId="7FE1BCBB" w14:textId="77777777" w:rsidR="00B81226" w:rsidRDefault="00B82AC2">
            <w:pPr>
              <w:pStyle w:val="P68B1DB1-TableParagraph13"/>
              <w:spacing w:before="108"/>
              <w:jc w:val="both"/>
            </w:pPr>
            <w:r>
              <w:t>2.Kvantitatiiviset tiedot:</w:t>
            </w:r>
          </w:p>
          <w:p w14:paraId="7FE1BCBC" w14:textId="77777777" w:rsidR="00B81226" w:rsidRDefault="00B82AC2">
            <w:pPr>
              <w:pStyle w:val="P68B1DB1-ListParagraph32"/>
              <w:numPr>
                <w:ilvl w:val="0"/>
                <w:numId w:val="117"/>
              </w:numPr>
              <w:jc w:val="both"/>
              <w:rPr>
                <w:i/>
                <w:iCs/>
              </w:rPr>
            </w:pPr>
            <w:r>
              <w:t xml:space="preserve">Asiantuntija-arvio </w:t>
            </w:r>
            <w:r>
              <w:rPr>
                <w:b/>
              </w:rPr>
              <w:t xml:space="preserve">kansallisesta </w:t>
            </w:r>
            <w:r>
              <w:t>markkinaosuudesta (ilmoitettu sarakkeessa 0020, lukuun ottamatta tapauksia, joissa raportti annetaan eri merkityksellisten markkinoiden tasolla, jolloin on tehtävä arviointi merkityksellisten markkinoiden osuudesta)</w:t>
            </w:r>
          </w:p>
          <w:p w14:paraId="7FE1BCBD" w14:textId="77777777" w:rsidR="00B81226" w:rsidRDefault="00B81226">
            <w:pPr>
              <w:pStyle w:val="TableParagraph"/>
              <w:spacing w:before="108"/>
              <w:jc w:val="both"/>
              <w:rPr>
                <w:rFonts w:ascii="Times New Roman" w:hAnsi="Times New Roman" w:cs="Times New Roman"/>
                <w:color w:val="000000" w:themeColor="text1"/>
                <w:sz w:val="20"/>
                <w:szCs w:val="20"/>
              </w:rPr>
            </w:pPr>
          </w:p>
          <w:p w14:paraId="7FE1BCBE" w14:textId="77777777" w:rsidR="00B81226" w:rsidRDefault="00B81226">
            <w:pPr>
              <w:pStyle w:val="TableParagraph"/>
              <w:spacing w:before="108"/>
              <w:jc w:val="both"/>
              <w:rPr>
                <w:rFonts w:ascii="Times New Roman" w:hAnsi="Times New Roman" w:cs="Times New Roman"/>
                <w:color w:val="000000" w:themeColor="text1"/>
                <w:sz w:val="20"/>
                <w:szCs w:val="20"/>
              </w:rPr>
            </w:pPr>
          </w:p>
        </w:tc>
      </w:tr>
      <w:tr w:rsidR="00B81226" w14:paraId="7FE1BCCB" w14:textId="77777777">
        <w:tc>
          <w:tcPr>
            <w:tcW w:w="1080" w:type="dxa"/>
            <w:tcBorders>
              <w:top w:val="single" w:sz="4" w:space="0" w:color="1A171C"/>
              <w:left w:val="nil"/>
              <w:bottom w:val="single" w:sz="4" w:space="0" w:color="1A171C"/>
              <w:right w:val="single" w:sz="4" w:space="0" w:color="1A171C"/>
            </w:tcBorders>
            <w:vAlign w:val="center"/>
          </w:tcPr>
          <w:p w14:paraId="7FE1BCC0" w14:textId="77777777" w:rsidR="00B81226" w:rsidRDefault="00B82AC2">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CC1" w14:textId="77777777" w:rsidR="00B81226" w:rsidRDefault="00B82AC2">
            <w:pPr>
              <w:pStyle w:val="P68B1DB1-TableParagraph14"/>
              <w:spacing w:before="108"/>
              <w:jc w:val="both"/>
              <w:rPr>
                <w:bCs/>
              </w:rPr>
            </w:pPr>
            <w:r>
              <w:t>Markkinoiden rakenne – markkinoiden keskittyminen</w:t>
            </w:r>
          </w:p>
          <w:p w14:paraId="7FE1BCC2" w14:textId="77777777" w:rsidR="00B81226" w:rsidRDefault="00B82AC2">
            <w:pPr>
              <w:pStyle w:val="P68B1DB1-TableParagraph13"/>
              <w:spacing w:before="108"/>
              <w:jc w:val="both"/>
            </w:pPr>
            <w:r>
              <w:t xml:space="preserve">Markkinoiden keskittyminen mitattuna markkinoilla tällä hetkellä toimivien kilpailijoiden lukumäärällä </w:t>
            </w:r>
          </w:p>
          <w:p w14:paraId="7FE1BCC3" w14:textId="77777777" w:rsidR="00B81226" w:rsidRDefault="00B82AC2">
            <w:pPr>
              <w:pStyle w:val="P68B1DB1-TableParagraph13"/>
              <w:spacing w:before="108"/>
              <w:jc w:val="both"/>
            </w:pPr>
            <w:r>
              <w:t xml:space="preserve">samankaltaiset taloudelliset toiminnot ja/tai vastaavien palvelujen tarjoaminen yhtäläisin ehdoin (eli </w:t>
            </w:r>
          </w:p>
          <w:p w14:paraId="7FE1BCC4" w14:textId="77777777" w:rsidR="00B81226" w:rsidRDefault="00B82AC2">
            <w:pPr>
              <w:pStyle w:val="P68B1DB1-TableParagraph13"/>
              <w:spacing w:before="108"/>
              <w:jc w:val="both"/>
            </w:pPr>
            <w:r>
              <w:t xml:space="preserve">määrältään, laadultaan ja kustannuksiltaan vertailukelpoiset), jotka mahdollisesti otetaan haltuun </w:t>
            </w:r>
          </w:p>
          <w:p w14:paraId="7FE1BCC5" w14:textId="77777777" w:rsidR="00B81226" w:rsidRDefault="00B82AC2">
            <w:pPr>
              <w:pStyle w:val="P68B1DB1-TableParagraph13"/>
              <w:spacing w:before="108"/>
              <w:jc w:val="both"/>
            </w:pPr>
            <w:r>
              <w:t xml:space="preserve">raportoivan yhteisön (tai sen osan) asiakkaat ja/tai liiketoiminta kohtuullisen ajan kuluessa. </w:t>
            </w:r>
          </w:p>
          <w:p w14:paraId="7FE1BCC6" w14:textId="77777777" w:rsidR="00B81226" w:rsidRDefault="00B82AC2">
            <w:pPr>
              <w:pStyle w:val="P68B1DB1-TableParagraph13"/>
              <w:spacing w:before="108"/>
              <w:jc w:val="both"/>
            </w:pPr>
            <w:r>
              <w:t xml:space="preserve">Tämä on ilmoitettava alaluokissa, jotka ovat samat kullekin alatoiminnolle. </w:t>
            </w:r>
          </w:p>
          <w:p w14:paraId="6E6D19F8" w14:textId="77777777" w:rsidR="00B81226" w:rsidRDefault="00B82AC2">
            <w:pPr>
              <w:pStyle w:val="P68B1DB1-ListParagraph32"/>
              <w:numPr>
                <w:ilvl w:val="0"/>
                <w:numId w:val="277"/>
              </w:numPr>
              <w:jc w:val="both"/>
            </w:pPr>
            <w:r>
              <w:t xml:space="preserve">&gt; 20 kilpailijaa; </w:t>
            </w:r>
          </w:p>
          <w:p w14:paraId="6A8A3C5F" w14:textId="77777777" w:rsidR="00B81226" w:rsidRDefault="00B82AC2">
            <w:pPr>
              <w:pStyle w:val="P68B1DB1-ListParagraph32"/>
              <w:numPr>
                <w:ilvl w:val="0"/>
                <w:numId w:val="277"/>
              </w:numPr>
              <w:jc w:val="both"/>
            </w:pPr>
            <w:r>
              <w:t xml:space="preserve">11–20 kilpailijaa; </w:t>
            </w:r>
          </w:p>
          <w:p w14:paraId="543AFD53" w14:textId="77777777" w:rsidR="00B81226" w:rsidRDefault="00B82AC2">
            <w:pPr>
              <w:pStyle w:val="P68B1DB1-ListParagraph32"/>
              <w:numPr>
                <w:ilvl w:val="0"/>
                <w:numId w:val="277"/>
              </w:numPr>
              <w:jc w:val="both"/>
            </w:pPr>
            <w:r>
              <w:t xml:space="preserve">5–10 kilpailijaa, </w:t>
            </w:r>
          </w:p>
          <w:p w14:paraId="761539CF" w14:textId="77777777" w:rsidR="00B81226" w:rsidRDefault="00B82AC2">
            <w:pPr>
              <w:pStyle w:val="P68B1DB1-ListParagraph32"/>
              <w:numPr>
                <w:ilvl w:val="0"/>
                <w:numId w:val="277"/>
              </w:numPr>
              <w:jc w:val="both"/>
              <w:rPr>
                <w:b/>
                <w:bCs/>
                <w:color w:val="000000" w:themeColor="text1"/>
              </w:rPr>
            </w:pPr>
            <w:r>
              <w:t>&amp;5 kilpailijaa</w:t>
            </w:r>
          </w:p>
          <w:p w14:paraId="7FE1BCCA" w14:textId="06EC2320" w:rsidR="00B81226" w:rsidRDefault="00B81226">
            <w:pPr>
              <w:jc w:val="both"/>
              <w:rPr>
                <w:rFonts w:ascii="Times New Roman" w:hAnsi="Times New Roman"/>
                <w:color w:val="000000" w:themeColor="text1"/>
                <w:sz w:val="20"/>
                <w:szCs w:val="20"/>
              </w:rPr>
            </w:pPr>
          </w:p>
        </w:tc>
      </w:tr>
      <w:tr w:rsidR="00B81226" w14:paraId="7FE1BCDA" w14:textId="77777777">
        <w:tc>
          <w:tcPr>
            <w:tcW w:w="1080" w:type="dxa"/>
            <w:tcBorders>
              <w:top w:val="single" w:sz="4" w:space="0" w:color="1A171C"/>
              <w:left w:val="nil"/>
              <w:bottom w:val="single" w:sz="4" w:space="0" w:color="1A171C"/>
              <w:right w:val="single" w:sz="4" w:space="0" w:color="1A171C"/>
            </w:tcBorders>
            <w:vAlign w:val="center"/>
          </w:tcPr>
          <w:p w14:paraId="7FE1BCCC" w14:textId="77777777" w:rsidR="00B81226" w:rsidRDefault="00B82AC2">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CCD" w14:textId="77777777" w:rsidR="00B81226" w:rsidRDefault="00B82AC2">
            <w:pPr>
              <w:pStyle w:val="P68B1DB1-TableParagraph14"/>
              <w:spacing w:before="108"/>
              <w:jc w:val="both"/>
              <w:rPr>
                <w:bCs/>
              </w:rPr>
            </w:pPr>
            <w:r>
              <w:t>Ajoitus – Korvauksen odotettu aika</w:t>
            </w:r>
          </w:p>
          <w:p w14:paraId="7FE1BCCE" w14:textId="77777777" w:rsidR="00B81226" w:rsidRDefault="00B82AC2">
            <w:pPr>
              <w:pStyle w:val="P68B1DB1-TableParagraph13"/>
              <w:spacing w:before="108"/>
              <w:jc w:val="both"/>
            </w:pPr>
            <w:r>
              <w:t>Arvioi raportoinnin tarjoaman taloudellisen toiminnon edellyttämä aika</w:t>
            </w:r>
          </w:p>
          <w:p w14:paraId="7FE1BCCF" w14:textId="77777777" w:rsidR="00B81226" w:rsidRDefault="00B82AC2">
            <w:pPr>
              <w:pStyle w:val="P68B1DB1-TableParagraph13"/>
              <w:spacing w:before="108"/>
              <w:jc w:val="both"/>
            </w:pPr>
            <w:r>
              <w:t xml:space="preserve">yhteisö, jonka markkinat absorboivat kriisitilanteessa. Määrä sisältää </w:t>
            </w:r>
          </w:p>
          <w:p w14:paraId="7FE1BCD0" w14:textId="77777777" w:rsidR="00B81226" w:rsidRDefault="00B82AC2">
            <w:pPr>
              <w:pStyle w:val="P68B1DB1-ListParagraph38"/>
              <w:numPr>
                <w:ilvl w:val="0"/>
                <w:numId w:val="274"/>
              </w:numPr>
              <w:jc w:val="both"/>
            </w:pPr>
            <w:r>
              <w:t xml:space="preserve">aika, jonka yksi tai useampi kilpailija tarvitsee toiminnon toteuttamiseen tarvittavien oikeudellisten ja teknisten toimenpiteiden toteuttamiseen; sekä  </w:t>
            </w:r>
          </w:p>
          <w:p w14:paraId="7FE1BCD1" w14:textId="77777777" w:rsidR="00B81226" w:rsidRDefault="00B82AC2">
            <w:pPr>
              <w:pStyle w:val="P68B1DB1-ListParagraph38"/>
              <w:numPr>
                <w:ilvl w:val="0"/>
                <w:numId w:val="274"/>
              </w:numPr>
              <w:jc w:val="both"/>
            </w:pPr>
            <w:r>
              <w:t xml:space="preserve">aika, jonka palvelun käyttäjät tarvitsevat toiseen palveluntarjoajaan siirtymiseen. </w:t>
            </w:r>
          </w:p>
          <w:p w14:paraId="7FE1BCD2" w14:textId="77777777" w:rsidR="00B81226" w:rsidRDefault="00B81226">
            <w:pPr>
              <w:pStyle w:val="TableParagraph"/>
              <w:spacing w:before="108"/>
              <w:jc w:val="both"/>
              <w:rPr>
                <w:rFonts w:ascii="Times New Roman" w:hAnsi="Times New Roman" w:cs="Times New Roman"/>
                <w:color w:val="000000" w:themeColor="text1"/>
                <w:sz w:val="20"/>
                <w:szCs w:val="20"/>
              </w:rPr>
            </w:pPr>
          </w:p>
          <w:p w14:paraId="7FE1BCD3" w14:textId="77777777" w:rsidR="00B81226" w:rsidRDefault="00B82AC2">
            <w:pPr>
              <w:pStyle w:val="P68B1DB1-TableParagraph13"/>
              <w:spacing w:before="108"/>
              <w:jc w:val="both"/>
            </w:pPr>
            <w:r>
              <w:t>Edellisen osalta voitte arvioida, kuinka paljon aikaa raportoiva laitos tarvitsisi voidakseen kattaa laitoksenne liiketoiminnan (tai sen osan) kohtuullisin kustannuksin kriisitilanteessa. Ilmoitetaan arvioitu korvaamisaika lomakkeessa esitetyissä alaluokissa:</w:t>
            </w:r>
          </w:p>
          <w:p w14:paraId="7FE1BCD4" w14:textId="77777777" w:rsidR="00B81226" w:rsidRDefault="00B82AC2">
            <w:pPr>
              <w:pStyle w:val="P68B1DB1-Normal31"/>
              <w:jc w:val="both"/>
            </w:pPr>
            <w:r>
              <w:t xml:space="preserve">Alaluokat: </w:t>
            </w:r>
          </w:p>
          <w:p w14:paraId="7FE1BCD5" w14:textId="275C74C6" w:rsidR="00B81226" w:rsidRDefault="00B82AC2">
            <w:pPr>
              <w:pStyle w:val="P68B1DB1-ListParagraph32"/>
              <w:numPr>
                <w:ilvl w:val="0"/>
                <w:numId w:val="286"/>
              </w:numPr>
              <w:jc w:val="both"/>
            </w:pPr>
            <w:r>
              <w:t xml:space="preserve">&amp; 1 viikko; </w:t>
            </w:r>
          </w:p>
          <w:p w14:paraId="7FE1BCD6" w14:textId="712CDEEF" w:rsidR="00B81226" w:rsidRDefault="00B82AC2">
            <w:pPr>
              <w:pStyle w:val="P68B1DB1-ListParagraph32"/>
              <w:numPr>
                <w:ilvl w:val="0"/>
                <w:numId w:val="286"/>
              </w:numPr>
              <w:jc w:val="both"/>
            </w:pPr>
            <w:r>
              <w:t xml:space="preserve">1 viikko-1 kuukausi; </w:t>
            </w:r>
          </w:p>
          <w:p w14:paraId="7FE1BCD7" w14:textId="5ECCCD1B" w:rsidR="00B81226" w:rsidRDefault="00B82AC2">
            <w:pPr>
              <w:pStyle w:val="P68B1DB1-ListParagraph32"/>
              <w:numPr>
                <w:ilvl w:val="0"/>
                <w:numId w:val="286"/>
              </w:numPr>
              <w:jc w:val="both"/>
            </w:pPr>
            <w:r>
              <w:lastRenderedPageBreak/>
              <w:t xml:space="preserve">1–6 kuukautta </w:t>
            </w:r>
          </w:p>
          <w:p w14:paraId="7FE1BCD8" w14:textId="66817B18" w:rsidR="00B81226" w:rsidRDefault="00B82AC2">
            <w:pPr>
              <w:pStyle w:val="P68B1DB1-ListParagraph32"/>
              <w:numPr>
                <w:ilvl w:val="0"/>
                <w:numId w:val="286"/>
              </w:numPr>
              <w:jc w:val="both"/>
            </w:pPr>
            <w:r>
              <w:t xml:space="preserve">&gt; 6 kuukautta  </w:t>
            </w:r>
          </w:p>
          <w:p w14:paraId="7FE1BCD9" w14:textId="77777777" w:rsidR="00B81226" w:rsidRDefault="00B81226">
            <w:pPr>
              <w:pStyle w:val="TableParagraph"/>
              <w:spacing w:before="108"/>
              <w:jc w:val="both"/>
              <w:rPr>
                <w:rFonts w:ascii="Times New Roman" w:hAnsi="Times New Roman" w:cs="Times New Roman"/>
                <w:color w:val="000000" w:themeColor="text1"/>
                <w:sz w:val="20"/>
                <w:szCs w:val="20"/>
              </w:rPr>
            </w:pPr>
          </w:p>
        </w:tc>
      </w:tr>
      <w:tr w:rsidR="00B81226" w14:paraId="7FE1BCDD" w14:textId="77777777">
        <w:tc>
          <w:tcPr>
            <w:tcW w:w="1080" w:type="dxa"/>
            <w:tcBorders>
              <w:top w:val="single" w:sz="4" w:space="0" w:color="1A171C"/>
              <w:left w:val="nil"/>
              <w:bottom w:val="single" w:sz="4" w:space="0" w:color="1A171C"/>
              <w:right w:val="single" w:sz="4" w:space="0" w:color="1A171C"/>
            </w:tcBorders>
            <w:vAlign w:val="center"/>
          </w:tcPr>
          <w:p w14:paraId="7FE1BCDB" w14:textId="77777777" w:rsidR="00B81226" w:rsidRDefault="00B82AC2">
            <w:pPr>
              <w:pStyle w:val="P68B1DB1-TableParagraph17"/>
              <w:spacing w:before="108"/>
              <w:ind w:left="85"/>
              <w:jc w:val="both"/>
            </w:pPr>
            <w:r>
              <w:lastRenderedPageBreak/>
              <w:t>0170–0180</w:t>
            </w:r>
          </w:p>
        </w:tc>
        <w:tc>
          <w:tcPr>
            <w:tcW w:w="8003" w:type="dxa"/>
            <w:tcBorders>
              <w:top w:val="single" w:sz="4" w:space="0" w:color="1A171C"/>
              <w:left w:val="single" w:sz="4" w:space="0" w:color="1A171C"/>
              <w:bottom w:val="single" w:sz="4" w:space="0" w:color="1A171C"/>
              <w:right w:val="nil"/>
            </w:tcBorders>
            <w:vAlign w:val="center"/>
          </w:tcPr>
          <w:p w14:paraId="7FE1BCDC" w14:textId="77777777" w:rsidR="00B81226" w:rsidRDefault="00B82AC2">
            <w:pPr>
              <w:pStyle w:val="P68B1DB1-TableParagraph14"/>
              <w:spacing w:before="108"/>
              <w:jc w:val="both"/>
              <w:rPr>
                <w:bCs/>
              </w:rPr>
            </w:pPr>
            <w:r>
              <w:t>Korvaamiskyky</w:t>
            </w:r>
          </w:p>
        </w:tc>
      </w:tr>
      <w:tr w:rsidR="00B81226" w14:paraId="7FE1BCE7" w14:textId="77777777">
        <w:tc>
          <w:tcPr>
            <w:tcW w:w="1080" w:type="dxa"/>
            <w:tcBorders>
              <w:top w:val="single" w:sz="4" w:space="0" w:color="1A171C"/>
              <w:left w:val="nil"/>
              <w:bottom w:val="single" w:sz="4" w:space="0" w:color="1A171C"/>
              <w:right w:val="single" w:sz="4" w:space="0" w:color="1A171C"/>
            </w:tcBorders>
            <w:vAlign w:val="center"/>
          </w:tcPr>
          <w:p w14:paraId="7FE1BCDE" w14:textId="77777777" w:rsidR="00B81226" w:rsidRDefault="00B82AC2">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DF" w14:textId="77777777" w:rsidR="00B81226" w:rsidRDefault="00B82AC2">
            <w:pPr>
              <w:pStyle w:val="P68B1DB1-TableParagraph14"/>
              <w:spacing w:before="108"/>
              <w:jc w:val="both"/>
              <w:rPr>
                <w:bCs/>
              </w:rPr>
            </w:pPr>
            <w:r>
              <w:t>Markkinoille pääsyä tai laajentumista koskevat lainsäädäntöiset esteet</w:t>
            </w:r>
          </w:p>
          <w:p w14:paraId="7FE1BCE0" w14:textId="77777777" w:rsidR="00B81226" w:rsidRDefault="00B81226">
            <w:pPr>
              <w:pStyle w:val="TableParagraph"/>
              <w:spacing w:before="108"/>
              <w:jc w:val="both"/>
              <w:rPr>
                <w:rFonts w:ascii="Times New Roman" w:hAnsi="Times New Roman" w:cs="Times New Roman"/>
                <w:color w:val="000000" w:themeColor="text1"/>
                <w:sz w:val="20"/>
                <w:szCs w:val="20"/>
              </w:rPr>
            </w:pPr>
          </w:p>
          <w:p w14:paraId="7FE1BCE1" w14:textId="77777777" w:rsidR="00B81226" w:rsidRDefault="00B82AC2">
            <w:pPr>
              <w:pStyle w:val="P68B1DB1-TableParagraph13"/>
              <w:spacing w:before="108"/>
              <w:jc w:val="both"/>
            </w:pPr>
            <w:r>
              <w:t xml:space="preserve">Oikeudelliset esteet, jotka estävät kilpailijoita tarjoamasta palvelua. Luottolaitosten liiketoiminnan harjoittamista koskevia oikeudellisia vaatimuksia (esim. pankkitoimilupia tai pääomavaatimuksia) ei pidetä ylitsepääsemättöminä esteinä vaihtoehtoisten palveluntarjoajien läsnäololle. Tämä indikaattori on ilmoitettava alaluokissa, jotka ovat samat kullekin alatoiminnolle: </w:t>
            </w:r>
          </w:p>
          <w:p w14:paraId="7FE1BCE2" w14:textId="67FD7AF2" w:rsidR="00B81226" w:rsidRDefault="00B82AC2">
            <w:pPr>
              <w:pStyle w:val="P68B1DB1-ListParagraph39"/>
              <w:numPr>
                <w:ilvl w:val="0"/>
                <w:numId w:val="275"/>
              </w:numPr>
              <w:jc w:val="both"/>
            </w:pPr>
            <w:r>
              <w:t xml:space="preserve">ei merkittäviä esteitä, </w:t>
            </w:r>
          </w:p>
          <w:p w14:paraId="7FE1BCE3" w14:textId="6C8F8F76" w:rsidR="00B81226" w:rsidRDefault="00B82AC2">
            <w:pPr>
              <w:pStyle w:val="P68B1DB1-ListParagraph39"/>
              <w:numPr>
                <w:ilvl w:val="0"/>
                <w:numId w:val="275"/>
              </w:numPr>
              <w:jc w:val="both"/>
            </w:pPr>
            <w:r>
              <w:t xml:space="preserve">joitakin esteitä, </w:t>
            </w:r>
          </w:p>
          <w:p w14:paraId="7FE1BCE4" w14:textId="389397E1" w:rsidR="00B81226" w:rsidRDefault="00B82AC2">
            <w:pPr>
              <w:pStyle w:val="P68B1DB1-ListParagraph39"/>
              <w:numPr>
                <w:ilvl w:val="0"/>
                <w:numId w:val="275"/>
              </w:numPr>
              <w:jc w:val="both"/>
            </w:pPr>
            <w:r>
              <w:t xml:space="preserve">merkittävät (mutta ylitsepääsemättömät) esteet, </w:t>
            </w:r>
          </w:p>
          <w:p w14:paraId="7FE1BCE6" w14:textId="5882E7D2" w:rsidR="00B81226" w:rsidRDefault="00B82AC2">
            <w:pPr>
              <w:pStyle w:val="P68B1DB1-ListParagraph8"/>
              <w:numPr>
                <w:ilvl w:val="0"/>
                <w:numId w:val="275"/>
              </w:numPr>
              <w:jc w:val="both"/>
            </w:pPr>
            <w:r>
              <w:t>kriittiset esteet (vaikeudet hävittää).</w:t>
            </w:r>
          </w:p>
        </w:tc>
      </w:tr>
      <w:tr w:rsidR="00B81226" w14:paraId="7FE1BCF2" w14:textId="77777777">
        <w:tc>
          <w:tcPr>
            <w:tcW w:w="1080" w:type="dxa"/>
            <w:tcBorders>
              <w:top w:val="single" w:sz="4" w:space="0" w:color="1A171C"/>
              <w:left w:val="nil"/>
              <w:bottom w:val="single" w:sz="4" w:space="0" w:color="1A171C"/>
              <w:right w:val="single" w:sz="4" w:space="0" w:color="1A171C"/>
            </w:tcBorders>
            <w:vAlign w:val="center"/>
          </w:tcPr>
          <w:p w14:paraId="7FE1BCE8" w14:textId="77777777" w:rsidR="00B81226" w:rsidRDefault="00B82AC2">
            <w:pPr>
              <w:pStyle w:val="P68B1DB1-TableParagraph17"/>
              <w:spacing w:before="108"/>
              <w:ind w:left="85"/>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E9" w14:textId="77777777" w:rsidR="00B81226" w:rsidRDefault="00B82AC2">
            <w:pPr>
              <w:pStyle w:val="P68B1DB1-TableParagraph14"/>
              <w:spacing w:before="108"/>
              <w:jc w:val="both"/>
              <w:rPr>
                <w:bCs/>
              </w:rPr>
            </w:pPr>
            <w:r>
              <w:t>Markkinoille pääsyä tai laajentumista koskevat toiminnalliset vaatimukset</w:t>
            </w:r>
          </w:p>
          <w:p w14:paraId="7FE1BCEA" w14:textId="77777777" w:rsidR="00B81226" w:rsidRDefault="00B81226">
            <w:pPr>
              <w:pStyle w:val="TableParagraph"/>
              <w:spacing w:before="108"/>
              <w:jc w:val="both"/>
              <w:rPr>
                <w:rFonts w:ascii="Times New Roman" w:hAnsi="Times New Roman" w:cs="Times New Roman"/>
                <w:color w:val="000000" w:themeColor="text1"/>
                <w:sz w:val="20"/>
                <w:szCs w:val="20"/>
              </w:rPr>
            </w:pPr>
          </w:p>
          <w:p w14:paraId="7FE1BCEB" w14:textId="31044453" w:rsidR="00B81226" w:rsidRDefault="00B82AC2">
            <w:pPr>
              <w:pStyle w:val="P68B1DB1-TableParagraph13"/>
              <w:spacing w:before="108"/>
              <w:jc w:val="both"/>
            </w:pPr>
            <w:r>
              <w:t xml:space="preserve">Organisatoriset, tekniset ja infrastruktuurivaatimukset, joita kilpailijoilla on palvelun tarjoamiseksi. (Ala)toimintoon liittyvien palvelujen tarjoaminen edellyttää, että palveluntarjoajat investoivat (uusiin tai täydentäviin) infrastruktuureihin tai muuttavat organisaatioitaan. Arvioitava markkinoiden kykyä ottaa vastaan tietty liiketoiminta esimerkiksi pääomavaatimusten osalta. </w:t>
            </w:r>
          </w:p>
          <w:p w14:paraId="7FE1BCEC" w14:textId="77777777" w:rsidR="00B81226" w:rsidRDefault="00B82AC2">
            <w:pPr>
              <w:pStyle w:val="P68B1DB1-TableParagraph13"/>
              <w:spacing w:before="108"/>
              <w:jc w:val="both"/>
            </w:pPr>
            <w:r>
              <w:t xml:space="preserve">Tämä indikaattori on ilmoitettava alaluokissa, jotka ovat samat kullekin alatoiminnolle: </w:t>
            </w:r>
          </w:p>
          <w:p w14:paraId="7FE1BCED" w14:textId="5283E021" w:rsidR="00B81226" w:rsidRDefault="00B82AC2">
            <w:pPr>
              <w:pStyle w:val="P68B1DB1-ListParagraph39"/>
              <w:numPr>
                <w:ilvl w:val="0"/>
                <w:numId w:val="278"/>
              </w:numPr>
              <w:jc w:val="both"/>
            </w:pPr>
            <w:r>
              <w:t xml:space="preserve">ei merkittäviä vaatimuksia, </w:t>
            </w:r>
          </w:p>
          <w:p w14:paraId="7FE1BCEE" w14:textId="5ADAB5CD" w:rsidR="00B81226" w:rsidRDefault="00B82AC2">
            <w:pPr>
              <w:pStyle w:val="P68B1DB1-ListParagraph39"/>
              <w:numPr>
                <w:ilvl w:val="0"/>
                <w:numId w:val="278"/>
              </w:numPr>
              <w:jc w:val="both"/>
            </w:pPr>
            <w:r>
              <w:t xml:space="preserve">joitakin vaatimuksia, </w:t>
            </w:r>
          </w:p>
          <w:p w14:paraId="7FE1BCEF" w14:textId="579CC165" w:rsidR="00B81226" w:rsidRDefault="00B82AC2">
            <w:pPr>
              <w:pStyle w:val="P68B1DB1-ListParagraph39"/>
              <w:numPr>
                <w:ilvl w:val="0"/>
                <w:numId w:val="278"/>
              </w:numPr>
              <w:jc w:val="both"/>
            </w:pPr>
            <w:r>
              <w:t xml:space="preserve">olennaiset (mutta ylitsepääsemättömät) vaatimukset, </w:t>
            </w:r>
          </w:p>
          <w:p w14:paraId="7FE1BCF0" w14:textId="5F9F9690" w:rsidR="00B81226" w:rsidRDefault="00B82AC2">
            <w:pPr>
              <w:pStyle w:val="P68B1DB1-ListParagraph39"/>
              <w:numPr>
                <w:ilvl w:val="0"/>
                <w:numId w:val="278"/>
              </w:numPr>
              <w:jc w:val="both"/>
            </w:pPr>
            <w:r>
              <w:t>kriittiset vaatimukset (vaikeudet selviytyä).</w:t>
            </w:r>
          </w:p>
          <w:p w14:paraId="7FE1BCF1" w14:textId="77777777" w:rsidR="00B81226" w:rsidRDefault="00B81226">
            <w:pPr>
              <w:pStyle w:val="TableParagraph"/>
              <w:spacing w:before="108"/>
              <w:jc w:val="both"/>
              <w:rPr>
                <w:rFonts w:ascii="Times New Roman" w:hAnsi="Times New Roman" w:cs="Times New Roman"/>
                <w:color w:val="000000" w:themeColor="text1"/>
                <w:sz w:val="20"/>
                <w:szCs w:val="20"/>
              </w:rPr>
            </w:pPr>
          </w:p>
        </w:tc>
      </w:tr>
      <w:tr w:rsidR="00B81226" w14:paraId="7FE1BCF5" w14:textId="77777777">
        <w:tc>
          <w:tcPr>
            <w:tcW w:w="1080" w:type="dxa"/>
            <w:tcBorders>
              <w:top w:val="single" w:sz="4" w:space="0" w:color="1A171C"/>
              <w:left w:val="nil"/>
              <w:bottom w:val="single" w:sz="4" w:space="0" w:color="1A171C"/>
              <w:right w:val="single" w:sz="4" w:space="0" w:color="1A171C"/>
            </w:tcBorders>
            <w:vAlign w:val="center"/>
          </w:tcPr>
          <w:p w14:paraId="7FE1BCF3" w14:textId="77777777" w:rsidR="00B81226" w:rsidRDefault="00B82AC2">
            <w:pPr>
              <w:pStyle w:val="P68B1DB1-TableParagraph17"/>
              <w:spacing w:before="108"/>
              <w:ind w:left="85"/>
              <w:jc w:val="both"/>
            </w:pPr>
            <w:r>
              <w:t>0190–0210</w:t>
            </w:r>
          </w:p>
        </w:tc>
        <w:tc>
          <w:tcPr>
            <w:tcW w:w="8003" w:type="dxa"/>
            <w:tcBorders>
              <w:top w:val="single" w:sz="4" w:space="0" w:color="1A171C"/>
              <w:left w:val="single" w:sz="4" w:space="0" w:color="1A171C"/>
              <w:bottom w:val="single" w:sz="4" w:space="0" w:color="1A171C"/>
              <w:right w:val="nil"/>
            </w:tcBorders>
            <w:vAlign w:val="center"/>
          </w:tcPr>
          <w:p w14:paraId="7FE1BCF4" w14:textId="77777777" w:rsidR="00B81226" w:rsidRDefault="00B82AC2">
            <w:pPr>
              <w:pStyle w:val="P68B1DB1-TableParagraph14"/>
              <w:spacing w:before="108"/>
              <w:jc w:val="both"/>
              <w:rPr>
                <w:bCs/>
              </w:rPr>
            </w:pPr>
            <w:r>
              <w:t>Kriittisyysarviointi</w:t>
            </w:r>
          </w:p>
        </w:tc>
      </w:tr>
      <w:tr w:rsidR="00B81226" w14:paraId="7FE1BCFB" w14:textId="77777777">
        <w:tc>
          <w:tcPr>
            <w:tcW w:w="1080" w:type="dxa"/>
            <w:tcBorders>
              <w:top w:val="single" w:sz="4" w:space="0" w:color="1A171C"/>
              <w:left w:val="nil"/>
              <w:bottom w:val="single" w:sz="4" w:space="0" w:color="1A171C"/>
              <w:right w:val="single" w:sz="4" w:space="0" w:color="1A171C"/>
            </w:tcBorders>
            <w:vAlign w:val="center"/>
          </w:tcPr>
          <w:p w14:paraId="7FE1BCF6" w14:textId="77777777" w:rsidR="00B81226" w:rsidRDefault="00B82AC2">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F7" w14:textId="77777777" w:rsidR="00B81226" w:rsidRDefault="00B82AC2">
            <w:pPr>
              <w:pStyle w:val="P68B1DB1-TableParagraph14"/>
              <w:spacing w:before="108"/>
              <w:jc w:val="both"/>
              <w:rPr>
                <w:bCs/>
              </w:rPr>
            </w:pPr>
            <w:r>
              <w:t xml:space="preserve">Vaikutus markkinoihin </w:t>
            </w:r>
          </w:p>
          <w:p w14:paraId="7FE1BCF8" w14:textId="77777777" w:rsidR="00B81226" w:rsidRDefault="00B82AC2">
            <w:pPr>
              <w:pStyle w:val="P68B1DB1-TableParagraph13"/>
              <w:spacing w:before="108"/>
              <w:jc w:val="both"/>
            </w:pPr>
            <w:r>
              <w:t>Toiminnon yhtäkkisen keskeytymisen arvioitu vaikutus kolmansiin osapuoliin, rahoitusmarkkinoihin ja reaalitalouteen, kun otetaan huomioon laitoksen koko, markkinaosuus kyseisessä maassa, ulkoiset ja sisäiset sidokset, monitahoisuus ja rajatylittävä toiminta.</w:t>
            </w:r>
          </w:p>
          <w:p w14:paraId="7FE1BCF9" w14:textId="22534111" w:rsidR="00B81226" w:rsidRDefault="00B82AC2">
            <w:pPr>
              <w:pStyle w:val="P68B1DB1-TableParagraph13"/>
              <w:spacing w:before="108"/>
              <w:jc w:val="both"/>
            </w:pPr>
            <w:r>
              <w:t>Tämä arvio ilmaistaan laadullisesti seuraavasti: ”korkea”, ”keskitasoinen”, ”keskitasoinen” tai ”alhainen”.</w:t>
            </w:r>
          </w:p>
          <w:p w14:paraId="7FE1BCFA" w14:textId="60C791C3" w:rsidR="00B81226" w:rsidRDefault="00B82AC2">
            <w:pPr>
              <w:pStyle w:val="P68B1DB1-TableParagraph13"/>
              <w:spacing w:before="108"/>
              <w:jc w:val="both"/>
            </w:pPr>
            <w:r>
              <w:t>Ilmoitetaan ”High”, jos toiminnon keskeytyminen vaikuttaa hyvin merkittävästi kansallisiin markkinoihin; ”MH”, jos vaikutus on merkittävä; ”Medium-Low”, jos vaikutus on olennainen mutta rajallinen; ja ”Low”, jos vaikutus on vähäinen.</w:t>
            </w:r>
          </w:p>
        </w:tc>
      </w:tr>
      <w:tr w:rsidR="00B81226" w14:paraId="7FE1BD08" w14:textId="77777777">
        <w:tc>
          <w:tcPr>
            <w:tcW w:w="1080" w:type="dxa"/>
            <w:tcBorders>
              <w:top w:val="single" w:sz="4" w:space="0" w:color="1A171C"/>
              <w:left w:val="nil"/>
              <w:bottom w:val="single" w:sz="4" w:space="0" w:color="1A171C"/>
              <w:right w:val="single" w:sz="4" w:space="0" w:color="1A171C"/>
            </w:tcBorders>
            <w:vAlign w:val="center"/>
          </w:tcPr>
          <w:p w14:paraId="7FE1BCFC" w14:textId="77777777" w:rsidR="00B81226" w:rsidRDefault="00B82AC2">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CFD" w14:textId="77777777" w:rsidR="00B81226" w:rsidRDefault="00B82AC2">
            <w:pPr>
              <w:pStyle w:val="P68B1DB1-TableParagraph14"/>
              <w:spacing w:before="108"/>
              <w:jc w:val="both"/>
              <w:rPr>
                <w:bCs/>
              </w:rPr>
            </w:pPr>
            <w:r>
              <w:t>Korvattavuus</w:t>
            </w:r>
          </w:p>
          <w:p w14:paraId="7FE1BCFE" w14:textId="77777777" w:rsidR="00B81226" w:rsidRDefault="00B82AC2">
            <w:pPr>
              <w:pStyle w:val="P68B1DB1-TableParagraph13"/>
              <w:spacing w:before="108"/>
              <w:jc w:val="both"/>
            </w:pPr>
            <w:r>
              <w:t>Delegoidun asetuksen (EU) 2016/778 6 artiklan 3 kohta.</w:t>
            </w:r>
          </w:p>
          <w:p w14:paraId="7FE1BCFF" w14:textId="77777777" w:rsidR="00B81226" w:rsidRDefault="00B82AC2">
            <w:pPr>
              <w:pStyle w:val="P68B1DB1-TableParagraph13"/>
              <w:spacing w:before="108"/>
              <w:jc w:val="both"/>
            </w:pPr>
            <w:r>
              <w:t>Toiminto katsotaan korvattavissa olevaksi, jos se voidaan korvata hyväksyttävällä tavalla ja kohtuullisessa ajassa samalla, kun vältetään järjestelmätason ongelmat reaalitaloudessa ja finanssimarkkinoilla. Seuraavat tekijät on otettava huomioon:</w:t>
            </w:r>
          </w:p>
          <w:p w14:paraId="7FE1BD00" w14:textId="77777777" w:rsidR="00B81226" w:rsidRDefault="00B82AC2">
            <w:pPr>
              <w:pStyle w:val="P68B1DB1-TableParagraph13"/>
              <w:spacing w:before="108"/>
              <w:jc w:val="both"/>
            </w:pPr>
            <w:r>
              <w:t xml:space="preserve">(a) kyseisen toiminnon markkinoiden rakenne ja korvaavien tarjoajien saatavilla olo; </w:t>
            </w:r>
          </w:p>
          <w:p w14:paraId="7FE1BD01" w14:textId="77777777" w:rsidR="00B81226" w:rsidRDefault="00B82AC2">
            <w:pPr>
              <w:pStyle w:val="P68B1DB1-TableParagraph13"/>
              <w:spacing w:before="108"/>
              <w:jc w:val="both"/>
            </w:pPr>
            <w:r>
              <w:t xml:space="preserve">(b) muiden tarjoajien kapasiteettivalmiudet, toiminnon suorittamista koskevat vaatimukset ja </w:t>
            </w:r>
            <w:r>
              <w:lastRenderedPageBreak/>
              <w:t xml:space="preserve">mahdolliset markkinoille pääsyn tai toiminnan laajentamisen esteet; </w:t>
            </w:r>
          </w:p>
          <w:p w14:paraId="7FE1BD02" w14:textId="77777777" w:rsidR="00B81226" w:rsidRDefault="00B82AC2">
            <w:pPr>
              <w:pStyle w:val="P68B1DB1-TableParagraph13"/>
              <w:spacing w:before="108"/>
              <w:jc w:val="both"/>
            </w:pPr>
            <w:r>
              <w:t xml:space="preserve">(c) muiden tarjoajien kannustimet alkaa harjoittaa kyseistä toimintaa; </w:t>
            </w:r>
          </w:p>
          <w:p w14:paraId="7FE1BD03" w14:textId="77777777" w:rsidR="00B81226" w:rsidRDefault="00B82AC2">
            <w:pPr>
              <w:pStyle w:val="P68B1DB1-TableParagraph13"/>
              <w:spacing w:before="108"/>
              <w:jc w:val="both"/>
            </w:pPr>
            <w:r>
              <w:t>(d) aika, jonka palvelun käyttäjät tarvitsevat siirtyäkseen uuteen palveluntarjoajaan, ja siirrosta aiheutuvat kustannukset, aika, jonka muut kilpailijat tarvitsevat alkaakseen hoitaa toimintoja, ja se, onko kyseinen aika riittävän pitkä merkittävien häiriöiden ehkäisemiseksi riippuen palvelun tyypistä.</w:t>
            </w:r>
          </w:p>
          <w:p w14:paraId="7FE1BD04" w14:textId="379B1AA4" w:rsidR="00B81226" w:rsidRDefault="00B82AC2">
            <w:pPr>
              <w:pStyle w:val="P68B1DB1-TableParagraph13"/>
              <w:spacing w:before="108"/>
              <w:jc w:val="both"/>
            </w:pPr>
            <w:r>
              <w:t xml:space="preserve">Esitettävä kokonaisarvio kunkin toiminnon odotetusta korvattavuuden asteesta ottaen huomioon aiemmin arvioidut eri ulottuvuudet (markkinaosuus, markkinoiden keskittyminen, korvaamisen aika, oikeudelliset esteet ja markkinoille tulon tai laajentumisen toiminnalliset vaatimukset). Tämä arvio ilmaistaan laadullisesti seuraavasti: ”korkea”, ”keskitasoinen”, ”keskitasoinen” tai ”alhainen”. </w:t>
            </w:r>
          </w:p>
          <w:p w14:paraId="7FE1BD05" w14:textId="3E0B0177" w:rsidR="00B81226" w:rsidRDefault="00B82AC2">
            <w:pPr>
              <w:pStyle w:val="P68B1DB1-TableParagraph13"/>
              <w:spacing w:before="108"/>
              <w:jc w:val="both"/>
            </w:pPr>
            <w:r>
              <w:t>Ilmoitetaan ”H”, jos toinen pankki voi helposti tarjota toiminnon vastaavissa olosuhteissa kohtuullisessa ajassa;</w:t>
            </w:r>
          </w:p>
          <w:p w14:paraId="7FE1BD06" w14:textId="5459DD51" w:rsidR="00B81226" w:rsidRDefault="00B82AC2">
            <w:pPr>
              <w:pStyle w:val="P68B1DB1-TableParagraph13"/>
              <w:spacing w:before="108"/>
              <w:jc w:val="both"/>
            </w:pPr>
            <w:r>
              <w:t xml:space="preserve">”L”, jos toimintoa ei voida korvata helposti tai nopeasti; </w:t>
            </w:r>
          </w:p>
          <w:p w14:paraId="7FE1BD07" w14:textId="113A35A6" w:rsidR="00B81226" w:rsidRDefault="00B82AC2">
            <w:pPr>
              <w:pStyle w:val="P68B1DB1-TableParagraph13"/>
              <w:spacing w:before="108"/>
              <w:jc w:val="both"/>
            </w:pPr>
            <w:r>
              <w:t>”MH” ja ”ML” välitapauksissa ottaen huomioon eri ulottuvuudet (esim. markkinaosuus, markkinoiden keskittyminen, korvaamiseen kuluva aika sekä maahantulon tai laajentumisen oikeudelliset esteet ja niihin liittyen toimintaa koskevat vaatimukset).</w:t>
            </w:r>
          </w:p>
        </w:tc>
      </w:tr>
      <w:tr w:rsidR="00B81226" w14:paraId="7FE1BD0D" w14:textId="77777777">
        <w:tc>
          <w:tcPr>
            <w:tcW w:w="1080" w:type="dxa"/>
            <w:tcBorders>
              <w:top w:val="single" w:sz="4" w:space="0" w:color="1A171C"/>
              <w:left w:val="nil"/>
              <w:bottom w:val="single" w:sz="4" w:space="0" w:color="1A171C"/>
              <w:right w:val="single" w:sz="4" w:space="0" w:color="1A171C"/>
            </w:tcBorders>
            <w:vAlign w:val="center"/>
          </w:tcPr>
          <w:p w14:paraId="7FE1BD09" w14:textId="77777777" w:rsidR="00B81226" w:rsidRDefault="00B82AC2">
            <w:pPr>
              <w:pStyle w:val="P68B1DB1-TableParagraph17"/>
              <w:spacing w:before="108"/>
              <w:ind w:left="85"/>
              <w:jc w:val="both"/>
            </w:pPr>
            <w:r>
              <w:lastRenderedPageBreak/>
              <w:t>0210</w:t>
            </w:r>
          </w:p>
        </w:tc>
        <w:tc>
          <w:tcPr>
            <w:tcW w:w="8003" w:type="dxa"/>
            <w:tcBorders>
              <w:top w:val="single" w:sz="4" w:space="0" w:color="1A171C"/>
              <w:left w:val="single" w:sz="4" w:space="0" w:color="1A171C"/>
              <w:bottom w:val="single" w:sz="4" w:space="0" w:color="1A171C"/>
              <w:right w:val="nil"/>
            </w:tcBorders>
            <w:vAlign w:val="center"/>
          </w:tcPr>
          <w:p w14:paraId="7FE1BD0A" w14:textId="77777777" w:rsidR="00B81226" w:rsidRDefault="00B82AC2">
            <w:pPr>
              <w:pStyle w:val="P68B1DB1-TableParagraph14"/>
              <w:spacing w:before="108"/>
              <w:jc w:val="both"/>
              <w:rPr>
                <w:bCs/>
              </w:rPr>
            </w:pPr>
            <w:r>
              <w:t>Kriittinen toiminto</w:t>
            </w:r>
          </w:p>
          <w:p w14:paraId="7FE1BD0B" w14:textId="77777777" w:rsidR="00B81226" w:rsidRDefault="00B82AC2">
            <w:pPr>
              <w:pStyle w:val="P68B1DB1-TableParagraph13"/>
              <w:spacing w:before="108"/>
              <w:jc w:val="both"/>
            </w:pPr>
            <w:r>
              <w:t>Tässä sarakkeessa ilmoitetaan, katsotaanko taloudellisen toiminnan olevan kyseisen maan markkinoiden kannalta kriittinen, kun otetaan huomioon instituution suorittama vaikutus- ja korvaavuusanalyysi.</w:t>
            </w:r>
          </w:p>
          <w:p w14:paraId="7FE1BD0C" w14:textId="77777777" w:rsidR="00B81226" w:rsidRDefault="00B82AC2">
            <w:pPr>
              <w:pStyle w:val="P68B1DB1-TableParagraph13"/>
              <w:spacing w:before="108"/>
              <w:jc w:val="both"/>
            </w:pPr>
            <w:r>
              <w:t>Ilmoitetaan ”Kyllä” tai ”Ei”.</w:t>
            </w:r>
          </w:p>
        </w:tc>
      </w:tr>
      <w:tr w:rsidR="00B81226" w14:paraId="7FE1BD11" w14:textId="77777777">
        <w:tc>
          <w:tcPr>
            <w:tcW w:w="1080" w:type="dxa"/>
            <w:tcBorders>
              <w:top w:val="single" w:sz="4" w:space="0" w:color="1A171C"/>
              <w:left w:val="nil"/>
              <w:bottom w:val="single" w:sz="4" w:space="0" w:color="1A171C"/>
              <w:right w:val="single" w:sz="4" w:space="0" w:color="1A171C"/>
            </w:tcBorders>
            <w:vAlign w:val="center"/>
          </w:tcPr>
          <w:p w14:paraId="7FE1BD0E" w14:textId="77777777" w:rsidR="00B81226" w:rsidRDefault="00B82AC2">
            <w:pPr>
              <w:pStyle w:val="P68B1DB1-TableParagraph17"/>
              <w:spacing w:before="108"/>
              <w:ind w:left="85"/>
              <w:jc w:val="both"/>
            </w:pPr>
            <w:r>
              <w:t>0220</w:t>
            </w:r>
          </w:p>
        </w:tc>
        <w:tc>
          <w:tcPr>
            <w:tcW w:w="8003" w:type="dxa"/>
            <w:tcBorders>
              <w:top w:val="single" w:sz="4" w:space="0" w:color="1A171C"/>
              <w:left w:val="single" w:sz="4" w:space="0" w:color="1A171C"/>
              <w:bottom w:val="single" w:sz="4" w:space="0" w:color="1A171C"/>
              <w:right w:val="nil"/>
            </w:tcBorders>
            <w:vAlign w:val="center"/>
          </w:tcPr>
          <w:p w14:paraId="7FE1BD0F" w14:textId="77777777" w:rsidR="00B81226" w:rsidRDefault="00B82AC2">
            <w:pPr>
              <w:pStyle w:val="P68B1DB1-TableParagraph14"/>
              <w:spacing w:before="108"/>
              <w:jc w:val="both"/>
              <w:rPr>
                <w:bCs/>
              </w:rPr>
            </w:pPr>
            <w:r>
              <w:t>Ryhmän huomautukset</w:t>
            </w:r>
          </w:p>
          <w:p w14:paraId="7FE1BD10" w14:textId="77777777" w:rsidR="00B81226" w:rsidRDefault="00B82AC2">
            <w:pPr>
              <w:pStyle w:val="P68B1DB1-TableParagraph13"/>
              <w:spacing w:before="108"/>
              <w:jc w:val="both"/>
            </w:pPr>
            <w:r>
              <w:t>Tässä kentässä raportoiva yhteisö voi selittää kaikki oletukset, joita on käytetty arvioitaessa raportoitujen toimintojen kriittisyyttä.</w:t>
            </w:r>
          </w:p>
        </w:tc>
      </w:tr>
    </w:tbl>
    <w:p w14:paraId="7FE1BD12" w14:textId="77777777" w:rsidR="00B81226" w:rsidRDefault="00B81226">
      <w:pPr>
        <w:rPr>
          <w:rFonts w:ascii="Times New Roman" w:hAnsi="Times New Roman" w:cs="Times New Roman"/>
          <w:color w:val="000000" w:themeColor="text1"/>
          <w:sz w:val="20"/>
          <w:szCs w:val="20"/>
        </w:rPr>
      </w:pPr>
    </w:p>
    <w:p w14:paraId="7FE1BD13" w14:textId="77777777" w:rsidR="00B81226" w:rsidRDefault="00B81226">
      <w:pPr>
        <w:rPr>
          <w:rFonts w:ascii="Times New Roman" w:hAnsi="Times New Roman" w:cs="Times New Roman"/>
          <w:color w:val="000000" w:themeColor="text1"/>
          <w:sz w:val="20"/>
          <w:szCs w:val="20"/>
        </w:rPr>
      </w:pPr>
    </w:p>
    <w:p w14:paraId="7FE1BD14" w14:textId="168C612B" w:rsidR="00B81226" w:rsidRDefault="00B82AC2">
      <w:pPr>
        <w:pStyle w:val="P68B1DB1-Instructionsberschrift25"/>
      </w:pPr>
      <w:bookmarkStart w:id="121" w:name="_Toc208245449"/>
      <w:r>
        <w:t>II.13</w:t>
      </w:r>
      <w:r>
        <w:tab/>
        <w:t>Z 07.01.5 FUNC 1 WF</w:t>
      </w:r>
      <w:bookmarkEnd w:id="121"/>
    </w:p>
    <w:p w14:paraId="7FE1BD1C" w14:textId="77777777" w:rsidR="00B81226" w:rsidRDefault="00B81226">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B81226" w14:paraId="7FE1BD1F"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D1D" w14:textId="77777777" w:rsidR="00B81226" w:rsidRDefault="00B82AC2">
            <w:pPr>
              <w:pStyle w:val="P68B1DB1-TableParagraph17"/>
              <w:spacing w:before="108"/>
              <w:ind w:left="85"/>
              <w:jc w:val="both"/>
            </w:pPr>
            <w:r>
              <w:t>Sarakkeet</w:t>
            </w:r>
          </w:p>
        </w:tc>
        <w:tc>
          <w:tcPr>
            <w:tcW w:w="8003" w:type="dxa"/>
            <w:tcBorders>
              <w:top w:val="single" w:sz="4" w:space="0" w:color="1A171C"/>
              <w:left w:val="single" w:sz="4" w:space="0" w:color="1A171C"/>
              <w:bottom w:val="single" w:sz="4" w:space="0" w:color="1A171C"/>
              <w:right w:val="nil"/>
            </w:tcBorders>
            <w:shd w:val="clear" w:color="auto" w:fill="E4E5E5"/>
          </w:tcPr>
          <w:p w14:paraId="7FE1BD1E" w14:textId="77777777" w:rsidR="00B81226" w:rsidRDefault="00B82AC2">
            <w:pPr>
              <w:pStyle w:val="P68B1DB1-TableParagraph17"/>
              <w:spacing w:before="108"/>
              <w:ind w:left="85" w:right="1"/>
              <w:jc w:val="both"/>
            </w:pPr>
            <w:r>
              <w:t>Ohjeet</w:t>
            </w:r>
          </w:p>
        </w:tc>
      </w:tr>
      <w:tr w:rsidR="00B81226" w14:paraId="7FE1BD23" w14:textId="77777777">
        <w:tc>
          <w:tcPr>
            <w:tcW w:w="1080" w:type="dxa"/>
            <w:tcBorders>
              <w:top w:val="single" w:sz="4" w:space="0" w:color="1A171C"/>
              <w:left w:val="nil"/>
              <w:bottom w:val="single" w:sz="4" w:space="0" w:color="1A171C"/>
              <w:right w:val="single" w:sz="4" w:space="0" w:color="1A171C"/>
            </w:tcBorders>
            <w:vAlign w:val="center"/>
          </w:tcPr>
          <w:p w14:paraId="7FE1BD20" w14:textId="77777777" w:rsidR="00B81226" w:rsidRDefault="00B82AC2">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D21" w14:textId="77777777" w:rsidR="00B81226" w:rsidRDefault="00B82AC2">
            <w:pPr>
              <w:pStyle w:val="P68B1DB1-TableParagraph14"/>
              <w:spacing w:before="108"/>
              <w:ind w:left="85"/>
              <w:jc w:val="both"/>
              <w:rPr>
                <w:bCs/>
              </w:rPr>
            </w:pPr>
            <w:r>
              <w:t>Taloudellisen toiminnon kuvaus</w:t>
            </w:r>
          </w:p>
          <w:p w14:paraId="7FE1BD22" w14:textId="3E7FC747" w:rsidR="00B81226" w:rsidRDefault="00B82AC2">
            <w:pPr>
              <w:pStyle w:val="P68B1DB1-TableParagraph17"/>
              <w:spacing w:before="108"/>
              <w:ind w:left="85"/>
            </w:pPr>
            <w:r>
              <w:t xml:space="preserve">Jos taloudellinen toiminto on tyyppiä ”Muu” (Z 07.01.5 FUNC 1 WF r0360–R0380), tästä toiminnosta on annettava kuvaus. </w:t>
            </w:r>
          </w:p>
        </w:tc>
      </w:tr>
      <w:tr w:rsidR="00B81226" w14:paraId="7FE1BD27" w14:textId="77777777">
        <w:tc>
          <w:tcPr>
            <w:tcW w:w="1080" w:type="dxa"/>
            <w:tcBorders>
              <w:top w:val="single" w:sz="4" w:space="0" w:color="1A171C"/>
              <w:left w:val="nil"/>
              <w:bottom w:val="single" w:sz="4" w:space="0" w:color="1A171C"/>
              <w:right w:val="single" w:sz="4" w:space="0" w:color="1A171C"/>
            </w:tcBorders>
            <w:vAlign w:val="center"/>
          </w:tcPr>
          <w:p w14:paraId="7FE1BD24" w14:textId="77777777" w:rsidR="00B81226" w:rsidRDefault="00B82AC2">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D25" w14:textId="77777777" w:rsidR="00B81226" w:rsidRDefault="00B82AC2">
            <w:pPr>
              <w:pStyle w:val="P68B1DB1-TableParagraph14"/>
              <w:spacing w:before="108"/>
              <w:ind w:left="85"/>
              <w:jc w:val="both"/>
              <w:rPr>
                <w:bCs/>
              </w:rPr>
            </w:pPr>
            <w:r>
              <w:t xml:space="preserve">Markkinaosuus </w:t>
            </w:r>
          </w:p>
          <w:p w14:paraId="7FE1BD26" w14:textId="470CCD5A" w:rsidR="00B81226" w:rsidRDefault="00B82AC2">
            <w:pPr>
              <w:pStyle w:val="P68B1DB1-TableParagraph17"/>
              <w:spacing w:before="108"/>
              <w:ind w:left="85"/>
            </w:pPr>
            <w:r>
              <w:t>Arvio laitoksen tai konsernin markkinaosuudesta kyseisen taloudellisen toiminnon osalta kussakin maassa tai kullakin taloudellisella alueella. Prosenttiosuutena koko markkinasta rahamääräisesti laskettuna.</w:t>
            </w:r>
          </w:p>
        </w:tc>
      </w:tr>
      <w:tr w:rsidR="00B81226" w14:paraId="7FE1BD31" w14:textId="77777777">
        <w:tc>
          <w:tcPr>
            <w:tcW w:w="1080" w:type="dxa"/>
            <w:tcBorders>
              <w:top w:val="single" w:sz="4" w:space="0" w:color="1A171C"/>
              <w:left w:val="nil"/>
              <w:bottom w:val="single" w:sz="4" w:space="0" w:color="1A171C"/>
              <w:right w:val="single" w:sz="4" w:space="0" w:color="1A171C"/>
            </w:tcBorders>
            <w:vAlign w:val="center"/>
          </w:tcPr>
          <w:p w14:paraId="7FE1BD28" w14:textId="77777777" w:rsidR="00B81226" w:rsidRDefault="00B82AC2">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D29" w14:textId="77777777" w:rsidR="00B81226" w:rsidRDefault="00B82AC2">
            <w:pPr>
              <w:pStyle w:val="P68B1DB1-Normal42"/>
              <w:rPr>
                <w:bCs/>
              </w:rPr>
            </w:pPr>
            <w:r>
              <w:t>Bruttomääräinen kirjanpitoarvo</w:t>
            </w:r>
          </w:p>
          <w:p w14:paraId="7FE1BD2A" w14:textId="77777777" w:rsidR="00B81226" w:rsidRDefault="00B82AC2">
            <w:pPr>
              <w:pStyle w:val="P68B1DB1-TableParagraph17"/>
              <w:spacing w:before="108"/>
            </w:pPr>
            <w:r>
              <w:t xml:space="preserve">Käytetään FINREP-raportoinnissa määritettyä bruttomääräistä kirjanpitoarvoa. </w:t>
            </w:r>
          </w:p>
          <w:p w14:paraId="7FE1BD2B" w14:textId="77777777" w:rsidR="00B81226" w:rsidRDefault="00B82AC2">
            <w:pPr>
              <w:pStyle w:val="P68B1DB1-TableParagraph17"/>
              <w:spacing w:before="108"/>
            </w:pPr>
            <w:r>
              <w:t xml:space="preserve">Viiteasiakirjat: FINREP: Liitteessä V olevan 1 osan 34 kohta;FINREP: Liite III, IV, lomakkeet: </w:t>
            </w:r>
          </w:p>
          <w:p w14:paraId="7FE1BD2C" w14:textId="77777777" w:rsidR="00B81226" w:rsidRDefault="00B82AC2">
            <w:pPr>
              <w:pStyle w:val="P68B1DB1-TableParagraph17"/>
              <w:spacing w:before="108"/>
            </w:pPr>
            <w:r>
              <w:t>— Ottolainaus (5.1): Lomake F 20.06, sarake 010, rivit 100+ 110, kaikki maat.</w:t>
            </w:r>
          </w:p>
          <w:p w14:paraId="7FE1BD2D" w14:textId="77777777" w:rsidR="00B81226" w:rsidRDefault="00B82AC2">
            <w:pPr>
              <w:pStyle w:val="P68B1DB1-TableParagraph17"/>
              <w:spacing w:before="108"/>
            </w:pPr>
            <w:r>
              <w:t>— Johdannaiset (varat) (5.2): Lomake F20.04, sarake 010, rivi 010, kaikki maat.</w:t>
            </w:r>
          </w:p>
          <w:p w14:paraId="7FE1BD2E" w14:textId="77777777" w:rsidR="00B81226" w:rsidRDefault="00B82AC2">
            <w:pPr>
              <w:pStyle w:val="P68B1DB1-TableParagraph17"/>
              <w:spacing w:before="108"/>
            </w:pPr>
            <w:r>
              <w:lastRenderedPageBreak/>
              <w:t xml:space="preserve">— Antolainaus (5.3): Lomake F 20.04, sarake 010, rivit 170+ 180, kaikki maat. </w:t>
            </w:r>
          </w:p>
          <w:p w14:paraId="7FE1BD30" w14:textId="58CF223C" w:rsidR="00B81226" w:rsidRDefault="00B82AC2">
            <w:pPr>
              <w:pStyle w:val="P68B1DB1-TableParagraph17"/>
              <w:spacing w:before="108"/>
            </w:pPr>
            <w:r>
              <w:t>— Johdannaiset (velat) (5.4): Lomake F 20.06, sarake 010, rivi 010, kaikki maat.</w:t>
            </w:r>
          </w:p>
        </w:tc>
      </w:tr>
      <w:tr w:rsidR="00B81226" w14:paraId="7FE1BD35" w14:textId="77777777">
        <w:tc>
          <w:tcPr>
            <w:tcW w:w="1080" w:type="dxa"/>
            <w:tcBorders>
              <w:top w:val="single" w:sz="4" w:space="0" w:color="1A171C"/>
              <w:left w:val="nil"/>
              <w:bottom w:val="single" w:sz="4" w:space="0" w:color="1A171C"/>
              <w:right w:val="single" w:sz="4" w:space="0" w:color="1A171C"/>
            </w:tcBorders>
            <w:vAlign w:val="center"/>
          </w:tcPr>
          <w:p w14:paraId="7FE1BD32" w14:textId="77777777" w:rsidR="00B81226" w:rsidRDefault="00B82AC2">
            <w:pPr>
              <w:pStyle w:val="P68B1DB1-TableParagraph17"/>
              <w:spacing w:before="108"/>
              <w:ind w:left="85"/>
              <w:jc w:val="both"/>
            </w:pPr>
            <w:r>
              <w:lastRenderedPageBreak/>
              <w:t>0040</w:t>
            </w:r>
          </w:p>
        </w:tc>
        <w:tc>
          <w:tcPr>
            <w:tcW w:w="8003" w:type="dxa"/>
            <w:tcBorders>
              <w:top w:val="single" w:sz="4" w:space="0" w:color="1A171C"/>
              <w:left w:val="single" w:sz="4" w:space="0" w:color="1A171C"/>
              <w:bottom w:val="single" w:sz="4" w:space="0" w:color="1A171C"/>
              <w:right w:val="nil"/>
            </w:tcBorders>
            <w:vAlign w:val="center"/>
          </w:tcPr>
          <w:p w14:paraId="7FE1BD33" w14:textId="77777777" w:rsidR="00B81226" w:rsidRDefault="00B82AC2">
            <w:pPr>
              <w:pStyle w:val="P68B1DB1-Normal42"/>
              <w:rPr>
                <w:bCs/>
              </w:rPr>
            </w:pPr>
            <w:r>
              <w:t>Vastapuolten lukumäärä</w:t>
            </w:r>
          </w:p>
          <w:p w14:paraId="7FE1BD34" w14:textId="77777777" w:rsidR="00B81226" w:rsidRDefault="00B82AC2">
            <w:pPr>
              <w:pStyle w:val="P68B1DB1-TableParagraph17"/>
              <w:spacing w:before="108"/>
            </w:pPr>
            <w:r>
              <w:t>Vastapuolten lukumäärä. Jos yhdellä vastapuolella on useampi kuin yksi tili ja/tai useampi kuin yksi tapahtuma, vastapuoli lasketaan mukaan vain kerran.</w:t>
            </w:r>
          </w:p>
        </w:tc>
      </w:tr>
      <w:tr w:rsidR="00B81226" w14:paraId="7FE1BD43" w14:textId="77777777">
        <w:tc>
          <w:tcPr>
            <w:tcW w:w="1080" w:type="dxa"/>
            <w:tcBorders>
              <w:top w:val="single" w:sz="4" w:space="0" w:color="1A171C"/>
              <w:left w:val="nil"/>
              <w:bottom w:val="single" w:sz="4" w:space="0" w:color="1A171C"/>
              <w:right w:val="single" w:sz="4" w:space="0" w:color="1A171C"/>
            </w:tcBorders>
            <w:vAlign w:val="center"/>
          </w:tcPr>
          <w:p w14:paraId="7FE1BD36" w14:textId="77777777" w:rsidR="00B81226" w:rsidRDefault="00B82AC2">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D37" w14:textId="77777777" w:rsidR="00B81226" w:rsidRDefault="00B82AC2">
            <w:pPr>
              <w:pStyle w:val="P68B1DB1-TableParagraph14"/>
              <w:spacing w:before="108"/>
              <w:jc w:val="both"/>
              <w:rPr>
                <w:bCs/>
              </w:rPr>
            </w:pPr>
            <w:r>
              <w:t>(Käänteiset) takaisinostosopimukset</w:t>
            </w:r>
          </w:p>
          <w:p w14:paraId="7FE1BD38" w14:textId="77777777" w:rsidR="00B81226" w:rsidRDefault="00B82AC2">
            <w:pPr>
              <w:pStyle w:val="P68B1DB1-TableParagraph13"/>
              <w:spacing w:before="108"/>
              <w:jc w:val="both"/>
            </w:pPr>
            <w:r>
              <w:t>Ilmoita tukkuluoton piiriin kuuluvat takaisinostosopimukset. Takaisinosto</w:t>
            </w:r>
          </w:p>
          <w:p w14:paraId="7FE1BD39" w14:textId="77777777" w:rsidR="00B81226" w:rsidRDefault="00B82AC2">
            <w:pPr>
              <w:pStyle w:val="P68B1DB1-TableParagraph13"/>
              <w:spacing w:before="108"/>
              <w:jc w:val="both"/>
            </w:pPr>
            <w:r>
              <w:t>sopimuksilla tarkoitetaan käteistä, joka saadaan vastineeksi arvopapereista, jotka myydään tiettyyn hintaan</w:t>
            </w:r>
          </w:p>
          <w:p w14:paraId="7FE1BD3A" w14:textId="77777777" w:rsidR="00B81226" w:rsidRDefault="00B82AC2">
            <w:pPr>
              <w:pStyle w:val="P68B1DB1-TableParagraph13"/>
              <w:spacing w:before="108"/>
              <w:jc w:val="both"/>
            </w:pPr>
            <w:r>
              <w:t>kiinteä sitoumus ostaa takaisin samat (tai vastaavat) arvopaperit kiinteään hintaan</w:t>
            </w:r>
          </w:p>
          <w:p w14:paraId="7FE1BD3B" w14:textId="77777777" w:rsidR="00B81226" w:rsidRDefault="00B82AC2">
            <w:pPr>
              <w:pStyle w:val="P68B1DB1-TableParagraph13"/>
              <w:spacing w:before="108"/>
              <w:jc w:val="both"/>
            </w:pPr>
            <w:r>
              <w:t xml:space="preserve">määrätty tuleva päivämäärä. </w:t>
            </w:r>
          </w:p>
          <w:p w14:paraId="7FE1BD3C" w14:textId="77777777" w:rsidR="00B81226" w:rsidRDefault="00B82AC2">
            <w:pPr>
              <w:pStyle w:val="P68B1DB1-TableParagraph13"/>
              <w:spacing w:before="108"/>
              <w:jc w:val="both"/>
            </w:pPr>
            <w:r>
              <w:t>Ilmoita takaisinmyyntiluotot tukkulainanannon yhteydessä. Takaisinmyyntiluotot tarkoittavat rahoitusta, joka myönnetään ostettuja arvopapereita vastaan.</w:t>
            </w:r>
          </w:p>
          <w:p w14:paraId="7FE1BD3D" w14:textId="77777777" w:rsidR="00B81226" w:rsidRDefault="00B82AC2">
            <w:pPr>
              <w:pStyle w:val="P68B1DB1-TableParagraph13"/>
              <w:spacing w:before="108"/>
              <w:jc w:val="both"/>
            </w:pPr>
            <w:r>
              <w:t>takaisinostosopimusten tai arvopapereiden lainaksi antamista koskevien sopimusten mukaisesti.</w:t>
            </w:r>
          </w:p>
          <w:p w14:paraId="7FE1BD3E" w14:textId="77777777" w:rsidR="00B81226" w:rsidRDefault="00B82AC2">
            <w:pPr>
              <w:pStyle w:val="P68B1DB1-TableParagraph13"/>
              <w:spacing w:before="108"/>
              <w:jc w:val="both"/>
            </w:pPr>
            <w:r>
              <w:t>Tausta-asiakirjoja: Asetus (2015/2365) arvopaperirahoituksen avoimuudesta</w:t>
            </w:r>
          </w:p>
          <w:p w14:paraId="7FE1BD3F" w14:textId="77777777" w:rsidR="00B81226" w:rsidRDefault="00B82AC2">
            <w:pPr>
              <w:pStyle w:val="P68B1DB1-TableParagraph13"/>
              <w:spacing w:before="108"/>
              <w:jc w:val="both"/>
            </w:pPr>
            <w:r>
              <w:t>liiketoimet ja uudelleenkäyttö, 3 artiklan 9 kohta; FINREP: Liite V, 1 osa, 32 kohta 5 luku, 85 kohdan e alakohta.</w:t>
            </w:r>
          </w:p>
          <w:p w14:paraId="7FE1BD40" w14:textId="77777777" w:rsidR="00B81226" w:rsidRDefault="00B82AC2">
            <w:pPr>
              <w:pStyle w:val="P68B1DB1-TableParagraph13"/>
              <w:spacing w:before="108"/>
              <w:jc w:val="both"/>
            </w:pPr>
            <w:r>
              <w:t>ja 14 luvun 183 kohta; Liite III:</w:t>
            </w:r>
          </w:p>
          <w:p w14:paraId="7FE1BD41" w14:textId="77777777" w:rsidR="00B81226" w:rsidRDefault="00B82AC2">
            <w:pPr>
              <w:pStyle w:val="P68B1DB1-TableParagraph13"/>
              <w:numPr>
                <w:ilvl w:val="0"/>
                <w:numId w:val="153"/>
              </w:numPr>
              <w:spacing w:before="108"/>
              <w:jc w:val="both"/>
            </w:pPr>
            <w:r>
              <w:t>Takaisinostosopimukset: Taulukko 08.01 sarakkeet 010+ 020+ 030 rivit 200+ 250.</w:t>
            </w:r>
          </w:p>
          <w:p w14:paraId="7FE1BD42" w14:textId="77777777" w:rsidR="00B81226" w:rsidRDefault="00B82AC2">
            <w:pPr>
              <w:pStyle w:val="P68B1DB1-TableParagraph13"/>
              <w:numPr>
                <w:ilvl w:val="0"/>
                <w:numId w:val="153"/>
              </w:numPr>
              <w:spacing w:before="108"/>
              <w:jc w:val="both"/>
            </w:pPr>
            <w:r>
              <w:t>Käänteiset takaisinostosopimukset: Taulukko 05.00, sarakkeet 030+ 040, rivi 050.</w:t>
            </w:r>
          </w:p>
        </w:tc>
      </w:tr>
      <w:tr w:rsidR="00B81226" w14:paraId="7FE1BD47" w14:textId="77777777">
        <w:tc>
          <w:tcPr>
            <w:tcW w:w="1080" w:type="dxa"/>
            <w:tcBorders>
              <w:top w:val="single" w:sz="4" w:space="0" w:color="1A171C"/>
              <w:left w:val="nil"/>
              <w:bottom w:val="single" w:sz="4" w:space="0" w:color="1A171C"/>
              <w:right w:val="single" w:sz="4" w:space="0" w:color="1A171C"/>
            </w:tcBorders>
            <w:vAlign w:val="center"/>
          </w:tcPr>
          <w:p w14:paraId="7FE1BD44" w14:textId="1D61499E" w:rsidR="00B81226" w:rsidRDefault="00B82AC2">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D45" w14:textId="77777777" w:rsidR="00B81226" w:rsidRDefault="00B82AC2">
            <w:pPr>
              <w:pStyle w:val="P68B1DB1-TableParagraph14"/>
              <w:spacing w:before="108"/>
              <w:jc w:val="both"/>
              <w:rPr>
                <w:bCs/>
              </w:rPr>
            </w:pPr>
            <w:r>
              <w:t>Rajatylittävän toiminnan arvo</w:t>
            </w:r>
          </w:p>
          <w:p w14:paraId="7FE1BD46" w14:textId="77777777" w:rsidR="00B81226" w:rsidRDefault="00B82AC2">
            <w:pPr>
              <w:pStyle w:val="P68B1DB1-TableParagraph13"/>
              <w:spacing w:before="108"/>
              <w:jc w:val="both"/>
            </w:pPr>
            <w:r>
              <w:t>Tässä ilmoitetaan kaikkien muiden maiden, paitsi kotimaan tai muun asianomaisen maan, bruttomääräinen kirjanpitoarvo.</w:t>
            </w:r>
          </w:p>
        </w:tc>
      </w:tr>
      <w:tr w:rsidR="00B81226" w14:paraId="7FE1BD51" w14:textId="77777777">
        <w:tc>
          <w:tcPr>
            <w:tcW w:w="1080" w:type="dxa"/>
            <w:tcBorders>
              <w:top w:val="single" w:sz="4" w:space="0" w:color="1A171C"/>
              <w:left w:val="nil"/>
              <w:bottom w:val="single" w:sz="4" w:space="0" w:color="1A171C"/>
              <w:right w:val="single" w:sz="4" w:space="0" w:color="1A171C"/>
            </w:tcBorders>
            <w:vAlign w:val="center"/>
          </w:tcPr>
          <w:p w14:paraId="7FE1BD48" w14:textId="77777777" w:rsidR="00B81226" w:rsidRDefault="00B82AC2">
            <w:pPr>
              <w:pStyle w:val="P68B1DB1-TableParagraph17"/>
              <w:spacing w:before="108"/>
              <w:ind w:left="85"/>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D49" w14:textId="77777777" w:rsidR="00B81226" w:rsidRDefault="00B82AC2">
            <w:pPr>
              <w:pStyle w:val="P68B1DB1-Normal42"/>
              <w:rPr>
                <w:bCs/>
              </w:rPr>
            </w:pPr>
            <w:r>
              <w:t>Arvo luottolaitoksissa</w:t>
            </w:r>
          </w:p>
          <w:p w14:paraId="7FE1BD4A" w14:textId="77777777" w:rsidR="00B81226" w:rsidRDefault="00B82AC2">
            <w:pPr>
              <w:pStyle w:val="P68B1DB1-TableParagraph13"/>
              <w:spacing w:before="108"/>
              <w:jc w:val="both"/>
            </w:pPr>
            <w:r>
              <w:t>Luottolaitoksia koskevien omaisuuserien bruttomääräinen kirjanpitoarvo. Toimialan määritelmä</w:t>
            </w:r>
          </w:p>
          <w:p w14:paraId="7FE1BD4B" w14:textId="77777777" w:rsidR="00B81226" w:rsidRDefault="00B82AC2">
            <w:pPr>
              <w:pStyle w:val="P68B1DB1-TableParagraph13"/>
              <w:spacing w:before="108"/>
              <w:jc w:val="both"/>
            </w:pPr>
            <w:r>
              <w:t xml:space="preserve">FINREP (Liite V). </w:t>
            </w:r>
          </w:p>
          <w:p w14:paraId="7FE1BD4C" w14:textId="77777777" w:rsidR="00B81226" w:rsidRDefault="00B82AC2">
            <w:pPr>
              <w:pStyle w:val="P68B1DB1-TableParagraph13"/>
              <w:spacing w:before="108"/>
              <w:jc w:val="both"/>
            </w:pPr>
            <w:r>
              <w:t>Tausta-asiakirjoja: FINREP: Liite III:</w:t>
            </w:r>
          </w:p>
          <w:p w14:paraId="7FE1BD4D" w14:textId="77777777" w:rsidR="00B81226" w:rsidRDefault="00B82AC2">
            <w:pPr>
              <w:pStyle w:val="P68B1DB1-TableParagraph13"/>
              <w:numPr>
                <w:ilvl w:val="0"/>
                <w:numId w:val="153"/>
              </w:numPr>
              <w:spacing w:before="108"/>
              <w:jc w:val="both"/>
            </w:pPr>
            <w:r>
              <w:t>Lainanotto: Taulukko 20.06, sarake 010, rivi 100, kaikki maat.</w:t>
            </w:r>
          </w:p>
          <w:p w14:paraId="7FE1BD4E" w14:textId="77777777" w:rsidR="00B81226" w:rsidRDefault="00B82AC2">
            <w:pPr>
              <w:pStyle w:val="P68B1DB1-TableParagraph13"/>
              <w:numPr>
                <w:ilvl w:val="0"/>
                <w:numId w:val="153"/>
              </w:numPr>
              <w:spacing w:before="108"/>
              <w:jc w:val="both"/>
            </w:pPr>
            <w:r>
              <w:t>Johdannaiset (varat): Taulukko 20.04, sarake 010, rivi 020, kaikki maat.</w:t>
            </w:r>
          </w:p>
          <w:p w14:paraId="7FE1BD4F" w14:textId="77777777" w:rsidR="00B81226" w:rsidRDefault="00B82AC2">
            <w:pPr>
              <w:pStyle w:val="P68B1DB1-TableParagraph13"/>
              <w:numPr>
                <w:ilvl w:val="0"/>
                <w:numId w:val="153"/>
              </w:numPr>
              <w:spacing w:before="108"/>
              <w:jc w:val="both"/>
            </w:pPr>
            <w:r>
              <w:t>Luotonanto: Taulukko 20.04, sarake 010, rivi 170, kaikki maat.</w:t>
            </w:r>
          </w:p>
          <w:p w14:paraId="7FE1BD50" w14:textId="77777777" w:rsidR="00B81226" w:rsidRDefault="00B82AC2">
            <w:pPr>
              <w:pStyle w:val="P68B1DB1-TableParagraph13"/>
              <w:numPr>
                <w:ilvl w:val="0"/>
                <w:numId w:val="153"/>
              </w:numPr>
              <w:spacing w:before="108"/>
              <w:jc w:val="both"/>
            </w:pPr>
            <w:r>
              <w:t>Johdannaisvelat: Taulukko 20.06, sarake 010, rivi 020, kaikki maat.</w:t>
            </w:r>
          </w:p>
        </w:tc>
      </w:tr>
      <w:tr w:rsidR="00B81226" w14:paraId="7FE1BD5A" w14:textId="77777777">
        <w:tc>
          <w:tcPr>
            <w:tcW w:w="1080" w:type="dxa"/>
            <w:tcBorders>
              <w:top w:val="single" w:sz="4" w:space="0" w:color="1A171C"/>
              <w:left w:val="nil"/>
              <w:bottom w:val="single" w:sz="4" w:space="0" w:color="1A171C"/>
              <w:right w:val="single" w:sz="4" w:space="0" w:color="1A171C"/>
            </w:tcBorders>
            <w:vAlign w:val="center"/>
          </w:tcPr>
          <w:p w14:paraId="7FE1BD52" w14:textId="77777777" w:rsidR="00B81226" w:rsidRDefault="00B82AC2">
            <w:pPr>
              <w:pStyle w:val="P68B1DB1-TableParagraph17"/>
              <w:spacing w:before="108"/>
              <w:ind w:left="85"/>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D53" w14:textId="77777777" w:rsidR="00B81226" w:rsidRDefault="00B82AC2">
            <w:pPr>
              <w:pStyle w:val="P68B1DB1-Normal42"/>
              <w:rPr>
                <w:bCs/>
              </w:rPr>
            </w:pPr>
            <w:r>
              <w:t>Vaikutus- ja korvattavuusanalyysit</w:t>
            </w:r>
          </w:p>
          <w:p w14:paraId="7FE1BD54" w14:textId="77777777" w:rsidR="00B81226" w:rsidRDefault="00B82AC2">
            <w:pPr>
              <w:pStyle w:val="P68B1DB1-Normal43"/>
            </w:pPr>
            <w:r>
              <w:t>Kolmansiin osapuoliin kohdistuvan vaikutuksen arviointikriteereihin on sisällyttävä seuraavat osatekijät kriittisistä toiminnoista annetun komission delegoidun asetuksen (EU) 2016/778 mukaisesti:</w:t>
            </w:r>
          </w:p>
          <w:p w14:paraId="7FE1BD55" w14:textId="77777777" w:rsidR="00B81226" w:rsidRDefault="00B82AC2">
            <w:pPr>
              <w:pStyle w:val="P68B1DB1-ListParagraph38"/>
              <w:numPr>
                <w:ilvl w:val="0"/>
                <w:numId w:val="131"/>
              </w:numPr>
              <w:spacing w:line="276" w:lineRule="auto"/>
            </w:pPr>
            <w:r>
              <w:t>toiminnan luonne ja laajuus, maailmanlaajuinen, kansallinen tai alueellinen ulottuvuus sekä transaktioiden volyymi ja lukumäärä; asiakkaiden ja vastapuolten lukumäärä; niiden asiakkaiden lukumäärä, joille laitos on ainoa tai pääasiallinen pankkikumppani;</w:t>
            </w:r>
          </w:p>
          <w:p w14:paraId="7FE1BD56" w14:textId="77777777" w:rsidR="00B81226" w:rsidRDefault="00B82AC2">
            <w:pPr>
              <w:pStyle w:val="P68B1DB1-ListParagraph38"/>
              <w:numPr>
                <w:ilvl w:val="0"/>
                <w:numId w:val="131"/>
              </w:numPr>
              <w:spacing w:line="276" w:lineRule="auto"/>
            </w:pPr>
            <w:r>
              <w:t xml:space="preserve">laitoksen merkitys paikallisella, alueellisella, kansallisella tai Euroopan tasolla asianomaisista markkinoista riippuen. Laitoksen merkitystä voidaan arvioida </w:t>
            </w:r>
            <w:r>
              <w:lastRenderedPageBreak/>
              <w:t>markkinaosuuden, sidosten, monitahoisuuden ja valtioiden rajat ylittävän toiminnan perusteella.</w:t>
            </w:r>
          </w:p>
          <w:p w14:paraId="7FE1BD57" w14:textId="77777777" w:rsidR="00B81226" w:rsidRDefault="00B82AC2">
            <w:pPr>
              <w:pStyle w:val="P68B1DB1-ListParagraph38"/>
              <w:numPr>
                <w:ilvl w:val="0"/>
                <w:numId w:val="131"/>
              </w:numPr>
              <w:spacing w:line="276" w:lineRule="auto"/>
            </w:pPr>
            <w:r>
              <w:t xml:space="preserve">niiden asiakkaiden ja sidosryhmien luonne, joihin toiminto vaikuttaa, kuten muun muassa vähittäisasiakkaat, yritysasiakkaat, pankkien väliset asiakkaat, keskusvastapuoliyhteisöt ja julkisyhteisöt; </w:t>
            </w:r>
          </w:p>
          <w:p w14:paraId="7FE1BD58" w14:textId="77777777" w:rsidR="00B81226" w:rsidRDefault="00B82AC2">
            <w:pPr>
              <w:pStyle w:val="P68B1DB1-ListParagraph38"/>
              <w:numPr>
                <w:ilvl w:val="0"/>
                <w:numId w:val="131"/>
              </w:numPr>
              <w:spacing w:line="276" w:lineRule="auto"/>
            </w:pPr>
            <w:r>
              <w:t>toiminnon mahdollisesti aiheuttama häiriö markkinoilla, infrastruktuureissa, asiakkaiden keskuudessa ja julkisissa palveluissa. Arvioinnissa voidaan ottaa huomioon erityisesti vaikutus kyseisten markkinoiden likvidiyteen, asiakasyrityksissä aiheutuneen häiriön vaikutus ja laajuus sekä lyhyen aikavälin likviditeettitarpeet; merkityksellisyys vastapuolten, asiakkaiden ja yleisön kannalta; asiakkaiden reagointikyky ja -nopeus; merkitys muiden markkinoiden toiminnan kannalta; vaikutus muiden markkinoiden likvid</w:t>
            </w:r>
            <w:r>
              <w:t>iyteen, toimintoihin ja rakenteeseen; vaikutus tärkeimpiin asiakkaisiin sidossuhteessa oleviin muihin vastapuoliin ja toiminnon vuorovaikutus muiden palveluiden kanssa.</w:t>
            </w:r>
          </w:p>
          <w:p w14:paraId="7FE1BD59" w14:textId="77777777" w:rsidR="00B81226" w:rsidRDefault="00B81226">
            <w:pPr>
              <w:rPr>
                <w:rFonts w:ascii="Times New Roman" w:eastAsiaTheme="minorHAnsi" w:hAnsi="Times New Roman" w:cs="Times New Roman"/>
                <w:color w:val="000000" w:themeColor="text1"/>
                <w:sz w:val="20"/>
                <w:szCs w:val="20"/>
              </w:rPr>
            </w:pPr>
          </w:p>
        </w:tc>
      </w:tr>
      <w:tr w:rsidR="00B81226" w14:paraId="7FE1BD5E" w14:textId="77777777">
        <w:tc>
          <w:tcPr>
            <w:tcW w:w="1080" w:type="dxa"/>
            <w:tcBorders>
              <w:top w:val="single" w:sz="4" w:space="0" w:color="1A171C"/>
              <w:left w:val="nil"/>
              <w:bottom w:val="single" w:sz="4" w:space="0" w:color="1A171C"/>
              <w:right w:val="single" w:sz="4" w:space="0" w:color="1A171C"/>
            </w:tcBorders>
            <w:vAlign w:val="center"/>
          </w:tcPr>
          <w:p w14:paraId="7FE1BD5B" w14:textId="77777777" w:rsidR="00B81226" w:rsidRDefault="00B82AC2">
            <w:pPr>
              <w:pStyle w:val="P68B1DB1-TableParagraph17"/>
              <w:spacing w:before="108"/>
              <w:ind w:left="85"/>
              <w:jc w:val="both"/>
            </w:pPr>
            <w:r>
              <w:lastRenderedPageBreak/>
              <w:t>0080–0100</w:t>
            </w:r>
          </w:p>
        </w:tc>
        <w:tc>
          <w:tcPr>
            <w:tcW w:w="8003" w:type="dxa"/>
            <w:tcBorders>
              <w:top w:val="single" w:sz="4" w:space="0" w:color="1A171C"/>
              <w:left w:val="single" w:sz="4" w:space="0" w:color="1A171C"/>
              <w:bottom w:val="single" w:sz="4" w:space="0" w:color="1A171C"/>
              <w:right w:val="nil"/>
            </w:tcBorders>
            <w:vAlign w:val="center"/>
          </w:tcPr>
          <w:p w14:paraId="7FE1BD5C" w14:textId="77777777" w:rsidR="00B81226" w:rsidRDefault="00B82AC2">
            <w:pPr>
              <w:pStyle w:val="P68B1DB1-Normal42"/>
              <w:rPr>
                <w:bCs/>
              </w:rPr>
            </w:pPr>
            <w:r>
              <w:t xml:space="preserve">Luonne ja laajuus </w:t>
            </w:r>
          </w:p>
          <w:p w14:paraId="7FE1BD5D" w14:textId="77777777" w:rsidR="00B81226" w:rsidRDefault="00B82AC2">
            <w:pPr>
              <w:pStyle w:val="P68B1DB1-Normal43"/>
            </w:pPr>
            <w:r>
              <w:t>Maailmanlaajuinen, kansallinen tai alueellinen ulottuvuus sekä transaktioiden volyymi ja lukumäärä; asiakkaiden ja vastapuolten lukumäärä; niiden asiakkaiden lukumäärä, joille laitos on ainoa tai pääasiallinen pankkikumppani;</w:t>
            </w:r>
          </w:p>
        </w:tc>
      </w:tr>
      <w:tr w:rsidR="00B81226" w14:paraId="7FE1BD65" w14:textId="77777777">
        <w:tc>
          <w:tcPr>
            <w:tcW w:w="1080" w:type="dxa"/>
            <w:tcBorders>
              <w:top w:val="single" w:sz="4" w:space="0" w:color="1A171C"/>
              <w:left w:val="nil"/>
              <w:bottom w:val="single" w:sz="4" w:space="0" w:color="1A171C"/>
              <w:right w:val="single" w:sz="4" w:space="0" w:color="1A171C"/>
            </w:tcBorders>
            <w:vAlign w:val="center"/>
          </w:tcPr>
          <w:p w14:paraId="7FE1BD5F" w14:textId="77777777" w:rsidR="00B81226" w:rsidRDefault="00B82AC2">
            <w:pPr>
              <w:pStyle w:val="P68B1DB1-TableParagraph17"/>
              <w:spacing w:before="108"/>
              <w:ind w:left="85"/>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D60" w14:textId="77777777" w:rsidR="00B81226" w:rsidRDefault="00B82AC2">
            <w:pPr>
              <w:pStyle w:val="P68B1DB1-Normal42"/>
              <w:rPr>
                <w:bCs/>
              </w:rPr>
            </w:pPr>
            <w:r>
              <w:t>Kokoindikaattori 1</w:t>
            </w:r>
          </w:p>
          <w:p w14:paraId="611DAB08" w14:textId="77777777" w:rsidR="00B81226" w:rsidRDefault="00B82AC2">
            <w:pPr>
              <w:pStyle w:val="P68B1DB1-Normal31"/>
              <w:spacing w:line="276" w:lineRule="auto"/>
              <w:jc w:val="both"/>
            </w:pPr>
            <w:r>
              <w:t>Arvioi pankin merkitystä näissä toiminnoissa. Tämä arvio ilmaistaan laadullisesti seuraavasti: ”korkea”, ”keskitasoinen”, ”keskitasoinen” tai ”alhainen”. Ilmoitetaan ”High”, jos funktio on suuri, ”keskikokoinen”, jos se on keskitasoinen, ”keskikokoinen”, jos se on pieni, ja ”pieni”, jos se on vähäinen. Tämän laadullisen arvioinnin vertailuarvona käytetään makrotaloudellisia muuttujia, kuten BKT:tä, väestöä (talletukset, luotonanto, maksut, käteisvarat, selvitys- ja säilytyspalvelut) tai markkinoiden kokoa (</w:t>
            </w:r>
            <w:r>
              <w:t xml:space="preserve">pääomamarkkinoiden ja tukkurahoituksen osalta). </w:t>
            </w:r>
          </w:p>
          <w:p w14:paraId="7FE1BD61" w14:textId="0497CCAC" w:rsidR="00B81226" w:rsidRDefault="00B82AC2">
            <w:pPr>
              <w:pStyle w:val="P68B1DB1-Normal43"/>
            </w:pPr>
            <w:r>
              <w:t xml:space="preserve"> </w:t>
            </w:r>
          </w:p>
          <w:p w14:paraId="7FE1BD62" w14:textId="77777777" w:rsidR="00B81226" w:rsidRDefault="00B82AC2">
            <w:pPr>
              <w:pStyle w:val="P68B1DB1-ListParagraph32"/>
              <w:numPr>
                <w:ilvl w:val="0"/>
                <w:numId w:val="125"/>
              </w:numPr>
              <w:spacing w:line="276" w:lineRule="auto"/>
            </w:pPr>
            <w:r>
              <w:t xml:space="preserve">Asiantuntija-arvio raportoivan laitoksen </w:t>
            </w:r>
            <w:r>
              <w:rPr>
                <w:b/>
              </w:rPr>
              <w:t>bruttomääräisestä</w:t>
            </w:r>
            <w:r>
              <w:t xml:space="preserve"> kirjanpitoarvosta (sarake 0030) </w:t>
            </w:r>
            <w:r>
              <w:rPr>
                <w:b/>
              </w:rPr>
              <w:t>maailmanlaajuisesta</w:t>
            </w:r>
            <w:r>
              <w:t xml:space="preserve"> näkökulmasta [</w:t>
            </w:r>
            <w:r>
              <w:rPr>
                <w:i/>
              </w:rPr>
              <w:t>yksi taso ylempänä kuin merkitykselliset markkinat. Jos merkitykselliset markkinat ovat globaalit, koko 1 on turha eikä siitä tarvitse ilmoittaa]</w:t>
            </w:r>
            <w:r>
              <w:t>:</w:t>
            </w:r>
          </w:p>
          <w:p w14:paraId="7FE1BD63" w14:textId="77777777" w:rsidR="00B81226" w:rsidRDefault="00B82AC2">
            <w:pPr>
              <w:pStyle w:val="P68B1DB1-ListParagraph32"/>
              <w:numPr>
                <w:ilvl w:val="1"/>
                <w:numId w:val="125"/>
              </w:numPr>
              <w:spacing w:line="276" w:lineRule="auto"/>
            </w:pPr>
            <w:r>
              <w:t>Kuinka merkittäväksi arvioitte laitoksenne nettovälinearvon kansainvälisestä näkökulmasta tarkasteltuna?</w:t>
            </w:r>
          </w:p>
          <w:p w14:paraId="7FE1BD64" w14:textId="77777777" w:rsidR="00B81226" w:rsidRDefault="00B81226">
            <w:pPr>
              <w:rPr>
                <w:rFonts w:ascii="Times New Roman" w:eastAsiaTheme="minorHAnsi" w:hAnsi="Times New Roman" w:cs="Times New Roman"/>
                <w:color w:val="000000" w:themeColor="text1"/>
                <w:sz w:val="20"/>
                <w:szCs w:val="20"/>
              </w:rPr>
            </w:pPr>
          </w:p>
        </w:tc>
      </w:tr>
      <w:tr w:rsidR="00B81226" w14:paraId="7FE1BD6C" w14:textId="77777777">
        <w:tc>
          <w:tcPr>
            <w:tcW w:w="1080" w:type="dxa"/>
            <w:tcBorders>
              <w:top w:val="single" w:sz="4" w:space="0" w:color="1A171C"/>
              <w:left w:val="nil"/>
              <w:bottom w:val="single" w:sz="4" w:space="0" w:color="1A171C"/>
              <w:right w:val="single" w:sz="4" w:space="0" w:color="1A171C"/>
            </w:tcBorders>
            <w:vAlign w:val="center"/>
          </w:tcPr>
          <w:p w14:paraId="7FE1BD66" w14:textId="77777777" w:rsidR="00B81226" w:rsidRDefault="00B82AC2">
            <w:pPr>
              <w:pStyle w:val="P68B1DB1-TableParagraph17"/>
              <w:spacing w:before="108"/>
              <w:ind w:left="85"/>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D67" w14:textId="77777777" w:rsidR="00B81226" w:rsidRDefault="00B82AC2">
            <w:pPr>
              <w:pStyle w:val="P68B1DB1-Normal42"/>
              <w:rPr>
                <w:bCs/>
              </w:rPr>
            </w:pPr>
            <w:r>
              <w:t>Kokoindikaattori 2</w:t>
            </w:r>
          </w:p>
          <w:p w14:paraId="75C87AE7" w14:textId="77777777" w:rsidR="00B81226" w:rsidRDefault="00B82AC2">
            <w:pPr>
              <w:pStyle w:val="P68B1DB1-Normal31"/>
              <w:spacing w:line="276" w:lineRule="auto"/>
              <w:jc w:val="both"/>
            </w:pPr>
            <w:r>
              <w:t>Arvioi pankin merkitystä näissä toiminnoissa. Tämä arvio ilmaistaan laadullisesti seuraavasti: ”korkea”, ”keskitasoinen”, ”keskitasoinen” tai ”alhainen”. Ilmoitetaan ”High”, jos funktio on suuri, ”keskikokoinen”, jos se on keskitasoinen, ”keskikokoinen”, jos se on pieni, ja ”pieni”, jos se on vähäinen. Tämän laadullisen arvioinnin vertailuarvona käytetään makrotaloudellisia muuttujia, kuten BKT:tä, väestöä (talletukset, luotonanto, maksut, käteisvarat, selvitys- ja säilytyspalvelut) tai markkinoiden kokoa (</w:t>
            </w:r>
            <w:r>
              <w:t xml:space="preserve">pääomamarkkinoiden ja tukkurahoituksen osalta). </w:t>
            </w:r>
          </w:p>
          <w:p w14:paraId="7FE1BD68" w14:textId="10683EF9" w:rsidR="00B81226" w:rsidRDefault="00B82AC2">
            <w:pPr>
              <w:pStyle w:val="P68B1DB1-Normal43"/>
            </w:pPr>
            <w:r>
              <w:t xml:space="preserve"> </w:t>
            </w:r>
          </w:p>
          <w:p w14:paraId="7FE1BD69" w14:textId="77777777" w:rsidR="00B81226" w:rsidRDefault="00B82AC2">
            <w:pPr>
              <w:pStyle w:val="P68B1DB1-ListParagraph32"/>
              <w:numPr>
                <w:ilvl w:val="0"/>
                <w:numId w:val="119"/>
              </w:numPr>
              <w:spacing w:line="276" w:lineRule="auto"/>
            </w:pPr>
            <w:r>
              <w:t xml:space="preserve">Asiantuntija-arvio vastapuolten tai transaktioiden </w:t>
            </w:r>
            <w:r>
              <w:rPr>
                <w:b/>
              </w:rPr>
              <w:t>lukumäärästä</w:t>
            </w:r>
            <w:r>
              <w:t xml:space="preserve"> (c0040) </w:t>
            </w:r>
            <w:r>
              <w:rPr>
                <w:b/>
              </w:rPr>
              <w:t>kansallisesta</w:t>
            </w:r>
            <w:r>
              <w:t xml:space="preserve"> näkökulmasta [</w:t>
            </w:r>
            <w:r>
              <w:rPr>
                <w:i/>
              </w:rPr>
              <w:t>asianomaisten markkinoiden tasolla</w:t>
            </w:r>
            <w:r>
              <w:t>]:</w:t>
            </w:r>
          </w:p>
          <w:p w14:paraId="7FE1BD6A" w14:textId="77777777" w:rsidR="00B81226" w:rsidRDefault="00B82AC2">
            <w:pPr>
              <w:pStyle w:val="P68B1DB1-ListParagraph32"/>
              <w:numPr>
                <w:ilvl w:val="1"/>
                <w:numId w:val="119"/>
              </w:numPr>
              <w:spacing w:line="276" w:lineRule="auto"/>
            </w:pPr>
            <w:r>
              <w:t>Kuinka merkittäväksi arvioitte laitoksenne vastapuolten asiakasmäärän kansallisesta näkökulmasta tarkasteltuna?</w:t>
            </w:r>
          </w:p>
          <w:p w14:paraId="7FE1BD6B" w14:textId="77777777" w:rsidR="00B81226" w:rsidRDefault="00B81226">
            <w:pPr>
              <w:rPr>
                <w:rFonts w:ascii="Times New Roman" w:eastAsiaTheme="minorHAnsi" w:hAnsi="Times New Roman" w:cs="Times New Roman"/>
                <w:color w:val="000000" w:themeColor="text1"/>
                <w:sz w:val="20"/>
                <w:szCs w:val="20"/>
              </w:rPr>
            </w:pPr>
          </w:p>
        </w:tc>
      </w:tr>
      <w:tr w:rsidR="00B81226" w14:paraId="7FE1BD73" w14:textId="77777777">
        <w:tc>
          <w:tcPr>
            <w:tcW w:w="1080" w:type="dxa"/>
            <w:tcBorders>
              <w:top w:val="single" w:sz="4" w:space="0" w:color="1A171C"/>
              <w:left w:val="nil"/>
              <w:bottom w:val="single" w:sz="4" w:space="0" w:color="1A171C"/>
              <w:right w:val="single" w:sz="4" w:space="0" w:color="1A171C"/>
            </w:tcBorders>
            <w:vAlign w:val="center"/>
          </w:tcPr>
          <w:p w14:paraId="7FE1BD6D" w14:textId="77777777" w:rsidR="00B81226" w:rsidRDefault="00B82AC2">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D6E" w14:textId="77777777" w:rsidR="00B81226" w:rsidRDefault="00B82AC2">
            <w:pPr>
              <w:pStyle w:val="P68B1DB1-Normal42"/>
              <w:rPr>
                <w:bCs/>
              </w:rPr>
            </w:pPr>
            <w:r>
              <w:t>Rajatylittävää toimintaa koskeva indikaattori</w:t>
            </w:r>
          </w:p>
          <w:p w14:paraId="7FE1BD6F" w14:textId="77777777" w:rsidR="00B81226" w:rsidRDefault="00B82AC2">
            <w:pPr>
              <w:pStyle w:val="P68B1DB1-Normal43"/>
            </w:pPr>
            <w:r>
              <w:t>Arvioida rajat ylittävän toiminnan suhteellista merkitystä eri taloudellisille toiminnoille.</w:t>
            </w:r>
          </w:p>
          <w:p w14:paraId="7FE1BD70" w14:textId="77777777" w:rsidR="00B81226" w:rsidRDefault="00B82AC2">
            <w:pPr>
              <w:pStyle w:val="P68B1DB1-Normal43"/>
            </w:pPr>
            <w:r>
              <w:lastRenderedPageBreak/>
              <w:t xml:space="preserve">Tätä ei tarvitse arvioida, jos kyse on raporteista, joissa merkitykselliset markkinat ovat alueelliset. </w:t>
            </w:r>
          </w:p>
          <w:p w14:paraId="482F1D03" w14:textId="77777777" w:rsidR="00B81226" w:rsidRDefault="00B82AC2">
            <w:pPr>
              <w:pStyle w:val="P68B1DB1-ListParagraph32"/>
              <w:numPr>
                <w:ilvl w:val="0"/>
                <w:numId w:val="118"/>
              </w:numPr>
              <w:rPr>
                <w:i/>
                <w:iCs/>
              </w:rPr>
            </w:pPr>
            <w:r>
              <w:t>Raportoivan yhteisön rajatylittävän toiminnan osuus prosentteina kokonaisarvosta (bruttomääräisen kirjanpitoarvon mukaan). Mietintö:</w:t>
            </w:r>
          </w:p>
          <w:p w14:paraId="7E6697A4" w14:textId="0A448298" w:rsidR="00B81226" w:rsidRDefault="00B82AC2">
            <w:pPr>
              <w:pStyle w:val="P68B1DB1-ListParagraph32"/>
              <w:numPr>
                <w:ilvl w:val="1"/>
                <w:numId w:val="118"/>
              </w:numPr>
              <w:rPr>
                <w:i/>
                <w:iCs/>
              </w:rPr>
            </w:pPr>
            <w:r>
              <w:t xml:space="preserve"> &amp;5 %; </w:t>
            </w:r>
          </w:p>
          <w:p w14:paraId="30B91FAF" w14:textId="5CD6C33D" w:rsidR="00B81226" w:rsidRDefault="00B82AC2">
            <w:pPr>
              <w:pStyle w:val="P68B1DB1-ListParagraph32"/>
              <w:numPr>
                <w:ilvl w:val="1"/>
                <w:numId w:val="118"/>
              </w:numPr>
              <w:rPr>
                <w:i/>
                <w:iCs/>
              </w:rPr>
            </w:pPr>
            <w:r>
              <w:t xml:space="preserve">5–15 PROSENTTIA; </w:t>
            </w:r>
          </w:p>
          <w:p w14:paraId="50353685" w14:textId="2995AD20" w:rsidR="00B81226" w:rsidRDefault="00B82AC2">
            <w:pPr>
              <w:pStyle w:val="P68B1DB1-ListParagraph32"/>
              <w:numPr>
                <w:ilvl w:val="1"/>
                <w:numId w:val="118"/>
              </w:numPr>
              <w:rPr>
                <w:i/>
                <w:iCs/>
              </w:rPr>
            </w:pPr>
            <w:r>
              <w:t xml:space="preserve">15–25 %, </w:t>
            </w:r>
          </w:p>
          <w:p w14:paraId="7FE1BD71" w14:textId="6E1F5AA5" w:rsidR="00B81226" w:rsidRDefault="00B82AC2">
            <w:pPr>
              <w:pStyle w:val="P68B1DB1-ListParagraph32"/>
              <w:numPr>
                <w:ilvl w:val="1"/>
                <w:numId w:val="118"/>
              </w:numPr>
              <w:rPr>
                <w:i/>
                <w:iCs/>
              </w:rPr>
            </w:pPr>
            <w:r>
              <w:t>&gt; 25 %</w:t>
            </w:r>
          </w:p>
          <w:p w14:paraId="7FE1BD72" w14:textId="77777777" w:rsidR="00B81226" w:rsidRDefault="00B81226">
            <w:pPr>
              <w:rPr>
                <w:rFonts w:ascii="Times New Roman" w:eastAsiaTheme="minorHAnsi" w:hAnsi="Times New Roman" w:cs="Times New Roman"/>
                <w:color w:val="000000" w:themeColor="text1"/>
                <w:sz w:val="20"/>
                <w:szCs w:val="20"/>
              </w:rPr>
            </w:pPr>
          </w:p>
        </w:tc>
      </w:tr>
      <w:tr w:rsidR="00B81226" w14:paraId="7FE1BD82" w14:textId="77777777">
        <w:tc>
          <w:tcPr>
            <w:tcW w:w="1080" w:type="dxa"/>
            <w:tcBorders>
              <w:top w:val="single" w:sz="4" w:space="0" w:color="1A171C"/>
              <w:left w:val="nil"/>
              <w:bottom w:val="single" w:sz="4" w:space="0" w:color="1A171C"/>
              <w:right w:val="single" w:sz="4" w:space="0" w:color="1A171C"/>
            </w:tcBorders>
            <w:vAlign w:val="center"/>
          </w:tcPr>
          <w:p w14:paraId="7FE1BD74" w14:textId="77777777" w:rsidR="00B81226" w:rsidRDefault="00B82AC2">
            <w:pPr>
              <w:pStyle w:val="P68B1DB1-TableParagraph17"/>
              <w:spacing w:before="108"/>
              <w:ind w:left="85"/>
              <w:jc w:val="both"/>
            </w:pPr>
            <w:r>
              <w:lastRenderedPageBreak/>
              <w:t>0110</w:t>
            </w:r>
          </w:p>
        </w:tc>
        <w:tc>
          <w:tcPr>
            <w:tcW w:w="8003" w:type="dxa"/>
            <w:tcBorders>
              <w:top w:val="single" w:sz="4" w:space="0" w:color="1A171C"/>
              <w:left w:val="single" w:sz="4" w:space="0" w:color="1A171C"/>
              <w:bottom w:val="single" w:sz="4" w:space="0" w:color="1A171C"/>
              <w:right w:val="nil"/>
            </w:tcBorders>
            <w:vAlign w:val="center"/>
          </w:tcPr>
          <w:p w14:paraId="7FE1BD75" w14:textId="77777777" w:rsidR="00B81226" w:rsidRDefault="00B82AC2">
            <w:pPr>
              <w:pStyle w:val="P68B1DB1-Normal42"/>
              <w:rPr>
                <w:bCs/>
              </w:rPr>
            </w:pPr>
            <w:r>
              <w:t xml:space="preserve">Merkityksellisyys — </w:t>
            </w:r>
          </w:p>
          <w:p w14:paraId="7FE1BD76" w14:textId="77777777" w:rsidR="00B81226" w:rsidRDefault="00B82AC2">
            <w:pPr>
              <w:pStyle w:val="P68B1DB1-Normal43"/>
            </w:pPr>
            <w:r>
              <w:t>Paikallisella, alueellisella, kansallisella tai Euroopan tasolla asianomaisista markkinoista riippuen. Laitoksen merkitystä voidaan arvioida markkinaosuuden, sidosten, monitahoisuuden ja valtioiden rajat ylittävän toiminnan perusteella.</w:t>
            </w:r>
          </w:p>
          <w:p w14:paraId="7FE1BD77" w14:textId="77777777" w:rsidR="00B81226" w:rsidRDefault="00B82AC2">
            <w:pPr>
              <w:pStyle w:val="P68B1DB1-Normal42"/>
              <w:rPr>
                <w:bCs/>
              </w:rPr>
            </w:pPr>
            <w:r>
              <w:t>Markkinaosuus</w:t>
            </w:r>
          </w:p>
          <w:p w14:paraId="7FE1BD78" w14:textId="77777777" w:rsidR="00B81226" w:rsidRDefault="00B82AC2">
            <w:pPr>
              <w:pStyle w:val="P68B1DB1-Normal43"/>
            </w:pPr>
            <w:r>
              <w:t xml:space="preserve">Arvioitava raportoivan yhteisön markkinaosuuden merkitys verrattuna lomakkeessa ilmoitettuihin kansallisiin tai muihin merkityksellisiin markkinoihin. Tämä arvio ilmaistaan laadullisesti seuraavasti: </w:t>
            </w:r>
          </w:p>
          <w:p w14:paraId="7FE1BD79" w14:textId="43E56AB8" w:rsidR="00B81226" w:rsidRDefault="00B82AC2">
            <w:pPr>
              <w:pStyle w:val="P68B1DB1-ListParagraph38"/>
              <w:numPr>
                <w:ilvl w:val="0"/>
                <w:numId w:val="276"/>
              </w:numPr>
              <w:spacing w:line="276" w:lineRule="auto"/>
              <w:jc w:val="both"/>
            </w:pPr>
            <w:r>
              <w:t>Suuri, jos markkinaosuus on suuri</w:t>
            </w:r>
          </w:p>
          <w:p w14:paraId="7FE1BD7A" w14:textId="533BFB92" w:rsidR="00B81226" w:rsidRDefault="00B82AC2">
            <w:pPr>
              <w:pStyle w:val="P68B1DB1-ListParagraph38"/>
              <w:numPr>
                <w:ilvl w:val="0"/>
                <w:numId w:val="276"/>
              </w:numPr>
              <w:spacing w:line="276" w:lineRule="auto"/>
              <w:jc w:val="both"/>
            </w:pPr>
            <w:r>
              <w:t>Keskikorkea, jos markkinaosuus on keskisuuri</w:t>
            </w:r>
          </w:p>
          <w:p w14:paraId="7FE1BD7B" w14:textId="3F2EEB01" w:rsidR="00B81226" w:rsidRDefault="00B82AC2">
            <w:pPr>
              <w:pStyle w:val="P68B1DB1-ListParagraph38"/>
              <w:numPr>
                <w:ilvl w:val="0"/>
                <w:numId w:val="276"/>
              </w:numPr>
              <w:spacing w:line="276" w:lineRule="auto"/>
              <w:jc w:val="both"/>
            </w:pPr>
            <w:r>
              <w:t xml:space="preserve">Keskisuuri – pieni, jos markkinaosuus on pieni, tai </w:t>
            </w:r>
          </w:p>
          <w:p w14:paraId="7FE1BD7C" w14:textId="05FA4C79" w:rsidR="00B81226" w:rsidRDefault="00B82AC2">
            <w:pPr>
              <w:pStyle w:val="P68B1DB1-ListParagraph38"/>
              <w:numPr>
                <w:ilvl w:val="0"/>
                <w:numId w:val="276"/>
              </w:numPr>
              <w:spacing w:line="276" w:lineRule="auto"/>
              <w:jc w:val="both"/>
            </w:pPr>
            <w:r>
              <w:t xml:space="preserve">Pieni, jos markkinaosuus on vähäinen. </w:t>
            </w:r>
          </w:p>
          <w:p w14:paraId="7FE1BD7D" w14:textId="77777777" w:rsidR="00B81226" w:rsidRDefault="00B82AC2">
            <w:pPr>
              <w:pStyle w:val="P68B1DB1-Normal43"/>
            </w:pPr>
            <w:r>
              <w:t xml:space="preserve">Arvioinnissa otetaan huomioon raportoivan yhteisön maan (tai muiden merkityksellisten markkinoiden) markkinarakenne ja markkinaosuudet, jotka ilmoitetaan osassa 2. </w:t>
            </w:r>
          </w:p>
          <w:p w14:paraId="7FE1BD7E" w14:textId="77777777" w:rsidR="00B81226" w:rsidRDefault="00B82AC2">
            <w:pPr>
              <w:pStyle w:val="P68B1DB1-Normal43"/>
            </w:pPr>
            <w:r>
              <w:t>2.Kvantitatiiviset tiedot:</w:t>
            </w:r>
          </w:p>
          <w:p w14:paraId="7FE1BD7F" w14:textId="77777777" w:rsidR="00B81226" w:rsidRDefault="00B82AC2">
            <w:pPr>
              <w:pStyle w:val="P68B1DB1-ListParagraph32"/>
              <w:numPr>
                <w:ilvl w:val="0"/>
                <w:numId w:val="116"/>
              </w:numPr>
              <w:jc w:val="both"/>
              <w:rPr>
                <w:i/>
                <w:iCs/>
              </w:rPr>
            </w:pPr>
            <w:r>
              <w:t xml:space="preserve">Asiantuntija-arvio </w:t>
            </w:r>
            <w:r>
              <w:rPr>
                <w:b/>
              </w:rPr>
              <w:t xml:space="preserve">kansallisesta </w:t>
            </w:r>
            <w:r>
              <w:t>markkinaosuudesta (ilmoitettu sarakkeessa 0020, lukuun ottamatta tapauksia, joissa raportti annetaan eri merkityksellisten markkinoiden tasolla, jolloin on tehtävä arviointi merkityksellisten markkinoiden osuudesta)</w:t>
            </w:r>
          </w:p>
          <w:p w14:paraId="7FE1BD80" w14:textId="77777777" w:rsidR="00B81226" w:rsidRDefault="00B81226">
            <w:pPr>
              <w:rPr>
                <w:rFonts w:ascii="Times New Roman" w:eastAsiaTheme="minorHAnsi" w:hAnsi="Times New Roman" w:cs="Times New Roman"/>
                <w:color w:val="000000" w:themeColor="text1"/>
                <w:sz w:val="20"/>
                <w:szCs w:val="20"/>
              </w:rPr>
            </w:pPr>
          </w:p>
          <w:p w14:paraId="7FE1BD81" w14:textId="77777777" w:rsidR="00B81226" w:rsidRDefault="00B81226">
            <w:pPr>
              <w:rPr>
                <w:rFonts w:ascii="Times New Roman" w:eastAsiaTheme="minorHAnsi" w:hAnsi="Times New Roman" w:cs="Times New Roman"/>
                <w:color w:val="000000" w:themeColor="text1"/>
                <w:sz w:val="20"/>
                <w:szCs w:val="20"/>
              </w:rPr>
            </w:pPr>
          </w:p>
        </w:tc>
      </w:tr>
      <w:tr w:rsidR="00B81226" w14:paraId="7FE1BD8E" w14:textId="77777777">
        <w:tc>
          <w:tcPr>
            <w:tcW w:w="1080" w:type="dxa"/>
            <w:tcBorders>
              <w:top w:val="single" w:sz="4" w:space="0" w:color="1A171C"/>
              <w:left w:val="nil"/>
              <w:bottom w:val="single" w:sz="4" w:space="0" w:color="1A171C"/>
              <w:right w:val="single" w:sz="4" w:space="0" w:color="1A171C"/>
            </w:tcBorders>
            <w:vAlign w:val="center"/>
          </w:tcPr>
          <w:p w14:paraId="7FE1BD83" w14:textId="77777777" w:rsidR="00B81226" w:rsidRDefault="00B82AC2">
            <w:pPr>
              <w:pStyle w:val="P68B1DB1-TableParagraph17"/>
              <w:spacing w:before="108"/>
              <w:ind w:left="85"/>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D84" w14:textId="77777777" w:rsidR="00B81226" w:rsidRDefault="00B82AC2">
            <w:pPr>
              <w:pStyle w:val="P68B1DB1-Normal42"/>
              <w:rPr>
                <w:bCs/>
              </w:rPr>
            </w:pPr>
            <w:r>
              <w:t>Markkinoiden rakenne – markkinoiden keskittyminen</w:t>
            </w:r>
          </w:p>
          <w:p w14:paraId="7FE1BD85" w14:textId="77777777" w:rsidR="00B81226" w:rsidRDefault="00B82AC2">
            <w:pPr>
              <w:pStyle w:val="P68B1DB1-Normal43"/>
            </w:pPr>
            <w:r>
              <w:t xml:space="preserve">Markkinoiden keskittyminen mitattuna markkinoilla tällä hetkellä toimivien kilpailijoiden lukumäärällä </w:t>
            </w:r>
          </w:p>
          <w:p w14:paraId="7FE1BD86" w14:textId="77777777" w:rsidR="00B81226" w:rsidRDefault="00B82AC2">
            <w:pPr>
              <w:pStyle w:val="P68B1DB1-Normal43"/>
            </w:pPr>
            <w:r>
              <w:t xml:space="preserve">samankaltaiset taloudelliset toiminnot ja/tai vastaavien palvelujen tarjoaminen yhtäläisin ehdoin (eli </w:t>
            </w:r>
          </w:p>
          <w:p w14:paraId="7FE1BD87" w14:textId="77777777" w:rsidR="00B81226" w:rsidRDefault="00B82AC2">
            <w:pPr>
              <w:pStyle w:val="P68B1DB1-Normal43"/>
            </w:pPr>
            <w:r>
              <w:t xml:space="preserve">määrältään, laadultaan ja kustannuksiltaan vertailukelpoiset), jotka mahdollisesti otetaan haltuun </w:t>
            </w:r>
          </w:p>
          <w:p w14:paraId="7FE1BD88" w14:textId="77777777" w:rsidR="00B81226" w:rsidRDefault="00B82AC2">
            <w:pPr>
              <w:pStyle w:val="P68B1DB1-Normal43"/>
            </w:pPr>
            <w:r>
              <w:t xml:space="preserve">raportoivan yhteisön (tai sen osan) asiakkaat ja/tai liiketoiminta kohtuullisen ajan kuluessa. </w:t>
            </w:r>
          </w:p>
          <w:p w14:paraId="7FE1BD89" w14:textId="77777777" w:rsidR="00B81226" w:rsidRDefault="00B82AC2">
            <w:pPr>
              <w:pStyle w:val="P68B1DB1-Normal43"/>
            </w:pPr>
            <w:r>
              <w:t xml:space="preserve">Tämä on ilmoitettava alaluokissa, jotka ovat samat kullekin alatoiminnolle. </w:t>
            </w:r>
          </w:p>
          <w:p w14:paraId="5A8DDF15" w14:textId="77777777" w:rsidR="00B81226" w:rsidRDefault="00B82AC2">
            <w:pPr>
              <w:pStyle w:val="P68B1DB1-ListParagraph32"/>
              <w:numPr>
                <w:ilvl w:val="0"/>
                <w:numId w:val="277"/>
              </w:numPr>
              <w:jc w:val="both"/>
            </w:pPr>
            <w:r>
              <w:t xml:space="preserve">&gt; 20 kilpailijaa; </w:t>
            </w:r>
          </w:p>
          <w:p w14:paraId="0FB3FECD" w14:textId="77777777" w:rsidR="00B81226" w:rsidRDefault="00B82AC2">
            <w:pPr>
              <w:pStyle w:val="P68B1DB1-ListParagraph32"/>
              <w:numPr>
                <w:ilvl w:val="0"/>
                <w:numId w:val="277"/>
              </w:numPr>
              <w:jc w:val="both"/>
            </w:pPr>
            <w:r>
              <w:t xml:space="preserve">11–20 kilpailijaa; </w:t>
            </w:r>
          </w:p>
          <w:p w14:paraId="0742AD9B" w14:textId="77777777" w:rsidR="00B81226" w:rsidRDefault="00B82AC2">
            <w:pPr>
              <w:pStyle w:val="P68B1DB1-ListParagraph32"/>
              <w:numPr>
                <w:ilvl w:val="0"/>
                <w:numId w:val="277"/>
              </w:numPr>
              <w:jc w:val="both"/>
            </w:pPr>
            <w:r>
              <w:t xml:space="preserve">5–10 kilpailijaa, </w:t>
            </w:r>
          </w:p>
          <w:p w14:paraId="240AD074" w14:textId="77777777" w:rsidR="00B81226" w:rsidRDefault="00B82AC2">
            <w:pPr>
              <w:pStyle w:val="P68B1DB1-ListParagraph32"/>
              <w:numPr>
                <w:ilvl w:val="0"/>
                <w:numId w:val="277"/>
              </w:numPr>
              <w:jc w:val="both"/>
              <w:rPr>
                <w:b/>
                <w:bCs/>
                <w:color w:val="000000" w:themeColor="text1"/>
              </w:rPr>
            </w:pPr>
            <w:r>
              <w:t>&amp;5 kilpailijaa</w:t>
            </w:r>
          </w:p>
          <w:p w14:paraId="7FE1BD8D" w14:textId="2F17E01A" w:rsidR="00B81226" w:rsidRDefault="00B81226">
            <w:pPr>
              <w:jc w:val="both"/>
              <w:rPr>
                <w:rFonts w:ascii="Times New Roman" w:hAnsi="Times New Roman"/>
                <w:color w:val="000000" w:themeColor="text1"/>
                <w:sz w:val="20"/>
                <w:szCs w:val="20"/>
              </w:rPr>
            </w:pPr>
          </w:p>
        </w:tc>
      </w:tr>
      <w:tr w:rsidR="00B81226" w14:paraId="7FE1BD9C" w14:textId="77777777">
        <w:tc>
          <w:tcPr>
            <w:tcW w:w="1080" w:type="dxa"/>
            <w:tcBorders>
              <w:top w:val="single" w:sz="4" w:space="0" w:color="1A171C"/>
              <w:left w:val="nil"/>
              <w:bottom w:val="single" w:sz="4" w:space="0" w:color="1A171C"/>
              <w:right w:val="single" w:sz="4" w:space="0" w:color="1A171C"/>
            </w:tcBorders>
            <w:vAlign w:val="center"/>
          </w:tcPr>
          <w:p w14:paraId="7FE1BD8F" w14:textId="77777777" w:rsidR="00B81226" w:rsidRDefault="00B82AC2">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D90" w14:textId="77777777" w:rsidR="00B81226" w:rsidRDefault="00B82AC2">
            <w:pPr>
              <w:pStyle w:val="P68B1DB1-Normal42"/>
              <w:rPr>
                <w:bCs/>
              </w:rPr>
            </w:pPr>
            <w:r>
              <w:t>Ajoitus – Korvauksen odotettu aika</w:t>
            </w:r>
          </w:p>
          <w:p w14:paraId="7FE1BD91" w14:textId="77777777" w:rsidR="00B81226" w:rsidRDefault="00B82AC2">
            <w:pPr>
              <w:pStyle w:val="P68B1DB1-Normal43"/>
            </w:pPr>
            <w:r>
              <w:t>Arvioi raportoinnin tarjoaman taloudellisen toiminnon edellyttämä aika</w:t>
            </w:r>
          </w:p>
          <w:p w14:paraId="7FE1BD92" w14:textId="77777777" w:rsidR="00B81226" w:rsidRDefault="00B82AC2">
            <w:pPr>
              <w:pStyle w:val="P68B1DB1-Normal43"/>
            </w:pPr>
            <w:r>
              <w:t xml:space="preserve">yhteisö, jonka markkinat absorboivat kriisitilanteessa. Määrä sisältää </w:t>
            </w:r>
          </w:p>
          <w:p w14:paraId="7FE1BD93" w14:textId="77777777" w:rsidR="00B81226" w:rsidRDefault="00B82AC2">
            <w:pPr>
              <w:pStyle w:val="P68B1DB1-ListParagraph38"/>
              <w:numPr>
                <w:ilvl w:val="0"/>
                <w:numId w:val="274"/>
              </w:numPr>
              <w:jc w:val="both"/>
            </w:pPr>
            <w:r>
              <w:t xml:space="preserve">aika, jonka yksi tai useampi kilpailija tarvitsee toiminnon toteuttamiseen tarvittavien oikeudellisten ja teknisten toimenpiteiden toteuttamiseen; sekä  </w:t>
            </w:r>
          </w:p>
          <w:p w14:paraId="7FE1BD94" w14:textId="77777777" w:rsidR="00B81226" w:rsidRDefault="00B82AC2">
            <w:pPr>
              <w:pStyle w:val="P68B1DB1-ListParagraph38"/>
              <w:numPr>
                <w:ilvl w:val="0"/>
                <w:numId w:val="274"/>
              </w:numPr>
              <w:jc w:val="both"/>
            </w:pPr>
            <w:r>
              <w:t xml:space="preserve">aika, jonka palvelun käyttäjät tarvitsevat toiseen palveluntarjoajaan siirtymiseen. </w:t>
            </w:r>
          </w:p>
          <w:p w14:paraId="7FE1BD95" w14:textId="77777777" w:rsidR="00B81226" w:rsidRDefault="00B81226">
            <w:pPr>
              <w:rPr>
                <w:rFonts w:ascii="Times New Roman" w:eastAsiaTheme="minorHAnsi" w:hAnsi="Times New Roman" w:cs="Times New Roman"/>
                <w:color w:val="000000" w:themeColor="text1"/>
                <w:sz w:val="20"/>
                <w:szCs w:val="20"/>
              </w:rPr>
            </w:pPr>
          </w:p>
          <w:p w14:paraId="7FE1BD96" w14:textId="77777777" w:rsidR="00B81226" w:rsidRDefault="00B82AC2">
            <w:pPr>
              <w:pStyle w:val="P68B1DB1-Normal43"/>
            </w:pPr>
            <w:r>
              <w:t>Edellisen osalta voitte arvioida, kuinka paljon aikaa raportoiva laitos tarvitsisi voidakseen kattaa laitoksenne liiketoiminnan (tai sen osan) kohtuullisin kustannuksin kriisitilanteessa. Ilmoitetaan arvioitu korvaamisaika lomakkeessa esitetyissä alaluokissa:</w:t>
            </w:r>
          </w:p>
          <w:p w14:paraId="7FE1BD97" w14:textId="77777777" w:rsidR="00B81226" w:rsidRDefault="00B82AC2">
            <w:pPr>
              <w:pStyle w:val="P68B1DB1-Normal31"/>
            </w:pPr>
            <w:r>
              <w:t xml:space="preserve">Alaluokat: </w:t>
            </w:r>
          </w:p>
          <w:p w14:paraId="7FE1BD98" w14:textId="077A9BD3" w:rsidR="00B81226" w:rsidRDefault="00B82AC2">
            <w:pPr>
              <w:pStyle w:val="P68B1DB1-ListParagraph32"/>
              <w:numPr>
                <w:ilvl w:val="0"/>
                <w:numId w:val="287"/>
              </w:numPr>
            </w:pPr>
            <w:r>
              <w:t xml:space="preserve">≤ 1 päivä; </w:t>
            </w:r>
          </w:p>
          <w:p w14:paraId="7FE1BD99" w14:textId="07CCFE77" w:rsidR="00B81226" w:rsidRDefault="00B82AC2">
            <w:pPr>
              <w:pStyle w:val="P68B1DB1-ListParagraph32"/>
              <w:numPr>
                <w:ilvl w:val="0"/>
                <w:numId w:val="287"/>
              </w:numPr>
            </w:pPr>
            <w:r>
              <w:t xml:space="preserve">1 day – 1 week (1 päivä –1 viikko) </w:t>
            </w:r>
          </w:p>
          <w:p w14:paraId="7FE1BD9A" w14:textId="47AC6C88" w:rsidR="00B81226" w:rsidRDefault="00B82AC2">
            <w:pPr>
              <w:pStyle w:val="P68B1DB1-ListParagraph32"/>
              <w:numPr>
                <w:ilvl w:val="0"/>
                <w:numId w:val="287"/>
              </w:numPr>
            </w:pPr>
            <w:r>
              <w:lastRenderedPageBreak/>
              <w:t xml:space="preserve">&gt; 1 viikko – 1 kuukausi; </w:t>
            </w:r>
          </w:p>
          <w:p w14:paraId="7FE1BD9B" w14:textId="3CEE3934" w:rsidR="00B81226" w:rsidRDefault="00B82AC2">
            <w:pPr>
              <w:pStyle w:val="P68B1DB1-ListParagraph32"/>
              <w:numPr>
                <w:ilvl w:val="0"/>
                <w:numId w:val="287"/>
              </w:numPr>
              <w:rPr>
                <w:color w:val="000000" w:themeColor="text1"/>
              </w:rPr>
            </w:pPr>
            <w:r>
              <w:t>Yli kuukauden vanhat saamiset</w:t>
            </w:r>
          </w:p>
        </w:tc>
      </w:tr>
      <w:tr w:rsidR="00B81226" w14:paraId="7FE1BD9F" w14:textId="77777777">
        <w:tc>
          <w:tcPr>
            <w:tcW w:w="1080" w:type="dxa"/>
            <w:tcBorders>
              <w:top w:val="single" w:sz="4" w:space="0" w:color="1A171C"/>
              <w:left w:val="nil"/>
              <w:bottom w:val="single" w:sz="4" w:space="0" w:color="1A171C"/>
              <w:right w:val="single" w:sz="4" w:space="0" w:color="1A171C"/>
            </w:tcBorders>
            <w:vAlign w:val="center"/>
          </w:tcPr>
          <w:p w14:paraId="7FE1BD9D" w14:textId="77777777" w:rsidR="00B81226" w:rsidRDefault="00B82AC2">
            <w:pPr>
              <w:pStyle w:val="P68B1DB1-TableParagraph17"/>
              <w:spacing w:before="108"/>
              <w:ind w:left="85"/>
              <w:jc w:val="both"/>
            </w:pPr>
            <w:r>
              <w:lastRenderedPageBreak/>
              <w:t>0140–0150</w:t>
            </w:r>
          </w:p>
        </w:tc>
        <w:tc>
          <w:tcPr>
            <w:tcW w:w="8003" w:type="dxa"/>
            <w:tcBorders>
              <w:top w:val="single" w:sz="4" w:space="0" w:color="1A171C"/>
              <w:left w:val="single" w:sz="4" w:space="0" w:color="1A171C"/>
              <w:bottom w:val="single" w:sz="4" w:space="0" w:color="1A171C"/>
              <w:right w:val="nil"/>
            </w:tcBorders>
            <w:vAlign w:val="center"/>
          </w:tcPr>
          <w:p w14:paraId="7FE1BD9E" w14:textId="77777777" w:rsidR="00B81226" w:rsidRDefault="00B82AC2">
            <w:pPr>
              <w:pStyle w:val="P68B1DB1-Normal42"/>
              <w:rPr>
                <w:bCs/>
              </w:rPr>
            </w:pPr>
            <w:r>
              <w:t>Korvaamiskyky</w:t>
            </w:r>
          </w:p>
        </w:tc>
      </w:tr>
      <w:tr w:rsidR="00B81226" w14:paraId="7FE1BDA9" w14:textId="77777777">
        <w:tc>
          <w:tcPr>
            <w:tcW w:w="1080" w:type="dxa"/>
            <w:tcBorders>
              <w:top w:val="single" w:sz="4" w:space="0" w:color="1A171C"/>
              <w:left w:val="nil"/>
              <w:bottom w:val="single" w:sz="4" w:space="0" w:color="1A171C"/>
              <w:right w:val="single" w:sz="4" w:space="0" w:color="1A171C"/>
            </w:tcBorders>
            <w:vAlign w:val="center"/>
          </w:tcPr>
          <w:p w14:paraId="7FE1BDA0" w14:textId="77777777" w:rsidR="00B81226" w:rsidRDefault="00B82AC2">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DA1" w14:textId="77777777" w:rsidR="00B81226" w:rsidRDefault="00B82AC2">
            <w:pPr>
              <w:pStyle w:val="P68B1DB1-Normal42"/>
              <w:rPr>
                <w:bCs/>
              </w:rPr>
            </w:pPr>
            <w:r>
              <w:t>Markkinoille pääsyä tai laajentumista koskevat lainsäädäntöiset esteet</w:t>
            </w:r>
          </w:p>
          <w:p w14:paraId="7FE1BDA2" w14:textId="77777777" w:rsidR="00B81226" w:rsidRDefault="00B81226">
            <w:pPr>
              <w:rPr>
                <w:rFonts w:ascii="Times New Roman" w:eastAsiaTheme="minorHAnsi" w:hAnsi="Times New Roman" w:cs="Times New Roman"/>
                <w:color w:val="000000" w:themeColor="text1"/>
                <w:sz w:val="20"/>
                <w:szCs w:val="20"/>
              </w:rPr>
            </w:pPr>
          </w:p>
          <w:p w14:paraId="7FE1BDA3" w14:textId="77777777" w:rsidR="00B81226" w:rsidRDefault="00B82AC2">
            <w:pPr>
              <w:pStyle w:val="P68B1DB1-Normal43"/>
            </w:pPr>
            <w:r>
              <w:t xml:space="preserve">Oikeudelliset esteet, jotka estävät kilpailijoita tarjoamasta palvelua. Luottolaitosten liiketoiminnan harjoittamista koskevia oikeudellisia vaatimuksia (esim. pankkitoimilupia tai pääomavaatimuksia) ei pidetä ylitsepääsemättöminä esteinä vaihtoehtoisten palveluntarjoajien läsnäololle. Tämä indikaattori on ilmoitettava alaluokissa, jotka ovat samat kullekin alatoiminnolle: </w:t>
            </w:r>
          </w:p>
          <w:p w14:paraId="7FE1BDA4" w14:textId="5F64D555" w:rsidR="00B81226" w:rsidRDefault="00B82AC2">
            <w:pPr>
              <w:pStyle w:val="P68B1DB1-ListParagraph39"/>
              <w:numPr>
                <w:ilvl w:val="0"/>
                <w:numId w:val="275"/>
              </w:numPr>
              <w:jc w:val="both"/>
            </w:pPr>
            <w:r>
              <w:t xml:space="preserve">ei merkittäviä esteitä, </w:t>
            </w:r>
          </w:p>
          <w:p w14:paraId="7FE1BDA5" w14:textId="09B8D427" w:rsidR="00B81226" w:rsidRDefault="00B82AC2">
            <w:pPr>
              <w:pStyle w:val="P68B1DB1-ListParagraph39"/>
              <w:numPr>
                <w:ilvl w:val="0"/>
                <w:numId w:val="275"/>
              </w:numPr>
              <w:jc w:val="both"/>
            </w:pPr>
            <w:r>
              <w:t xml:space="preserve">joitakin esteitä, </w:t>
            </w:r>
          </w:p>
          <w:p w14:paraId="7FE1BDA6" w14:textId="14CFE055" w:rsidR="00B81226" w:rsidRDefault="00B82AC2">
            <w:pPr>
              <w:pStyle w:val="P68B1DB1-ListParagraph39"/>
              <w:numPr>
                <w:ilvl w:val="0"/>
                <w:numId w:val="275"/>
              </w:numPr>
              <w:jc w:val="both"/>
            </w:pPr>
            <w:r>
              <w:t xml:space="preserve">merkittävät (mutta ylitsepääsemättömät) esteet, </w:t>
            </w:r>
          </w:p>
          <w:p w14:paraId="7FE1BDA8" w14:textId="2895BA0A" w:rsidR="00B81226" w:rsidRDefault="00B82AC2">
            <w:pPr>
              <w:pStyle w:val="P68B1DB1-ListParagraph8"/>
              <w:numPr>
                <w:ilvl w:val="0"/>
                <w:numId w:val="275"/>
              </w:numPr>
              <w:jc w:val="both"/>
              <w:rPr>
                <w:rFonts w:eastAsiaTheme="minorHAnsi"/>
              </w:rPr>
            </w:pPr>
            <w:r>
              <w:t>kriittiset esteet (vaikeudet hävittää).</w:t>
            </w:r>
          </w:p>
        </w:tc>
      </w:tr>
      <w:tr w:rsidR="00B81226" w14:paraId="7FE1BDB4" w14:textId="77777777">
        <w:tc>
          <w:tcPr>
            <w:tcW w:w="1080" w:type="dxa"/>
            <w:tcBorders>
              <w:top w:val="single" w:sz="4" w:space="0" w:color="1A171C"/>
              <w:left w:val="nil"/>
              <w:bottom w:val="single" w:sz="4" w:space="0" w:color="1A171C"/>
              <w:right w:val="single" w:sz="4" w:space="0" w:color="1A171C"/>
            </w:tcBorders>
            <w:vAlign w:val="center"/>
          </w:tcPr>
          <w:p w14:paraId="7FE1BDAA" w14:textId="77777777" w:rsidR="00B81226" w:rsidRDefault="00B82AC2">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DAB" w14:textId="77777777" w:rsidR="00B81226" w:rsidRDefault="00B82AC2">
            <w:pPr>
              <w:pStyle w:val="P68B1DB1-Normal42"/>
              <w:rPr>
                <w:bCs/>
              </w:rPr>
            </w:pPr>
            <w:r>
              <w:t>Markkinoille pääsyä tai laajentumista koskevat toiminnalliset vaatimukset</w:t>
            </w:r>
          </w:p>
          <w:p w14:paraId="7FE1BDAC" w14:textId="77777777" w:rsidR="00B81226" w:rsidRDefault="00B81226">
            <w:pPr>
              <w:rPr>
                <w:rFonts w:ascii="Times New Roman" w:eastAsiaTheme="minorHAnsi" w:hAnsi="Times New Roman" w:cs="Times New Roman"/>
                <w:color w:val="000000" w:themeColor="text1"/>
                <w:sz w:val="20"/>
                <w:szCs w:val="20"/>
              </w:rPr>
            </w:pPr>
          </w:p>
          <w:p w14:paraId="7FE1BDAD" w14:textId="130EC7BC" w:rsidR="00B81226" w:rsidRDefault="00B82AC2">
            <w:pPr>
              <w:pStyle w:val="P68B1DB1-Normal43"/>
            </w:pPr>
            <w:r>
              <w:t xml:space="preserve">Organisatoriset, tekniset ja infrastruktuurivaatimukset, joita kilpailijoilla on palvelun tarjoamiseksi. (Ala)toimintoon liittyvien palvelujen tarjoaminen edellyttää, että palveluntarjoajat investoivat (uusiin tai täydentäviin) infrastruktuureihin tai muuttavat organisaatioitaan. Arvioitava markkinoiden kykyä ottaa vastaan tietty liiketoiminta esimerkiksi pääomavaatimusten osalta. </w:t>
            </w:r>
          </w:p>
          <w:p w14:paraId="7FE1BDAE" w14:textId="77777777" w:rsidR="00B81226" w:rsidRDefault="00B82AC2">
            <w:pPr>
              <w:pStyle w:val="P68B1DB1-Normal43"/>
            </w:pPr>
            <w:r>
              <w:t xml:space="preserve">Tämä indikaattori on ilmoitettava alaluokissa, jotka ovat samat kullekin alatoiminnolle: </w:t>
            </w:r>
          </w:p>
          <w:p w14:paraId="7FE1BDAF" w14:textId="39113051" w:rsidR="00B81226" w:rsidRDefault="00B82AC2">
            <w:pPr>
              <w:pStyle w:val="P68B1DB1-ListParagraph38"/>
              <w:numPr>
                <w:ilvl w:val="0"/>
                <w:numId w:val="278"/>
              </w:numPr>
              <w:jc w:val="both"/>
            </w:pPr>
            <w:r>
              <w:t xml:space="preserve">ei merkittäviä vaatimuksia, </w:t>
            </w:r>
          </w:p>
          <w:p w14:paraId="7FE1BDB0" w14:textId="63777608" w:rsidR="00B81226" w:rsidRDefault="00B82AC2">
            <w:pPr>
              <w:pStyle w:val="P68B1DB1-ListParagraph38"/>
              <w:numPr>
                <w:ilvl w:val="0"/>
                <w:numId w:val="278"/>
              </w:numPr>
              <w:jc w:val="both"/>
            </w:pPr>
            <w:r>
              <w:t xml:space="preserve">joitakin vaatimuksia, </w:t>
            </w:r>
          </w:p>
          <w:p w14:paraId="7FE1BDB1" w14:textId="78F7EC3E" w:rsidR="00B81226" w:rsidRDefault="00B82AC2">
            <w:pPr>
              <w:pStyle w:val="P68B1DB1-ListParagraph38"/>
              <w:numPr>
                <w:ilvl w:val="0"/>
                <w:numId w:val="278"/>
              </w:numPr>
              <w:jc w:val="both"/>
            </w:pPr>
            <w:r>
              <w:t xml:space="preserve">olennaiset (mutta ylitsepääsemättömät) vaatimukset, </w:t>
            </w:r>
          </w:p>
          <w:p w14:paraId="7FE1BDB2" w14:textId="5A2EF079" w:rsidR="00B81226" w:rsidRDefault="00B82AC2">
            <w:pPr>
              <w:pStyle w:val="P68B1DB1-ListParagraph38"/>
              <w:numPr>
                <w:ilvl w:val="0"/>
                <w:numId w:val="278"/>
              </w:numPr>
              <w:jc w:val="both"/>
            </w:pPr>
            <w:r>
              <w:t>kriittiset vaatimukset (vaikeudet selviytyä).</w:t>
            </w:r>
          </w:p>
          <w:p w14:paraId="7FE1BDB3" w14:textId="77777777" w:rsidR="00B81226" w:rsidRDefault="00B81226">
            <w:pPr>
              <w:rPr>
                <w:rFonts w:ascii="Times New Roman" w:eastAsiaTheme="minorHAnsi" w:hAnsi="Times New Roman" w:cs="Times New Roman"/>
                <w:color w:val="000000" w:themeColor="text1"/>
                <w:sz w:val="20"/>
                <w:szCs w:val="20"/>
              </w:rPr>
            </w:pPr>
          </w:p>
        </w:tc>
      </w:tr>
      <w:tr w:rsidR="00B81226" w14:paraId="7FE1BDB7" w14:textId="77777777">
        <w:tc>
          <w:tcPr>
            <w:tcW w:w="1080" w:type="dxa"/>
            <w:tcBorders>
              <w:top w:val="single" w:sz="4" w:space="0" w:color="1A171C"/>
              <w:left w:val="nil"/>
              <w:bottom w:val="single" w:sz="4" w:space="0" w:color="1A171C"/>
              <w:right w:val="single" w:sz="4" w:space="0" w:color="1A171C"/>
            </w:tcBorders>
            <w:vAlign w:val="center"/>
          </w:tcPr>
          <w:p w14:paraId="7FE1BDB5" w14:textId="77777777" w:rsidR="00B81226" w:rsidRDefault="00B82AC2">
            <w:pPr>
              <w:pStyle w:val="P68B1DB1-TableParagraph17"/>
              <w:spacing w:before="108"/>
              <w:ind w:left="85"/>
              <w:jc w:val="both"/>
            </w:pPr>
            <w:r>
              <w:t>0160–0180</w:t>
            </w:r>
          </w:p>
        </w:tc>
        <w:tc>
          <w:tcPr>
            <w:tcW w:w="8003" w:type="dxa"/>
            <w:tcBorders>
              <w:top w:val="single" w:sz="4" w:space="0" w:color="1A171C"/>
              <w:left w:val="single" w:sz="4" w:space="0" w:color="1A171C"/>
              <w:bottom w:val="single" w:sz="4" w:space="0" w:color="1A171C"/>
              <w:right w:val="nil"/>
            </w:tcBorders>
            <w:vAlign w:val="center"/>
          </w:tcPr>
          <w:p w14:paraId="7FE1BDB6" w14:textId="77777777" w:rsidR="00B81226" w:rsidRDefault="00B82AC2">
            <w:pPr>
              <w:pStyle w:val="P68B1DB1-Normal42"/>
              <w:rPr>
                <w:bCs/>
              </w:rPr>
            </w:pPr>
            <w:r>
              <w:t>Kriittisyysarviointi</w:t>
            </w:r>
          </w:p>
        </w:tc>
      </w:tr>
      <w:tr w:rsidR="00B81226" w14:paraId="7FE1BDBD" w14:textId="77777777">
        <w:tc>
          <w:tcPr>
            <w:tcW w:w="1080" w:type="dxa"/>
            <w:tcBorders>
              <w:top w:val="single" w:sz="4" w:space="0" w:color="1A171C"/>
              <w:left w:val="nil"/>
              <w:bottom w:val="single" w:sz="4" w:space="0" w:color="1A171C"/>
              <w:right w:val="single" w:sz="4" w:space="0" w:color="1A171C"/>
            </w:tcBorders>
            <w:vAlign w:val="center"/>
          </w:tcPr>
          <w:p w14:paraId="7FE1BDB8" w14:textId="77777777" w:rsidR="00B81226" w:rsidRDefault="00B82AC2">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DB9" w14:textId="77777777" w:rsidR="00B81226" w:rsidRDefault="00B82AC2">
            <w:pPr>
              <w:pStyle w:val="P68B1DB1-Normal42"/>
              <w:rPr>
                <w:bCs/>
              </w:rPr>
            </w:pPr>
            <w:r>
              <w:t xml:space="preserve">Vaikutus markkinoihin </w:t>
            </w:r>
          </w:p>
          <w:p w14:paraId="7FE1BDBA" w14:textId="77777777" w:rsidR="00B81226" w:rsidRDefault="00B82AC2">
            <w:pPr>
              <w:pStyle w:val="P68B1DB1-Normal43"/>
            </w:pPr>
            <w:r>
              <w:t>Toiminnon yhtäkkisen keskeytymisen arvioitu vaikutus kolmansiin osapuoliin, rahoitusmarkkinoihin ja reaalitalouteen, kun otetaan huomioon laitoksen koko, markkinaosuus kyseisessä maassa, ulkoiset ja sisäiset sidokset, monitahoisuus ja rajatylittävä toiminta.</w:t>
            </w:r>
          </w:p>
          <w:p w14:paraId="7FE1BDBB" w14:textId="26AC665D" w:rsidR="00B81226" w:rsidRDefault="00B82AC2">
            <w:pPr>
              <w:pStyle w:val="P68B1DB1-Normal43"/>
            </w:pPr>
            <w:r>
              <w:t>Tämä arvio ilmaistaan laadullisesti seuraavasti: ”korkea”, ”keskitasoinen”, ”keskitasoinen” tai ”alhainen”.</w:t>
            </w:r>
          </w:p>
          <w:p w14:paraId="7FE1BDBC" w14:textId="64D10370" w:rsidR="00B81226" w:rsidRDefault="00B82AC2">
            <w:pPr>
              <w:pStyle w:val="P68B1DB1-Normal43"/>
            </w:pPr>
            <w:r>
              <w:t>Ilmoitetaan ”High”, jos toiminnon keskeytyminen vaikuttaa hyvin merkittävästi kansallisiin markkinoihin; ”MH”, jos vaikutus on merkittävä; ”Medium-Low” jos vaikutus on olennainen mutta rajallinen; ja ”Low”, jos vaikutus on vähäinen.</w:t>
            </w:r>
          </w:p>
        </w:tc>
      </w:tr>
      <w:tr w:rsidR="00B81226" w14:paraId="7FE1BDCA" w14:textId="77777777">
        <w:tc>
          <w:tcPr>
            <w:tcW w:w="1080" w:type="dxa"/>
            <w:tcBorders>
              <w:top w:val="single" w:sz="4" w:space="0" w:color="1A171C"/>
              <w:left w:val="nil"/>
              <w:bottom w:val="single" w:sz="4" w:space="0" w:color="1A171C"/>
              <w:right w:val="single" w:sz="4" w:space="0" w:color="1A171C"/>
            </w:tcBorders>
            <w:vAlign w:val="center"/>
          </w:tcPr>
          <w:p w14:paraId="7FE1BDBE" w14:textId="77777777" w:rsidR="00B81226" w:rsidRDefault="00B82AC2">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DBF" w14:textId="77777777" w:rsidR="00B81226" w:rsidRDefault="00B82AC2">
            <w:pPr>
              <w:pStyle w:val="P68B1DB1-Normal42"/>
              <w:rPr>
                <w:bCs/>
              </w:rPr>
            </w:pPr>
            <w:r>
              <w:t>Korvattavuus</w:t>
            </w:r>
          </w:p>
          <w:p w14:paraId="7FE1BDC0" w14:textId="77777777" w:rsidR="00B81226" w:rsidRDefault="00B82AC2">
            <w:pPr>
              <w:pStyle w:val="P68B1DB1-Normal43"/>
            </w:pPr>
            <w:r>
              <w:t>Delegoidun asetuksen (EU) 2016/778 6 artiklan 3 kohta.</w:t>
            </w:r>
          </w:p>
          <w:p w14:paraId="7FE1BDC1" w14:textId="77777777" w:rsidR="00B81226" w:rsidRDefault="00B82AC2">
            <w:pPr>
              <w:pStyle w:val="P68B1DB1-Normal43"/>
            </w:pPr>
            <w:r>
              <w:t>Toiminto katsotaan korvattavissa olevaksi, jos se voidaan korvata hyväksyttävällä tavalla ja kohtuullisessa ajassa samalla, kun vältetään järjestelmätason ongelmat reaalitaloudessa ja finanssimarkkinoilla. Seuraavat tekijät on otettava huomioon:</w:t>
            </w:r>
          </w:p>
          <w:p w14:paraId="7FE1BDC2" w14:textId="77777777" w:rsidR="00B81226" w:rsidRDefault="00B82AC2">
            <w:pPr>
              <w:pStyle w:val="P68B1DB1-Normal43"/>
            </w:pPr>
            <w:r>
              <w:t xml:space="preserve">(a) kyseisen toiminnon markkinoiden rakenne ja korvaavien tarjoajien saatavilla olo; </w:t>
            </w:r>
          </w:p>
          <w:p w14:paraId="7FE1BDC3" w14:textId="77777777" w:rsidR="00B81226" w:rsidRDefault="00B82AC2">
            <w:pPr>
              <w:pStyle w:val="P68B1DB1-Normal43"/>
            </w:pPr>
            <w:r>
              <w:t xml:space="preserve">(b) muiden tarjoajien kapasiteettivalmiudet, toiminnon suorittamista koskevat vaatimukset ja mahdolliset markkinoille pääsyn tai toiminnan laajentamisen esteet; </w:t>
            </w:r>
          </w:p>
          <w:p w14:paraId="7FE1BDC4" w14:textId="77777777" w:rsidR="00B81226" w:rsidRDefault="00B82AC2">
            <w:pPr>
              <w:pStyle w:val="P68B1DB1-Normal43"/>
            </w:pPr>
            <w:r>
              <w:t xml:space="preserve">(c) muiden tarjoajien kannustimet alkaa harjoittaa kyseistä toimintaa; </w:t>
            </w:r>
          </w:p>
          <w:p w14:paraId="7FE1BDC5" w14:textId="77777777" w:rsidR="00B81226" w:rsidRDefault="00B82AC2">
            <w:pPr>
              <w:pStyle w:val="P68B1DB1-Normal43"/>
            </w:pPr>
            <w:r>
              <w:t>(d) aika, jonka palvelun käyttäjät tarvitsevat siirtyäkseen uuteen palveluntarjoajaan, ja siirrosta aiheutuvat kustannukset, aika, jonka muut kilpailijat tarvitsevat alkaakseen hoitaa toimintoja, ja se, onko kyseinen aika riittävän pitkä merkittävien häiriöiden ehkäisemiseksi riippuen palvelun tyypistä.</w:t>
            </w:r>
          </w:p>
          <w:p w14:paraId="7FE1BDC6" w14:textId="024DAF4C" w:rsidR="00B81226" w:rsidRDefault="00B82AC2">
            <w:pPr>
              <w:pStyle w:val="P68B1DB1-Normal3"/>
            </w:pPr>
            <w:r>
              <w:t xml:space="preserve">Esitettävä kokonaisarvio kunkin toiminnon odotetusta korvattavuuden asteesta ottaen huomioon aiemmin arvioidut eri ulottuvuudet (markkinaosuus, markkinoiden keskittyminen, korvaamisen aika, oikeudelliset esteet ja markkinoille tulon tai laajentumisen toiminnalliset vaatimukset). Tämä </w:t>
            </w:r>
            <w:r>
              <w:lastRenderedPageBreak/>
              <w:t xml:space="preserve">arvio ilmaistaan laadullisesti seuraavasti: ”korkea”, ”keskitasoinen”, ”keskitasoinen” tai ”alhainen”. </w:t>
            </w:r>
          </w:p>
          <w:p w14:paraId="07F40115" w14:textId="77777777" w:rsidR="00B81226" w:rsidRDefault="00B81226">
            <w:pPr>
              <w:rPr>
                <w:rFonts w:ascii="Times New Roman" w:eastAsiaTheme="minorHAnsi" w:hAnsi="Times New Roman" w:cs="Times New Roman"/>
                <w:color w:val="000000" w:themeColor="text1"/>
                <w:sz w:val="20"/>
                <w:szCs w:val="20"/>
              </w:rPr>
            </w:pPr>
          </w:p>
          <w:p w14:paraId="7FE1BDC7" w14:textId="704E53DC" w:rsidR="00B81226" w:rsidRDefault="00B82AC2">
            <w:pPr>
              <w:pStyle w:val="P68B1DB1-Normal43"/>
            </w:pPr>
            <w:r>
              <w:t>Ilmoitetaan ”H”, jos toinen pankki voi helposti tarjota toiminnon vastaavissa olosuhteissa kohtuullisessa ajassa;</w:t>
            </w:r>
          </w:p>
          <w:p w14:paraId="7FE1BDC8" w14:textId="794A9FE4" w:rsidR="00B81226" w:rsidRDefault="00B82AC2">
            <w:pPr>
              <w:pStyle w:val="P68B1DB1-Normal43"/>
            </w:pPr>
            <w:r>
              <w:t xml:space="preserve">”L”, jos toimintoa ei voida korvata helposti tai nopeasti; </w:t>
            </w:r>
          </w:p>
          <w:p w14:paraId="7FE1BDC9" w14:textId="02A9D6A2" w:rsidR="00B81226" w:rsidRDefault="00B82AC2">
            <w:pPr>
              <w:pStyle w:val="P68B1DB1-Normal43"/>
            </w:pPr>
            <w:r>
              <w:t>”MH” ja ”ML” välitapauksissa ottaen huomioon eri ulottuvuudet (esim. markkinaosuus, markkinoiden keskittyminen, korvaamiseen kuluva aika sekä maahantulon tai laajentumisen oikeudelliset esteet ja niihin liittyen toimintaa koskevat vaatimukset).</w:t>
            </w:r>
          </w:p>
        </w:tc>
      </w:tr>
      <w:tr w:rsidR="00B81226" w14:paraId="7FE1BDCF" w14:textId="77777777">
        <w:tc>
          <w:tcPr>
            <w:tcW w:w="1080" w:type="dxa"/>
            <w:tcBorders>
              <w:top w:val="single" w:sz="4" w:space="0" w:color="1A171C"/>
              <w:left w:val="nil"/>
              <w:bottom w:val="single" w:sz="4" w:space="0" w:color="1A171C"/>
              <w:right w:val="single" w:sz="4" w:space="0" w:color="1A171C"/>
            </w:tcBorders>
            <w:vAlign w:val="center"/>
          </w:tcPr>
          <w:p w14:paraId="7FE1BDCB" w14:textId="77777777" w:rsidR="00B81226" w:rsidRDefault="00B82AC2">
            <w:pPr>
              <w:pStyle w:val="P68B1DB1-TableParagraph17"/>
              <w:spacing w:before="108"/>
              <w:ind w:left="85"/>
              <w:jc w:val="both"/>
            </w:pPr>
            <w:r>
              <w:lastRenderedPageBreak/>
              <w:t>0190</w:t>
            </w:r>
          </w:p>
        </w:tc>
        <w:tc>
          <w:tcPr>
            <w:tcW w:w="8003" w:type="dxa"/>
            <w:tcBorders>
              <w:top w:val="single" w:sz="4" w:space="0" w:color="1A171C"/>
              <w:left w:val="single" w:sz="4" w:space="0" w:color="1A171C"/>
              <w:bottom w:val="single" w:sz="4" w:space="0" w:color="1A171C"/>
              <w:right w:val="nil"/>
            </w:tcBorders>
            <w:vAlign w:val="center"/>
          </w:tcPr>
          <w:p w14:paraId="7FE1BDCC" w14:textId="77777777" w:rsidR="00B81226" w:rsidRDefault="00B82AC2">
            <w:pPr>
              <w:pStyle w:val="P68B1DB1-Normal42"/>
              <w:rPr>
                <w:bCs/>
              </w:rPr>
            </w:pPr>
            <w:r>
              <w:t>Kriittinen toiminto</w:t>
            </w:r>
          </w:p>
          <w:p w14:paraId="7FE1BDCD" w14:textId="77777777" w:rsidR="00B81226" w:rsidRDefault="00B82AC2">
            <w:pPr>
              <w:pStyle w:val="P68B1DB1-Normal43"/>
            </w:pPr>
            <w:r>
              <w:t>Tässä sarakkeessa ilmoitetaan, katsotaanko taloudellisen toiminnan olevan kyseisen maan markkinoiden kannalta kriittinen, kun otetaan huomioon instituution suorittama vaikutus- ja korvaavuusanalyysi.</w:t>
            </w:r>
          </w:p>
          <w:p w14:paraId="7FE1BDCE" w14:textId="77777777" w:rsidR="00B81226" w:rsidRDefault="00B82AC2">
            <w:pPr>
              <w:pStyle w:val="P68B1DB1-Normal43"/>
            </w:pPr>
            <w:r>
              <w:t>Ilmoitetaan ”Kyllä” tai ”Ei”.</w:t>
            </w:r>
          </w:p>
        </w:tc>
      </w:tr>
      <w:tr w:rsidR="00B81226" w14:paraId="7FE1BDD3" w14:textId="77777777">
        <w:tc>
          <w:tcPr>
            <w:tcW w:w="1080" w:type="dxa"/>
            <w:tcBorders>
              <w:top w:val="single" w:sz="4" w:space="0" w:color="1A171C"/>
              <w:left w:val="nil"/>
              <w:bottom w:val="single" w:sz="4" w:space="0" w:color="1A171C"/>
              <w:right w:val="single" w:sz="4" w:space="0" w:color="1A171C"/>
            </w:tcBorders>
            <w:vAlign w:val="center"/>
          </w:tcPr>
          <w:p w14:paraId="7FE1BDD0" w14:textId="77777777" w:rsidR="00B81226" w:rsidRDefault="00B82AC2">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DD1" w14:textId="77777777" w:rsidR="00B81226" w:rsidRDefault="00B82AC2">
            <w:pPr>
              <w:pStyle w:val="P68B1DB1-Normal42"/>
              <w:rPr>
                <w:bCs/>
              </w:rPr>
            </w:pPr>
            <w:r>
              <w:t>Ryhmän huomautukset</w:t>
            </w:r>
          </w:p>
          <w:p w14:paraId="7FE1BDD2" w14:textId="77777777" w:rsidR="00B81226" w:rsidRDefault="00B82AC2">
            <w:pPr>
              <w:pStyle w:val="P68B1DB1-Normal43"/>
            </w:pPr>
            <w:r>
              <w:t>Tässä kentässä raportoiva yhteisö voi selittää kaikki oletukset, joita on käytetty arvioitaessa raportoitujen toimintojen kriittisyyttä.</w:t>
            </w:r>
          </w:p>
        </w:tc>
      </w:tr>
    </w:tbl>
    <w:p w14:paraId="7FE1BDD4" w14:textId="77777777" w:rsidR="00B81226" w:rsidRDefault="00B81226">
      <w:pPr>
        <w:rPr>
          <w:rFonts w:ascii="Times New Roman" w:hAnsi="Times New Roman" w:cs="Times New Roman"/>
          <w:color w:val="000000" w:themeColor="text1"/>
          <w:sz w:val="20"/>
          <w:szCs w:val="20"/>
        </w:rPr>
      </w:pPr>
    </w:p>
    <w:p w14:paraId="7FE1BFB4" w14:textId="77777777" w:rsidR="00B81226" w:rsidRDefault="00B81226">
      <w:pPr>
        <w:rPr>
          <w:rFonts w:ascii="Times New Roman" w:hAnsi="Times New Roman" w:cs="Times New Roman"/>
        </w:rPr>
      </w:pPr>
    </w:p>
    <w:p w14:paraId="7FE1BFB5" w14:textId="432A2FAA" w:rsidR="00B81226" w:rsidRDefault="00B82AC2">
      <w:pPr>
        <w:pStyle w:val="P68B1DB1-Instructionsberschrift25"/>
        <w:numPr>
          <w:ilvl w:val="1"/>
          <w:numId w:val="49"/>
        </w:numPr>
        <w:ind w:left="357" w:hanging="357"/>
      </w:pPr>
      <w:bookmarkStart w:id="122" w:name="_Toc208245450"/>
      <w:r>
        <w:t>Z 07.02 – Taloudellisten toimintojen kartoitus oikeushenkilöiden mukaan (FUNC 2)</w:t>
      </w:r>
      <w:bookmarkEnd w:id="122"/>
      <w:r>
        <w:t xml:space="preserve"> </w:t>
      </w:r>
    </w:p>
    <w:p w14:paraId="7FE1BFB6" w14:textId="77777777" w:rsidR="00B81226" w:rsidRDefault="00B82AC2">
      <w:pPr>
        <w:pStyle w:val="P68B1DB1-Instructionsberschrift312"/>
        <w:rPr>
          <w:color w:val="auto"/>
        </w:rPr>
      </w:pPr>
      <w:r>
        <w:t>Tiettyjä kohtia koskevat ohjeet</w:t>
      </w:r>
      <w:r>
        <w:rPr>
          <w:color w:val="auto"/>
        </w:rPr>
        <w:t xml:space="preserve"> </w:t>
      </w:r>
    </w:p>
    <w:p w14:paraId="7FE1BFB7" w14:textId="7A5F9014" w:rsidR="00B81226" w:rsidRDefault="00B82AC2">
      <w:pPr>
        <w:pStyle w:val="P68B1DB1-InstructionsText26"/>
        <w:numPr>
          <w:ilvl w:val="0"/>
          <w:numId w:val="232"/>
        </w:numPr>
        <w:spacing w:before="0"/>
      </w:pPr>
      <w:r>
        <w:t>Tämä taulukko on ilmoitettava koko ryhmän osalta ottaen huomioon taloudelliset toiminnot, joita konserni tarjoaa taloudelle.</w:t>
      </w:r>
    </w:p>
    <w:p w14:paraId="7FE1BFB8" w14:textId="77777777" w:rsidR="00B81226" w:rsidRDefault="00B82AC2">
      <w:pPr>
        <w:pStyle w:val="P68B1DB1-InstructionsText26"/>
        <w:numPr>
          <w:ilvl w:val="0"/>
          <w:numId w:val="232"/>
        </w:numPr>
        <w:spacing w:before="0"/>
      </w:pPr>
      <w:r>
        <w:t>Tämän lomakkeen sarakkeissa 0010, 0020 ja 0040 ilmoitetut arvot yhdessä muodostavat ensisijaisen avaimen, jonka on oltava yksilöllinen lomakkeen jokaiselle riville.</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B81226" w14:paraId="7FE1BFBB" w14:textId="77777777">
        <w:tc>
          <w:tcPr>
            <w:tcW w:w="1191" w:type="dxa"/>
            <w:tcBorders>
              <w:top w:val="single" w:sz="4" w:space="0" w:color="1A171C"/>
              <w:left w:val="nil"/>
              <w:bottom w:val="single" w:sz="4" w:space="0" w:color="1A171C"/>
              <w:right w:val="single" w:sz="4" w:space="0" w:color="1A171C"/>
            </w:tcBorders>
            <w:shd w:val="clear" w:color="auto" w:fill="E4E5E5"/>
          </w:tcPr>
          <w:p w14:paraId="7FE1BFB9" w14:textId="77777777" w:rsidR="00B81226" w:rsidRDefault="00B82AC2">
            <w:pPr>
              <w:pStyle w:val="P68B1DB1-TableParagraph17"/>
              <w:spacing w:before="108"/>
              <w:ind w:left="85"/>
              <w:jc w:val="both"/>
            </w:pPr>
            <w:r>
              <w:t>Sarakkeet</w:t>
            </w:r>
          </w:p>
        </w:tc>
        <w:tc>
          <w:tcPr>
            <w:tcW w:w="7892" w:type="dxa"/>
            <w:tcBorders>
              <w:top w:val="single" w:sz="4" w:space="0" w:color="1A171C"/>
              <w:left w:val="single" w:sz="4" w:space="0" w:color="1A171C"/>
              <w:bottom w:val="single" w:sz="4" w:space="0" w:color="1A171C"/>
              <w:right w:val="nil"/>
            </w:tcBorders>
            <w:shd w:val="clear" w:color="auto" w:fill="E4E5E5"/>
          </w:tcPr>
          <w:p w14:paraId="7FE1BFBA" w14:textId="77777777" w:rsidR="00B81226" w:rsidRDefault="00B82AC2">
            <w:pPr>
              <w:pStyle w:val="P68B1DB1-TableParagraph17"/>
              <w:spacing w:before="108"/>
              <w:ind w:left="85" w:right="1"/>
              <w:jc w:val="both"/>
            </w:pPr>
            <w:r>
              <w:t>Ohjeet</w:t>
            </w:r>
          </w:p>
        </w:tc>
      </w:tr>
      <w:tr w:rsidR="00B81226" w14:paraId="7FE1BFBE" w14:textId="77777777">
        <w:tc>
          <w:tcPr>
            <w:tcW w:w="1191" w:type="dxa"/>
            <w:tcBorders>
              <w:top w:val="single" w:sz="4" w:space="0" w:color="1A171C"/>
              <w:left w:val="nil"/>
              <w:bottom w:val="single" w:sz="4" w:space="0" w:color="1A171C"/>
              <w:right w:val="single" w:sz="4" w:space="0" w:color="1A171C"/>
            </w:tcBorders>
            <w:vAlign w:val="center"/>
          </w:tcPr>
          <w:p w14:paraId="7FE1BFBC" w14:textId="77777777" w:rsidR="00B81226" w:rsidRDefault="00B82AC2">
            <w:pPr>
              <w:pStyle w:val="P68B1DB1-TableParagraph17"/>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BFBD" w14:textId="3F275B4F" w:rsidR="00B81226" w:rsidRDefault="00B82AC2">
            <w:pPr>
              <w:pStyle w:val="P68B1DB1-TableParagraph14"/>
              <w:spacing w:before="108"/>
              <w:ind w:left="85"/>
              <w:jc w:val="both"/>
              <w:rPr>
                <w:bCs/>
              </w:rPr>
            </w:pPr>
            <w:r>
              <w:t>Taloudellinen toiminto</w:t>
            </w:r>
          </w:p>
        </w:tc>
      </w:tr>
      <w:tr w:rsidR="00B81226" w14:paraId="7FE1BFC2" w14:textId="77777777">
        <w:tc>
          <w:tcPr>
            <w:tcW w:w="1191" w:type="dxa"/>
            <w:tcBorders>
              <w:top w:val="single" w:sz="4" w:space="0" w:color="1A171C"/>
              <w:left w:val="nil"/>
              <w:bottom w:val="single" w:sz="4" w:space="0" w:color="1A171C"/>
              <w:right w:val="single" w:sz="4" w:space="0" w:color="1A171C"/>
            </w:tcBorders>
            <w:vAlign w:val="center"/>
          </w:tcPr>
          <w:p w14:paraId="7FE1BFBF" w14:textId="77777777" w:rsidR="00B81226" w:rsidRDefault="00B82AC2">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C0" w14:textId="77777777" w:rsidR="00B81226" w:rsidRDefault="00B82AC2">
            <w:pPr>
              <w:pStyle w:val="P68B1DB1-TableParagraph14"/>
              <w:spacing w:before="108"/>
              <w:ind w:left="85"/>
              <w:jc w:val="both"/>
              <w:rPr>
                <w:bCs/>
              </w:rPr>
            </w:pPr>
            <w:r>
              <w:t>Maa</w:t>
            </w:r>
          </w:p>
          <w:p w14:paraId="7FE1BFC1" w14:textId="235DC4B1" w:rsidR="00B81226" w:rsidRDefault="00B82AC2">
            <w:pPr>
              <w:pStyle w:val="P68B1DB1-TableParagraph17"/>
              <w:spacing w:before="108"/>
              <w:ind w:left="85"/>
            </w:pPr>
            <w:r>
              <w:t>Maa, jota varten taloudellinen tehtävä suoritetaan</w:t>
            </w:r>
          </w:p>
        </w:tc>
      </w:tr>
      <w:tr w:rsidR="00B81226" w14:paraId="7FE1BFC6" w14:textId="77777777">
        <w:tc>
          <w:tcPr>
            <w:tcW w:w="1191" w:type="dxa"/>
            <w:tcBorders>
              <w:top w:val="single" w:sz="4" w:space="0" w:color="1A171C"/>
              <w:left w:val="nil"/>
              <w:bottom w:val="single" w:sz="4" w:space="0" w:color="1A171C"/>
              <w:right w:val="single" w:sz="4" w:space="0" w:color="1A171C"/>
            </w:tcBorders>
            <w:vAlign w:val="center"/>
          </w:tcPr>
          <w:p w14:paraId="7FE1BFC3" w14:textId="77777777" w:rsidR="00B81226" w:rsidRDefault="00B82AC2">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BFC4" w14:textId="77777777" w:rsidR="00B81226" w:rsidRDefault="00B82AC2">
            <w:pPr>
              <w:pStyle w:val="P68B1DB1-TableParagraph14"/>
              <w:spacing w:before="108"/>
              <w:ind w:left="85"/>
              <w:jc w:val="both"/>
              <w:rPr>
                <w:bCs/>
              </w:rPr>
            </w:pPr>
            <w:r>
              <w:t>TUNNISTE</w:t>
            </w:r>
          </w:p>
          <w:p w14:paraId="7FE1BFC5" w14:textId="05F6B42D" w:rsidR="00B81226" w:rsidRDefault="00B82AC2">
            <w:pPr>
              <w:pStyle w:val="P68B1DB1-TableParagraph17"/>
              <w:spacing w:before="108"/>
              <w:ind w:left="85"/>
            </w:pPr>
            <w:r>
              <w:t>Kriittisten toimintojen (CIR-lomakkeessa Z07.01 (FUNC 1) ilmoitettu) taloudellisten toimintojen tunnus.</w:t>
            </w:r>
          </w:p>
        </w:tc>
      </w:tr>
      <w:tr w:rsidR="00B81226" w14:paraId="7FE1BFC9" w14:textId="77777777">
        <w:tc>
          <w:tcPr>
            <w:tcW w:w="1191" w:type="dxa"/>
            <w:tcBorders>
              <w:top w:val="single" w:sz="4" w:space="0" w:color="1A171C"/>
              <w:left w:val="nil"/>
              <w:bottom w:val="single" w:sz="4" w:space="0" w:color="1A171C"/>
              <w:right w:val="single" w:sz="4" w:space="0" w:color="1A171C"/>
            </w:tcBorders>
            <w:vAlign w:val="center"/>
          </w:tcPr>
          <w:p w14:paraId="7FE1BFC7" w14:textId="77777777" w:rsidR="00B81226" w:rsidRDefault="00B82AC2">
            <w:pPr>
              <w:pStyle w:val="P68B1DB1-TableParagraph17"/>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BFC8" w14:textId="77777777" w:rsidR="00B81226" w:rsidRDefault="00B82AC2">
            <w:pPr>
              <w:pStyle w:val="P68B1DB1-TableParagraph14"/>
              <w:spacing w:before="108"/>
              <w:ind w:left="85"/>
              <w:jc w:val="both"/>
              <w:rPr>
                <w:bCs/>
              </w:rPr>
            </w:pPr>
            <w:r>
              <w:t>Oikeushenkilö</w:t>
            </w:r>
          </w:p>
        </w:tc>
      </w:tr>
      <w:tr w:rsidR="00B81226" w14:paraId="7FE1BFCF" w14:textId="77777777">
        <w:tc>
          <w:tcPr>
            <w:tcW w:w="1191" w:type="dxa"/>
            <w:tcBorders>
              <w:top w:val="single" w:sz="4" w:space="0" w:color="1A171C"/>
              <w:left w:val="nil"/>
              <w:bottom w:val="single" w:sz="4" w:space="0" w:color="1A171C"/>
              <w:right w:val="single" w:sz="4" w:space="0" w:color="1A171C"/>
            </w:tcBorders>
            <w:vAlign w:val="center"/>
          </w:tcPr>
          <w:p w14:paraId="7FE1BFCA" w14:textId="77777777" w:rsidR="00B81226" w:rsidRDefault="00B82AC2">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BFCB" w14:textId="77777777" w:rsidR="00B81226" w:rsidRDefault="00B82AC2">
            <w:pPr>
              <w:pStyle w:val="P68B1DB1-TableParagraph14"/>
              <w:spacing w:before="108"/>
              <w:ind w:left="85"/>
              <w:jc w:val="both"/>
              <w:rPr>
                <w:bCs/>
              </w:rPr>
            </w:pPr>
            <w:r>
              <w:t>Yhteisön nimi</w:t>
            </w:r>
          </w:p>
          <w:p w14:paraId="7FE1BFCD" w14:textId="375A6177" w:rsidR="00B81226" w:rsidRDefault="00B82AC2">
            <w:pPr>
              <w:pStyle w:val="P68B1DB1-TableParagraph17"/>
              <w:spacing w:before="108"/>
              <w:ind w:left="85"/>
            </w:pPr>
            <w:r>
              <w:t>Taloudellisen toiminnon toteuttavan yksikön nimi, joka on ilmoitettu lomakkeessa Z 01.01 (ORG 1).</w:t>
            </w:r>
          </w:p>
          <w:p w14:paraId="7FE1BFCE" w14:textId="2159DCA3" w:rsidR="00B81226" w:rsidRDefault="00B82AC2">
            <w:pPr>
              <w:pStyle w:val="P68B1DB1-TableParagraph17"/>
              <w:spacing w:before="108"/>
              <w:ind w:left="85"/>
            </w:pPr>
            <w:r>
              <w:t>Jos samassa maassa useat yhteisöt suorittavat samoja taloudellisia toimintoja, kukin yhteisö on ilmoitettava erillisellä rivillä.</w:t>
            </w:r>
          </w:p>
        </w:tc>
      </w:tr>
      <w:tr w:rsidR="00B81226" w14:paraId="7FE1BFD4" w14:textId="77777777">
        <w:tc>
          <w:tcPr>
            <w:tcW w:w="1191" w:type="dxa"/>
            <w:tcBorders>
              <w:top w:val="single" w:sz="4" w:space="0" w:color="1A171C"/>
              <w:left w:val="nil"/>
              <w:bottom w:val="single" w:sz="4" w:space="0" w:color="1A171C"/>
              <w:right w:val="single" w:sz="4" w:space="0" w:color="1A171C"/>
            </w:tcBorders>
            <w:vAlign w:val="center"/>
          </w:tcPr>
          <w:p w14:paraId="7FE1BFD0" w14:textId="77777777" w:rsidR="00B81226" w:rsidRDefault="00B82AC2">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BFD1" w14:textId="77777777" w:rsidR="00B81226" w:rsidRDefault="00B82AC2">
            <w:pPr>
              <w:pStyle w:val="P68B1DB1-TableParagraph14"/>
              <w:spacing w:before="108"/>
              <w:ind w:left="85"/>
              <w:jc w:val="both"/>
              <w:rPr>
                <w:bCs/>
              </w:rPr>
            </w:pPr>
            <w:r>
              <w:t>Koodi</w:t>
            </w:r>
          </w:p>
          <w:p w14:paraId="7FE1BFD2" w14:textId="77777777" w:rsidR="00B81226" w:rsidRDefault="00B82AC2">
            <w:pPr>
              <w:pStyle w:val="P68B1DB1-TableParagraph17"/>
              <w:spacing w:before="108"/>
              <w:ind w:left="85"/>
            </w:pPr>
            <w:r>
              <w:t>Sarakkeessa 0020 ilmoitetun oikeushenkilön yksilöllinen tunnus, joka on ilmoitettu lomakkeessa Z 01.01 (ORG 1).</w:t>
            </w:r>
          </w:p>
          <w:p w14:paraId="7FE1BFD3" w14:textId="0AEAE2F2" w:rsidR="00B81226" w:rsidRDefault="00B82AC2">
            <w:pPr>
              <w:pStyle w:val="P68B1DB1-TableParagraph17"/>
              <w:spacing w:before="108"/>
              <w:ind w:left="85"/>
            </w:pPr>
            <w:r>
              <w:lastRenderedPageBreak/>
              <w:t>Yhteisöt on yksilöitävä johdonmukaisesti kaikissa lomakkeissa.</w:t>
            </w:r>
          </w:p>
        </w:tc>
      </w:tr>
      <w:tr w:rsidR="00B81226" w14:paraId="7FE1BFDB" w14:textId="77777777">
        <w:tc>
          <w:tcPr>
            <w:tcW w:w="1191" w:type="dxa"/>
            <w:tcBorders>
              <w:top w:val="single" w:sz="4" w:space="0" w:color="1A171C"/>
              <w:left w:val="nil"/>
              <w:bottom w:val="single" w:sz="4" w:space="0" w:color="1A171C"/>
              <w:right w:val="single" w:sz="4" w:space="0" w:color="1A171C"/>
            </w:tcBorders>
            <w:vAlign w:val="center"/>
          </w:tcPr>
          <w:p w14:paraId="7FE1BFD5" w14:textId="77777777" w:rsidR="00B81226" w:rsidRDefault="00B82AC2">
            <w:pPr>
              <w:pStyle w:val="P68B1DB1-TableParagraph17"/>
              <w:spacing w:before="108"/>
              <w:ind w:left="85"/>
            </w:pPr>
            <w:r>
              <w:lastRenderedPageBreak/>
              <w:t>0050</w:t>
            </w:r>
          </w:p>
        </w:tc>
        <w:tc>
          <w:tcPr>
            <w:tcW w:w="7892" w:type="dxa"/>
            <w:tcBorders>
              <w:top w:val="single" w:sz="4" w:space="0" w:color="1A171C"/>
              <w:left w:val="single" w:sz="4" w:space="0" w:color="1A171C"/>
              <w:bottom w:val="single" w:sz="4" w:space="0" w:color="1A171C"/>
              <w:right w:val="nil"/>
            </w:tcBorders>
            <w:vAlign w:val="center"/>
          </w:tcPr>
          <w:p w14:paraId="7FE1BFD6" w14:textId="77777777" w:rsidR="00B81226" w:rsidRDefault="00B82AC2">
            <w:pPr>
              <w:pStyle w:val="P68B1DB1-TableParagraph14"/>
              <w:spacing w:before="108"/>
              <w:ind w:left="85"/>
              <w:jc w:val="both"/>
              <w:rPr>
                <w:bCs/>
              </w:rPr>
            </w:pPr>
            <w:r>
              <w:t>Koodin tyyppi</w:t>
            </w:r>
          </w:p>
          <w:p w14:paraId="29A7EF10" w14:textId="77777777" w:rsidR="00B81226" w:rsidRDefault="00B82AC2">
            <w:pPr>
              <w:pStyle w:val="P68B1DB1-TableParagraph13"/>
              <w:spacing w:before="108"/>
            </w:pPr>
            <w:r>
              <w:t>Tässä on valittava seuraavista vaihtoehdoista: LEI-tunnus, MFI-tunnus tai muu tunnisteen tyyppi kuin LEI- tai MFI-tunnus</w:t>
            </w:r>
          </w:p>
          <w:p w14:paraId="7FE1BFDA" w14:textId="77777777" w:rsidR="00B81226" w:rsidRDefault="00B82AC2">
            <w:pPr>
              <w:pStyle w:val="P68B1DB1-TableParagraph13"/>
              <w:spacing w:before="108"/>
              <w:ind w:left="85"/>
              <w:jc w:val="both"/>
              <w:rPr>
                <w:b/>
                <w:bCs/>
              </w:rPr>
            </w:pPr>
            <w:r>
              <w:t>Yhteisöt on yksilöitävä johdonmukaisesti kaikissa lomakkeissa.</w:t>
            </w:r>
          </w:p>
        </w:tc>
      </w:tr>
      <w:tr w:rsidR="00B81226" w14:paraId="7FE1BFE4" w14:textId="77777777">
        <w:trPr>
          <w:trHeight w:val="302"/>
        </w:trPr>
        <w:tc>
          <w:tcPr>
            <w:tcW w:w="1191" w:type="dxa"/>
            <w:tcBorders>
              <w:top w:val="single" w:sz="4" w:space="0" w:color="1A171C"/>
              <w:left w:val="nil"/>
              <w:bottom w:val="single" w:sz="4" w:space="0" w:color="1A171C"/>
              <w:right w:val="single" w:sz="4" w:space="0" w:color="1A171C"/>
            </w:tcBorders>
            <w:vAlign w:val="center"/>
          </w:tcPr>
          <w:p w14:paraId="7FE1BFDC" w14:textId="50EDDBE3" w:rsidR="00B81226" w:rsidRDefault="00B82AC2">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BFDD" w14:textId="501961FD" w:rsidR="00B81226" w:rsidRDefault="00B82AC2">
            <w:pPr>
              <w:pStyle w:val="P68B1DB1-TableParagraph14"/>
              <w:spacing w:before="108"/>
              <w:ind w:left="85"/>
              <w:jc w:val="both"/>
              <w:rPr>
                <w:bCs/>
              </w:rPr>
            </w:pPr>
            <w:r>
              <w:t>Rahamäärä</w:t>
            </w:r>
          </w:p>
          <w:p w14:paraId="7FE1BFDE" w14:textId="1157FFA9" w:rsidR="00B81226" w:rsidRDefault="00B82AC2">
            <w:pPr>
              <w:pStyle w:val="P68B1DB1-TableParagraph17"/>
              <w:spacing w:before="108"/>
              <w:ind w:left="85"/>
            </w:pPr>
            <w:r>
              <w:t>Oikeushenkilön rahamääräinen osuus rahamäärästä, joka on ilmoitettu lomakkeen Z 07.01 (FUNC 1) sarakkeessa 0030.</w:t>
            </w:r>
          </w:p>
          <w:p w14:paraId="7FE1BFDF" w14:textId="77777777" w:rsidR="00B81226" w:rsidRDefault="00B82AC2">
            <w:pPr>
              <w:pStyle w:val="P68B1DB1-TableParagraph17"/>
              <w:numPr>
                <w:ilvl w:val="0"/>
                <w:numId w:val="64"/>
              </w:numPr>
              <w:spacing w:before="108"/>
            </w:pPr>
            <w:r>
              <w:t>Tilille talletetut – Arvo tileillä</w:t>
            </w:r>
          </w:p>
          <w:p w14:paraId="7FE1BFE0" w14:textId="77777777" w:rsidR="00B81226" w:rsidRDefault="00B82AC2">
            <w:pPr>
              <w:pStyle w:val="P68B1DB1-TableParagraph17"/>
              <w:numPr>
                <w:ilvl w:val="0"/>
                <w:numId w:val="64"/>
              </w:numPr>
              <w:spacing w:before="108"/>
            </w:pPr>
            <w:r>
              <w:t>Luotonanto – Vastaamaton arvo</w:t>
            </w:r>
          </w:p>
          <w:p w14:paraId="7FE1BFE1" w14:textId="77777777" w:rsidR="00B81226" w:rsidRDefault="00B82AC2">
            <w:pPr>
              <w:pStyle w:val="P68B1DB1-TableParagraph17"/>
              <w:numPr>
                <w:ilvl w:val="0"/>
                <w:numId w:val="64"/>
              </w:numPr>
              <w:spacing w:before="108"/>
            </w:pPr>
            <w:r>
              <w:t>Maksut – Tapahtumien/avointen positioiden/säilytettävien varojen arvo (tapauksen mukaan)</w:t>
            </w:r>
          </w:p>
          <w:p w14:paraId="7FE1BFE2" w14:textId="77777777" w:rsidR="00B81226" w:rsidRDefault="00B82AC2">
            <w:pPr>
              <w:pStyle w:val="P68B1DB1-TableParagraph17"/>
              <w:numPr>
                <w:ilvl w:val="0"/>
                <w:numId w:val="64"/>
              </w:numPr>
              <w:spacing w:before="108"/>
            </w:pPr>
            <w:r>
              <w:t>Pääomamarkkinat – Nimellisarvo/kirjanpitoarvo/Maksutulo (tapauksen mukaan)</w:t>
            </w:r>
          </w:p>
          <w:p w14:paraId="7FE1BFE3" w14:textId="77777777" w:rsidR="00B81226" w:rsidRDefault="00B82AC2">
            <w:pPr>
              <w:pStyle w:val="P68B1DB1-TableParagraph17"/>
              <w:numPr>
                <w:ilvl w:val="0"/>
                <w:numId w:val="64"/>
              </w:numPr>
              <w:spacing w:before="108"/>
            </w:pPr>
            <w:r>
              <w:t>Wholesale Funding – Bruttomääräinen kirjanpitoarvo</w:t>
            </w:r>
          </w:p>
        </w:tc>
      </w:tr>
    </w:tbl>
    <w:p w14:paraId="7FE1BFE5" w14:textId="77777777" w:rsidR="00B81226" w:rsidRDefault="00B81226">
      <w:pPr>
        <w:rPr>
          <w:rFonts w:ascii="Times New Roman" w:hAnsi="Times New Roman" w:cs="Times New Roman"/>
          <w:color w:val="000000" w:themeColor="text1"/>
          <w:sz w:val="20"/>
          <w:szCs w:val="20"/>
        </w:rPr>
      </w:pPr>
    </w:p>
    <w:p w14:paraId="7FE1BFE6" w14:textId="30C6C61A" w:rsidR="00B81226" w:rsidRDefault="00B82AC2">
      <w:pPr>
        <w:pStyle w:val="P68B1DB1-Instructionsberschrift25"/>
        <w:numPr>
          <w:ilvl w:val="1"/>
          <w:numId w:val="49"/>
        </w:numPr>
        <w:ind w:left="357" w:hanging="357"/>
      </w:pPr>
      <w:bookmarkStart w:id="123" w:name="_Toc208245451"/>
      <w:r>
        <w:t>Z 07.03 – Ydinliiketoiminta-alueiden kartoitus oikeushenkilöiden mukaan (FUNC 3)</w:t>
      </w:r>
      <w:bookmarkEnd w:id="123"/>
    </w:p>
    <w:p w14:paraId="7FE1BFE7" w14:textId="2A9EA2DA" w:rsidR="00B81226" w:rsidRDefault="00B82AC2">
      <w:pPr>
        <w:pStyle w:val="P68B1DB1-Instructionsberschrift312"/>
        <w:rPr>
          <w:bCs/>
        </w:rPr>
      </w:pPr>
      <w:r>
        <w:t>Tiettyjä kohtia koskevat ohjeet</w:t>
      </w:r>
    </w:p>
    <w:p w14:paraId="7FE1BFE8" w14:textId="22DA3D65" w:rsidR="00B81226" w:rsidRDefault="00B82AC2">
      <w:pPr>
        <w:pStyle w:val="P68B1DB1-InstructionsText26"/>
        <w:numPr>
          <w:ilvl w:val="0"/>
          <w:numId w:val="232"/>
        </w:numPr>
        <w:spacing w:before="0"/>
      </w:pPr>
      <w:r>
        <w:t>Tämän lomakkeen sarakkeissa 0020 ja 0050 ilmoitetut arvot yhdessä muodostavat ensisijaisen avaimen, jonka on oltava yksilöllinen lomakkeen jokaiselle riville.</w:t>
      </w:r>
    </w:p>
    <w:p w14:paraId="7FE1BFE9" w14:textId="29720803" w:rsidR="00B81226" w:rsidRDefault="00B82AC2">
      <w:pPr>
        <w:pStyle w:val="P68B1DB1-InstructionsText26"/>
        <w:numPr>
          <w:ilvl w:val="0"/>
          <w:numId w:val="232"/>
        </w:numPr>
        <w:spacing w:before="0"/>
      </w:pPr>
      <w:r>
        <w:t xml:space="preserve">Tässä lomakkeessa ilmoitetaan ainoastaan asianomaisten oikeushenkilöiden liiketoiminta-alueet. </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B81226" w14:paraId="7FE1BFEC"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FEA" w14:textId="77777777" w:rsidR="00B81226" w:rsidRDefault="00B82AC2">
            <w:pPr>
              <w:pStyle w:val="P68B1DB1-TableParagraph17"/>
              <w:spacing w:before="108"/>
              <w:ind w:left="85"/>
              <w:jc w:val="both"/>
            </w:pPr>
            <w:r>
              <w:t>Sarakkeet</w:t>
            </w:r>
          </w:p>
        </w:tc>
        <w:tc>
          <w:tcPr>
            <w:tcW w:w="7892" w:type="dxa"/>
            <w:tcBorders>
              <w:top w:val="single" w:sz="4" w:space="0" w:color="1A171C"/>
              <w:left w:val="single" w:sz="4" w:space="0" w:color="1A171C"/>
              <w:bottom w:val="single" w:sz="4" w:space="0" w:color="1A171C"/>
              <w:right w:val="nil"/>
            </w:tcBorders>
            <w:shd w:val="clear" w:color="auto" w:fill="E4E5E5"/>
          </w:tcPr>
          <w:p w14:paraId="7FE1BFEB" w14:textId="77777777" w:rsidR="00B81226" w:rsidRDefault="00B82AC2">
            <w:pPr>
              <w:pStyle w:val="P68B1DB1-TableParagraph17"/>
              <w:spacing w:before="108"/>
              <w:ind w:left="85" w:right="1"/>
              <w:jc w:val="both"/>
            </w:pPr>
            <w:r>
              <w:t>Ohjeet</w:t>
            </w:r>
          </w:p>
        </w:tc>
      </w:tr>
      <w:tr w:rsidR="00B81226" w14:paraId="7FE1BFEF" w14:textId="77777777">
        <w:tc>
          <w:tcPr>
            <w:tcW w:w="1191" w:type="dxa"/>
            <w:tcBorders>
              <w:top w:val="single" w:sz="4" w:space="0" w:color="1A171C"/>
              <w:left w:val="nil"/>
              <w:bottom w:val="single" w:sz="4" w:space="0" w:color="1A171C"/>
              <w:right w:val="single" w:sz="4" w:space="0" w:color="1A171C"/>
            </w:tcBorders>
            <w:vAlign w:val="center"/>
          </w:tcPr>
          <w:p w14:paraId="7FE1BFED" w14:textId="77777777" w:rsidR="00B81226" w:rsidRDefault="00B82AC2">
            <w:pPr>
              <w:pStyle w:val="P68B1DB1-TableParagraph17"/>
              <w:spacing w:before="108"/>
              <w:ind w:left="85"/>
            </w:pPr>
            <w:r>
              <w:t xml:space="preserve">0010–0030 </w:t>
            </w:r>
          </w:p>
        </w:tc>
        <w:tc>
          <w:tcPr>
            <w:tcW w:w="7892" w:type="dxa"/>
            <w:tcBorders>
              <w:top w:val="single" w:sz="4" w:space="0" w:color="1A171C"/>
              <w:left w:val="single" w:sz="4" w:space="0" w:color="1A171C"/>
              <w:bottom w:val="single" w:sz="4" w:space="0" w:color="1A171C"/>
              <w:right w:val="nil"/>
            </w:tcBorders>
            <w:vAlign w:val="center"/>
          </w:tcPr>
          <w:p w14:paraId="7FE1BFEE" w14:textId="164273BD" w:rsidR="00B81226" w:rsidRDefault="00B82AC2">
            <w:pPr>
              <w:pStyle w:val="P68B1DB1-TableParagraph14"/>
              <w:spacing w:before="108"/>
              <w:ind w:left="85"/>
              <w:jc w:val="both"/>
              <w:rPr>
                <w:bCs/>
              </w:rPr>
            </w:pPr>
            <w:r>
              <w:t>Ydinliiketoiminta-alue</w:t>
            </w:r>
          </w:p>
        </w:tc>
      </w:tr>
      <w:tr w:rsidR="00B81226" w14:paraId="7FE1BFFF" w14:textId="77777777">
        <w:tc>
          <w:tcPr>
            <w:tcW w:w="1191" w:type="dxa"/>
            <w:tcBorders>
              <w:top w:val="single" w:sz="4" w:space="0" w:color="1A171C"/>
              <w:left w:val="nil"/>
              <w:bottom w:val="single" w:sz="4" w:space="0" w:color="1A171C"/>
              <w:right w:val="single" w:sz="4" w:space="0" w:color="1A171C"/>
            </w:tcBorders>
            <w:vAlign w:val="center"/>
          </w:tcPr>
          <w:p w14:paraId="7FE1BFF0" w14:textId="0E5EC75F" w:rsidR="00B81226" w:rsidRDefault="00B82AC2">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F1" w14:textId="77777777" w:rsidR="00B81226" w:rsidRDefault="00B82AC2">
            <w:pPr>
              <w:pStyle w:val="P68B1DB1-TableParagraph14"/>
              <w:spacing w:before="108"/>
              <w:ind w:left="85"/>
              <w:jc w:val="both"/>
              <w:rPr>
                <w:bCs/>
              </w:rPr>
            </w:pPr>
            <w:r>
              <w:t>Ydinliiketoiminta-alue</w:t>
            </w:r>
          </w:p>
          <w:p w14:paraId="7FE1BFF2" w14:textId="65133358" w:rsidR="00B81226" w:rsidRDefault="00B82AC2">
            <w:pPr>
              <w:pStyle w:val="P68B1DB1-TableParagraph17"/>
              <w:spacing w:before="108"/>
              <w:ind w:left="85"/>
            </w:pPr>
            <w:r>
              <w:t>Direktiivin 2014/59/EU 2 artiklan 1 kohdan 36 alakohdassa ja 2 artiklan 2 kohdassa tarkoitettu ydinliiketoiminta-alue.</w:t>
            </w:r>
          </w:p>
          <w:p w14:paraId="7FE1BFF3" w14:textId="77777777" w:rsidR="00B81226" w:rsidRDefault="00B82AC2">
            <w:pPr>
              <w:pStyle w:val="P68B1DB1-TableParagraph17"/>
              <w:spacing w:before="108"/>
              <w:ind w:left="85"/>
            </w:pPr>
            <w:r>
              <w:t>Päätoimiala on oltava jokin jäljempänä luetelluista toimialoista.</w:t>
            </w:r>
          </w:p>
          <w:p w14:paraId="7FE1BFF4" w14:textId="77777777" w:rsidR="00B81226" w:rsidRDefault="00B82AC2">
            <w:pPr>
              <w:pStyle w:val="P68B1DB1-TableParagraph17"/>
              <w:numPr>
                <w:ilvl w:val="0"/>
                <w:numId w:val="139"/>
              </w:numPr>
              <w:spacing w:before="108"/>
              <w:rPr>
                <w:rFonts w:eastAsiaTheme="minorEastAsia"/>
              </w:rPr>
            </w:pPr>
            <w:r>
              <w:t xml:space="preserve">Pankkitoiminta </w:t>
            </w:r>
          </w:p>
          <w:p w14:paraId="7FE1BFF5" w14:textId="77777777" w:rsidR="00B81226" w:rsidRDefault="00B82AC2">
            <w:pPr>
              <w:pStyle w:val="P68B1DB1-TableParagraph17"/>
              <w:numPr>
                <w:ilvl w:val="0"/>
                <w:numId w:val="139"/>
              </w:numPr>
              <w:spacing w:before="108"/>
            </w:pPr>
            <w:r>
              <w:t>Yrityspankkitoiminta</w:t>
            </w:r>
          </w:p>
          <w:p w14:paraId="7FE1BFF6" w14:textId="77777777" w:rsidR="00B81226" w:rsidRDefault="00B82AC2">
            <w:pPr>
              <w:pStyle w:val="P68B1DB1-TableParagraph17"/>
              <w:numPr>
                <w:ilvl w:val="0"/>
                <w:numId w:val="139"/>
              </w:numPr>
              <w:spacing w:before="108"/>
            </w:pPr>
            <w:r>
              <w:t xml:space="preserve">Investointipankkitoiminta </w:t>
            </w:r>
          </w:p>
          <w:p w14:paraId="7FE1BFF7" w14:textId="77777777" w:rsidR="00B81226" w:rsidRDefault="00B82AC2">
            <w:pPr>
              <w:pStyle w:val="P68B1DB1-TableParagraph17"/>
              <w:numPr>
                <w:ilvl w:val="0"/>
                <w:numId w:val="139"/>
              </w:numPr>
              <w:spacing w:before="108"/>
            </w:pPr>
            <w:r>
              <w:t>Vakuutus</w:t>
            </w:r>
          </w:p>
          <w:p w14:paraId="7FE1BFF8" w14:textId="77777777" w:rsidR="00B81226" w:rsidRDefault="00B82AC2">
            <w:pPr>
              <w:pStyle w:val="P68B1DB1-TableParagraph17"/>
              <w:numPr>
                <w:ilvl w:val="0"/>
                <w:numId w:val="139"/>
              </w:numPr>
              <w:spacing w:before="108"/>
            </w:pPr>
            <w:r>
              <w:t>Jälleenvakuutustoiminta</w:t>
            </w:r>
          </w:p>
          <w:p w14:paraId="7FE1BFF9" w14:textId="77777777" w:rsidR="00B81226" w:rsidRDefault="00B82AC2">
            <w:pPr>
              <w:pStyle w:val="P68B1DB1-TableParagraph17"/>
              <w:numPr>
                <w:ilvl w:val="0"/>
                <w:numId w:val="139"/>
              </w:numPr>
              <w:spacing w:before="108"/>
            </w:pPr>
            <w:r>
              <w:t>Vähittäisvälitystoiminta</w:t>
            </w:r>
          </w:p>
          <w:p w14:paraId="7FE1BFFA" w14:textId="77777777" w:rsidR="00B81226" w:rsidRDefault="00B82AC2">
            <w:pPr>
              <w:pStyle w:val="P68B1DB1-TableParagraph17"/>
              <w:numPr>
                <w:ilvl w:val="0"/>
                <w:numId w:val="139"/>
              </w:numPr>
              <w:spacing w:before="108"/>
            </w:pPr>
            <w:r>
              <w:t xml:space="preserve">Varallisuudenhoito </w:t>
            </w:r>
          </w:p>
          <w:p w14:paraId="7FE1BFFB" w14:textId="77777777" w:rsidR="00B81226" w:rsidRDefault="00B82AC2">
            <w:pPr>
              <w:pStyle w:val="P68B1DB1-TableParagraph17"/>
              <w:numPr>
                <w:ilvl w:val="0"/>
                <w:numId w:val="139"/>
              </w:numPr>
              <w:spacing w:before="108"/>
            </w:pPr>
            <w:r>
              <w:t>Kiinteistönvälitys</w:t>
            </w:r>
          </w:p>
          <w:p w14:paraId="7FE1BFFC" w14:textId="77777777" w:rsidR="00B81226" w:rsidRDefault="00B82AC2">
            <w:pPr>
              <w:pStyle w:val="P68B1DB1-TableParagraph17"/>
              <w:numPr>
                <w:ilvl w:val="0"/>
                <w:numId w:val="139"/>
              </w:numPr>
              <w:spacing w:before="108"/>
            </w:pPr>
            <w:r>
              <w:t xml:space="preserve">Kirjanpito </w:t>
            </w:r>
          </w:p>
          <w:p w14:paraId="7FE1BFFD" w14:textId="77777777" w:rsidR="00B81226" w:rsidRDefault="00B82AC2">
            <w:pPr>
              <w:pStyle w:val="P68B1DB1-TableParagraph17"/>
              <w:numPr>
                <w:ilvl w:val="0"/>
                <w:numId w:val="139"/>
              </w:numPr>
              <w:spacing w:before="108"/>
            </w:pPr>
            <w:r>
              <w:t>Muut</w:t>
            </w:r>
          </w:p>
          <w:p w14:paraId="7FE1BFFE" w14:textId="77777777" w:rsidR="00B81226" w:rsidRDefault="00B81226">
            <w:pPr>
              <w:pStyle w:val="TableParagraph"/>
              <w:spacing w:before="108"/>
              <w:ind w:left="85"/>
              <w:rPr>
                <w:rFonts w:ascii="Times New Roman" w:eastAsia="Cambria" w:hAnsi="Times New Roman" w:cs="Times New Roman"/>
                <w:color w:val="000000" w:themeColor="text1"/>
                <w:sz w:val="20"/>
                <w:szCs w:val="20"/>
              </w:rPr>
            </w:pPr>
          </w:p>
        </w:tc>
      </w:tr>
      <w:tr w:rsidR="00B81226" w14:paraId="7FE1C003" w14:textId="77777777">
        <w:tc>
          <w:tcPr>
            <w:tcW w:w="1191" w:type="dxa"/>
            <w:tcBorders>
              <w:top w:val="single" w:sz="4" w:space="0" w:color="1A171C"/>
              <w:left w:val="nil"/>
              <w:bottom w:val="single" w:sz="4" w:space="0" w:color="1A171C"/>
              <w:right w:val="single" w:sz="4" w:space="0" w:color="1A171C"/>
            </w:tcBorders>
            <w:vAlign w:val="center"/>
          </w:tcPr>
          <w:p w14:paraId="7FE1C000" w14:textId="682F75AB" w:rsidR="00B81226" w:rsidRDefault="00B82AC2">
            <w:pPr>
              <w:pStyle w:val="P68B1DB1-TableParagraph17"/>
              <w:spacing w:before="108"/>
              <w:ind w:left="85"/>
            </w:pPr>
            <w:r>
              <w:lastRenderedPageBreak/>
              <w:t>0020</w:t>
            </w:r>
          </w:p>
        </w:tc>
        <w:tc>
          <w:tcPr>
            <w:tcW w:w="7892" w:type="dxa"/>
            <w:tcBorders>
              <w:top w:val="single" w:sz="4" w:space="0" w:color="1A171C"/>
              <w:left w:val="single" w:sz="4" w:space="0" w:color="1A171C"/>
              <w:bottom w:val="single" w:sz="4" w:space="0" w:color="1A171C"/>
              <w:right w:val="nil"/>
            </w:tcBorders>
            <w:vAlign w:val="center"/>
          </w:tcPr>
          <w:p w14:paraId="7FE1C001" w14:textId="77777777" w:rsidR="00B81226" w:rsidRDefault="00B82AC2">
            <w:pPr>
              <w:pStyle w:val="P68B1DB1-TableParagraph14"/>
              <w:spacing w:before="108"/>
              <w:ind w:left="85"/>
              <w:jc w:val="both"/>
              <w:rPr>
                <w:bCs/>
              </w:rPr>
            </w:pPr>
            <w:r>
              <w:t>Liiketoiminta-alueen tunnus</w:t>
            </w:r>
          </w:p>
          <w:p w14:paraId="7FE1C002" w14:textId="77777777" w:rsidR="00B81226" w:rsidRDefault="00B82AC2">
            <w:pPr>
              <w:pStyle w:val="P68B1DB1-TableParagraph17"/>
              <w:spacing w:before="108"/>
              <w:ind w:left="85"/>
            </w:pPr>
            <w:r>
              <w:t>Laitoksen antama liiketoiminta-alueen yksilöllinen tunnus.</w:t>
            </w:r>
          </w:p>
        </w:tc>
      </w:tr>
      <w:tr w:rsidR="00B81226" w14:paraId="7FE1C016" w14:textId="77777777">
        <w:tc>
          <w:tcPr>
            <w:tcW w:w="1191" w:type="dxa"/>
            <w:tcBorders>
              <w:top w:val="single" w:sz="4" w:space="0" w:color="1A171C"/>
              <w:left w:val="nil"/>
              <w:bottom w:val="single" w:sz="4" w:space="0" w:color="1A171C"/>
              <w:right w:val="single" w:sz="4" w:space="0" w:color="1A171C"/>
            </w:tcBorders>
            <w:vAlign w:val="center"/>
          </w:tcPr>
          <w:p w14:paraId="7FE1C013" w14:textId="77777777" w:rsidR="00B81226" w:rsidRDefault="00B82AC2">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C014" w14:textId="77777777" w:rsidR="00B81226" w:rsidRDefault="00B82AC2">
            <w:pPr>
              <w:pStyle w:val="P68B1DB1-TableParagraph14"/>
              <w:spacing w:before="108"/>
              <w:ind w:left="85"/>
              <w:jc w:val="both"/>
              <w:rPr>
                <w:bCs/>
              </w:rPr>
            </w:pPr>
            <w:r>
              <w:t>Kuvaus</w:t>
            </w:r>
          </w:p>
          <w:p w14:paraId="7FE1C015" w14:textId="477A2340" w:rsidR="00B81226" w:rsidRDefault="00B82AC2">
            <w:pPr>
              <w:pStyle w:val="P68B1DB1-TableParagraph17"/>
              <w:spacing w:before="108"/>
              <w:ind w:left="85"/>
            </w:pPr>
            <w:r>
              <w:t>Liiketoiminta-alueen kuvaus.</w:t>
            </w:r>
          </w:p>
        </w:tc>
      </w:tr>
      <w:tr w:rsidR="00B81226" w14:paraId="7FE1C02E" w14:textId="77777777">
        <w:tc>
          <w:tcPr>
            <w:tcW w:w="1191" w:type="dxa"/>
            <w:tcBorders>
              <w:top w:val="single" w:sz="4" w:space="0" w:color="1A171C"/>
              <w:left w:val="nil"/>
              <w:bottom w:val="single" w:sz="4" w:space="0" w:color="1A171C"/>
              <w:right w:val="single" w:sz="4" w:space="0" w:color="1A171C"/>
            </w:tcBorders>
            <w:vAlign w:val="center"/>
          </w:tcPr>
          <w:p w14:paraId="7FE1C02A" w14:textId="46C1B07D" w:rsidR="00B81226" w:rsidRDefault="00B82AC2">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C02B" w14:textId="0F9C74D8" w:rsidR="00B81226" w:rsidRDefault="00B82AC2">
            <w:pPr>
              <w:pStyle w:val="P68B1DB1-TableParagraph14"/>
              <w:spacing w:before="108"/>
              <w:ind w:left="85"/>
              <w:jc w:val="both"/>
              <w:rPr>
                <w:bCs/>
              </w:rPr>
            </w:pPr>
            <w:r>
              <w:t>Yhteisön nimi</w:t>
            </w:r>
          </w:p>
          <w:p w14:paraId="7FE1C02D" w14:textId="45109CE8" w:rsidR="00B81226" w:rsidRDefault="00B82AC2">
            <w:pPr>
              <w:pStyle w:val="P68B1DB1-TableParagraph17"/>
              <w:spacing w:before="108"/>
              <w:ind w:left="85"/>
            </w:pPr>
            <w:r>
              <w:t>Ydinliiketoiminta-alueen tarjoajan nimi, joka on ilmoitettu lomakkeessa Z 01.01 (ORG 1).</w:t>
            </w:r>
          </w:p>
        </w:tc>
      </w:tr>
      <w:tr w:rsidR="00B81226" w14:paraId="7FE1C033" w14:textId="77777777">
        <w:tc>
          <w:tcPr>
            <w:tcW w:w="1191" w:type="dxa"/>
            <w:tcBorders>
              <w:top w:val="single" w:sz="4" w:space="0" w:color="1A171C"/>
              <w:left w:val="nil"/>
              <w:bottom w:val="single" w:sz="4" w:space="0" w:color="1A171C"/>
              <w:right w:val="single" w:sz="4" w:space="0" w:color="1A171C"/>
            </w:tcBorders>
            <w:vAlign w:val="center"/>
          </w:tcPr>
          <w:p w14:paraId="7FE1C02F" w14:textId="6C4ACCFA" w:rsidR="00B81226" w:rsidRDefault="00B82AC2">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C030" w14:textId="77777777" w:rsidR="00B81226" w:rsidRDefault="00B82AC2">
            <w:pPr>
              <w:pStyle w:val="P68B1DB1-TableParagraph14"/>
              <w:spacing w:before="108"/>
              <w:ind w:left="85"/>
              <w:jc w:val="both"/>
              <w:rPr>
                <w:bCs/>
              </w:rPr>
            </w:pPr>
            <w:r>
              <w:t xml:space="preserve">Koodi </w:t>
            </w:r>
          </w:p>
          <w:p w14:paraId="7FE1C031" w14:textId="77777777" w:rsidR="00B81226" w:rsidRDefault="00B82AC2">
            <w:pPr>
              <w:pStyle w:val="P68B1DB1-TableParagraph17"/>
              <w:spacing w:before="108"/>
              <w:ind w:left="85"/>
            </w:pPr>
            <w:r>
              <w:t>Sarakkeessa 0020 ilmoitetun oikeushenkilön yksilöllinen tunnus, joka on ilmoitettu lomakkeessa Z 01.01 (ORG 1).</w:t>
            </w:r>
          </w:p>
          <w:p w14:paraId="7FE1C032" w14:textId="299C7D7B" w:rsidR="00B81226" w:rsidRDefault="00B82AC2">
            <w:pPr>
              <w:pStyle w:val="P68B1DB1-TableParagraph17"/>
              <w:spacing w:before="108"/>
              <w:ind w:left="85"/>
            </w:pPr>
            <w:r>
              <w:t>Yhteisöt on yksilöitävä johdonmukaisesti kaikissa lomakkeissa.</w:t>
            </w:r>
          </w:p>
        </w:tc>
      </w:tr>
      <w:tr w:rsidR="00B81226" w14:paraId="7FE1C03A" w14:textId="77777777">
        <w:tc>
          <w:tcPr>
            <w:tcW w:w="1191" w:type="dxa"/>
            <w:tcBorders>
              <w:top w:val="single" w:sz="4" w:space="0" w:color="1A171C"/>
              <w:left w:val="nil"/>
              <w:bottom w:val="single" w:sz="4" w:space="0" w:color="1A171C"/>
              <w:right w:val="single" w:sz="4" w:space="0" w:color="1A171C"/>
            </w:tcBorders>
            <w:vAlign w:val="center"/>
          </w:tcPr>
          <w:p w14:paraId="7FE1C034" w14:textId="0F108D7B" w:rsidR="00B81226" w:rsidRDefault="00B82AC2">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C035" w14:textId="77777777" w:rsidR="00B81226" w:rsidRDefault="00B82AC2">
            <w:pPr>
              <w:pStyle w:val="P68B1DB1-TableParagraph14"/>
              <w:spacing w:before="108"/>
              <w:ind w:left="85"/>
              <w:jc w:val="both"/>
              <w:rPr>
                <w:bCs/>
              </w:rPr>
            </w:pPr>
            <w:r>
              <w:t>Koodin tyyppi</w:t>
            </w:r>
          </w:p>
          <w:p w14:paraId="4F36B5CB" w14:textId="0A20F8AD" w:rsidR="00B81226" w:rsidRDefault="00B82AC2">
            <w:pPr>
              <w:pStyle w:val="P68B1DB1-TableParagraph13"/>
              <w:spacing w:before="108"/>
              <w:ind w:left="85"/>
              <w:jc w:val="both"/>
              <w:rPr>
                <w:bCs/>
              </w:rPr>
            </w:pPr>
            <w:r>
              <w:t>Tässä on valittava seuraavista vaihtoehdoista: LEI-tunnus, MFI-tunnus tai muu tunnisteen tyyppi kuin LEI- tai MFI-tunnus</w:t>
            </w:r>
          </w:p>
          <w:p w14:paraId="7FE1C039" w14:textId="5BB46896" w:rsidR="00B81226" w:rsidRDefault="00B82AC2">
            <w:pPr>
              <w:pStyle w:val="P68B1DB1-TableParagraph13"/>
              <w:spacing w:before="108"/>
              <w:ind w:left="85"/>
              <w:jc w:val="both"/>
              <w:rPr>
                <w:b/>
                <w:bCs/>
              </w:rPr>
            </w:pPr>
            <w:r>
              <w:t xml:space="preserve">Yhteisöt on yksilöitävä johdonmukaisesti kaikissa lomakkeissa. </w:t>
            </w:r>
          </w:p>
        </w:tc>
      </w:tr>
    </w:tbl>
    <w:p w14:paraId="7FE1C03B" w14:textId="7E256DE6" w:rsidR="00B81226" w:rsidRDefault="00B82AC2">
      <w:pPr>
        <w:pStyle w:val="P68B1DB1-Instructionsberschrift25"/>
        <w:numPr>
          <w:ilvl w:val="1"/>
          <w:numId w:val="49"/>
        </w:numPr>
        <w:ind w:left="357" w:hanging="357"/>
      </w:pPr>
      <w:bookmarkStart w:id="124" w:name="_Toc208245452"/>
      <w:r>
        <w:t>Z 07.04 – Taloudellisten toimintojen kartoitus ydinliiketoiminta-alueiden mukaan (FUNC 4)</w:t>
      </w:r>
      <w:bookmarkEnd w:id="124"/>
    </w:p>
    <w:p w14:paraId="7FE1C03C" w14:textId="77777777" w:rsidR="00B81226" w:rsidRDefault="00B82AC2">
      <w:pPr>
        <w:pStyle w:val="P68B1DB1-Instructionsberschrift312"/>
        <w:rPr>
          <w:bCs/>
        </w:rPr>
      </w:pPr>
      <w:r>
        <w:t>Tiettyjä kohtia koskevat ohjeet</w:t>
      </w:r>
    </w:p>
    <w:p w14:paraId="7FE1C03E" w14:textId="1250AC76" w:rsidR="00B81226" w:rsidRDefault="00B82AC2">
      <w:pPr>
        <w:pStyle w:val="P68B1DB1-InstructionsText26"/>
        <w:numPr>
          <w:ilvl w:val="0"/>
          <w:numId w:val="0"/>
        </w:numPr>
        <w:spacing w:before="0"/>
        <w:ind w:left="1800"/>
      </w:pPr>
      <w:r>
        <w:t>Tämän lomakkeen sarakkeissa 0010, 0020 ja 0040 ilmoitetut arvot yhdessä muodostavat ensisijaisen avaimen, jonka on oltava yksilöllinen lomakkeen jokaiselle riville.</w:t>
      </w:r>
    </w:p>
    <w:p w14:paraId="67939923" w14:textId="5A2745A8" w:rsidR="00B81226" w:rsidRDefault="00B82AC2">
      <w:pPr>
        <w:pStyle w:val="CommentText"/>
        <w:rPr>
          <w:rFonts w:ascii="Times New Roman" w:hAnsi="Times New Roman" w:cs="Times New Roman"/>
        </w:rPr>
      </w:pPr>
      <w:r>
        <w:rPr>
          <w:rFonts w:ascii="Times New Roman" w:hAnsi="Times New Roman" w:cs="Times New Roman"/>
        </w:rPr>
        <w:t>Ainoastaan kriittiset toiminnot, sellaisina kuin ne on määritelty</w:t>
      </w:r>
      <w:r>
        <w:rPr>
          <w:i/>
        </w:rPr>
        <w:t xml:space="preserve"> standardissa Z 07.01.1 FUNC 1 DEP; c0170; Z 07.01.2 FUNC 1 LEN, c0180; Z 07.01.3 FUNC 1 PAY, c0250; Z 07.01.4 FUNC 1 CM, c0210; Tässä lomakkeessa ilmoitetaan Z 07.01.5 </w:t>
      </w:r>
      <w:r>
        <w:rPr>
          <w:rFonts w:ascii="Times New Roman" w:hAnsi="Times New Roman" w:cs="Times New Roman"/>
        </w:rPr>
        <w:t>FUNC 1 WF, c0180я я.</w:t>
      </w:r>
    </w:p>
    <w:p w14:paraId="7FE1C040" w14:textId="77777777" w:rsidR="00B81226" w:rsidRDefault="00B81226">
      <w:pPr>
        <w:pStyle w:val="CommentText"/>
        <w:rPr>
          <w:rFonts w:ascii="Times New Roman" w:hAnsi="Times New Roman" w:cs="Times New Roman"/>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B81226" w14:paraId="7FE1C043" w14:textId="77777777">
        <w:tc>
          <w:tcPr>
            <w:tcW w:w="1191" w:type="dxa"/>
            <w:tcBorders>
              <w:top w:val="single" w:sz="4" w:space="0" w:color="1A171C"/>
              <w:left w:val="nil"/>
              <w:bottom w:val="single" w:sz="4" w:space="0" w:color="1A171C"/>
              <w:right w:val="single" w:sz="4" w:space="0" w:color="1A171C"/>
            </w:tcBorders>
            <w:shd w:val="clear" w:color="auto" w:fill="E4E5E5"/>
          </w:tcPr>
          <w:p w14:paraId="7FE1C041" w14:textId="77777777" w:rsidR="00B81226" w:rsidRDefault="00B82AC2">
            <w:pPr>
              <w:pStyle w:val="P68B1DB1-TableParagraph17"/>
              <w:spacing w:before="108"/>
              <w:ind w:left="85"/>
              <w:jc w:val="both"/>
            </w:pPr>
            <w:r>
              <w:t>Sarakkeet</w:t>
            </w:r>
          </w:p>
        </w:tc>
        <w:tc>
          <w:tcPr>
            <w:tcW w:w="7892" w:type="dxa"/>
            <w:tcBorders>
              <w:top w:val="single" w:sz="4" w:space="0" w:color="1A171C"/>
              <w:left w:val="single" w:sz="4" w:space="0" w:color="1A171C"/>
              <w:bottom w:val="single" w:sz="4" w:space="0" w:color="1A171C"/>
              <w:right w:val="nil"/>
            </w:tcBorders>
            <w:shd w:val="clear" w:color="auto" w:fill="E4E5E5"/>
          </w:tcPr>
          <w:p w14:paraId="7FE1C042" w14:textId="77777777" w:rsidR="00B81226" w:rsidRDefault="00B82AC2">
            <w:pPr>
              <w:pStyle w:val="P68B1DB1-TableParagraph17"/>
              <w:spacing w:before="108"/>
              <w:ind w:left="85" w:right="1"/>
              <w:jc w:val="both"/>
            </w:pPr>
            <w:r>
              <w:t>Ohjeet</w:t>
            </w:r>
          </w:p>
        </w:tc>
      </w:tr>
      <w:tr w:rsidR="00B81226" w14:paraId="7FE1C046" w14:textId="77777777">
        <w:tc>
          <w:tcPr>
            <w:tcW w:w="1191" w:type="dxa"/>
            <w:tcBorders>
              <w:top w:val="single" w:sz="4" w:space="0" w:color="1A171C"/>
              <w:left w:val="nil"/>
              <w:bottom w:val="single" w:sz="4" w:space="0" w:color="1A171C"/>
              <w:right w:val="single" w:sz="4" w:space="0" w:color="1A171C"/>
            </w:tcBorders>
            <w:vAlign w:val="center"/>
          </w:tcPr>
          <w:p w14:paraId="7FE1C044" w14:textId="77777777" w:rsidR="00B81226" w:rsidRDefault="00B82AC2">
            <w:pPr>
              <w:pStyle w:val="P68B1DB1-TableParagraph13"/>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C045" w14:textId="2FA81A45" w:rsidR="00B81226" w:rsidRDefault="00B82AC2">
            <w:pPr>
              <w:pStyle w:val="P68B1DB1-TableParagraph14"/>
              <w:spacing w:before="108"/>
              <w:ind w:left="85"/>
              <w:jc w:val="both"/>
              <w:rPr>
                <w:bCs/>
              </w:rPr>
            </w:pPr>
            <w:r>
              <w:t xml:space="preserve"> Kriittinen toiminto</w:t>
            </w:r>
          </w:p>
        </w:tc>
      </w:tr>
      <w:tr w:rsidR="00B81226" w14:paraId="7FE1C04A" w14:textId="77777777">
        <w:tc>
          <w:tcPr>
            <w:tcW w:w="1191" w:type="dxa"/>
            <w:tcBorders>
              <w:top w:val="single" w:sz="4" w:space="0" w:color="1A171C"/>
              <w:left w:val="nil"/>
              <w:bottom w:val="single" w:sz="4" w:space="0" w:color="1A171C"/>
              <w:right w:val="single" w:sz="4" w:space="0" w:color="1A171C"/>
            </w:tcBorders>
            <w:vAlign w:val="center"/>
          </w:tcPr>
          <w:p w14:paraId="7FE1C047" w14:textId="77777777" w:rsidR="00B81226" w:rsidRDefault="00B82AC2">
            <w:pPr>
              <w:pStyle w:val="P68B1DB1-TableParagraph13"/>
              <w:spacing w:before="108"/>
              <w:ind w:left="85"/>
              <w:rPr>
                <w:rFonts w:eastAsia="Cambria"/>
              </w:rPr>
            </w:pPr>
            <w:r>
              <w:t>0010</w:t>
            </w:r>
          </w:p>
        </w:tc>
        <w:tc>
          <w:tcPr>
            <w:tcW w:w="7892" w:type="dxa"/>
            <w:tcBorders>
              <w:top w:val="single" w:sz="4" w:space="0" w:color="1A171C"/>
              <w:left w:val="single" w:sz="4" w:space="0" w:color="1A171C"/>
              <w:bottom w:val="single" w:sz="4" w:space="0" w:color="1A171C"/>
              <w:right w:val="nil"/>
            </w:tcBorders>
            <w:vAlign w:val="center"/>
          </w:tcPr>
          <w:p w14:paraId="7FE1C048" w14:textId="77777777" w:rsidR="00B81226" w:rsidRDefault="00B82AC2">
            <w:pPr>
              <w:pStyle w:val="P68B1DB1-TableParagraph14"/>
              <w:spacing w:before="108"/>
              <w:ind w:left="85"/>
              <w:jc w:val="both"/>
              <w:rPr>
                <w:bCs/>
              </w:rPr>
            </w:pPr>
            <w:r>
              <w:t>Maa</w:t>
            </w:r>
          </w:p>
          <w:p w14:paraId="7FE1C049" w14:textId="77777777" w:rsidR="00B81226" w:rsidRDefault="00B82AC2">
            <w:pPr>
              <w:pStyle w:val="P68B1DB1-TableParagraph17"/>
              <w:spacing w:before="108"/>
              <w:ind w:left="85"/>
            </w:pPr>
            <w:r>
              <w:t>Lomakkeessa Z 07.01 (FUNC 1) ilmoitettu maa, jonka kannalta toiminto on kriittinen.</w:t>
            </w:r>
          </w:p>
        </w:tc>
      </w:tr>
      <w:tr w:rsidR="00B81226" w14:paraId="7FE1C04E" w14:textId="77777777">
        <w:tc>
          <w:tcPr>
            <w:tcW w:w="1191" w:type="dxa"/>
            <w:tcBorders>
              <w:top w:val="single" w:sz="4" w:space="0" w:color="1A171C"/>
              <w:left w:val="nil"/>
              <w:bottom w:val="single" w:sz="4" w:space="0" w:color="1A171C"/>
              <w:right w:val="single" w:sz="4" w:space="0" w:color="1A171C"/>
            </w:tcBorders>
            <w:vAlign w:val="center"/>
          </w:tcPr>
          <w:p w14:paraId="7FE1C04B" w14:textId="77777777" w:rsidR="00B81226" w:rsidRDefault="00B82AC2">
            <w:pPr>
              <w:pStyle w:val="P68B1DB1-TableParagraph13"/>
              <w:spacing w:before="108"/>
              <w:ind w:left="85"/>
              <w:rPr>
                <w:rFonts w:eastAsia="Cambria"/>
              </w:rPr>
            </w:pPr>
            <w:r>
              <w:t>0020</w:t>
            </w:r>
          </w:p>
        </w:tc>
        <w:tc>
          <w:tcPr>
            <w:tcW w:w="7892" w:type="dxa"/>
            <w:tcBorders>
              <w:top w:val="single" w:sz="4" w:space="0" w:color="1A171C"/>
              <w:left w:val="single" w:sz="4" w:space="0" w:color="1A171C"/>
              <w:bottom w:val="single" w:sz="4" w:space="0" w:color="1A171C"/>
              <w:right w:val="nil"/>
            </w:tcBorders>
            <w:vAlign w:val="center"/>
          </w:tcPr>
          <w:p w14:paraId="7FE1C04C" w14:textId="5F04938B" w:rsidR="00B81226" w:rsidRDefault="00B82AC2">
            <w:pPr>
              <w:pStyle w:val="P68B1DB1-TableParagraph14"/>
              <w:spacing w:before="108"/>
              <w:ind w:left="85"/>
              <w:jc w:val="both"/>
              <w:rPr>
                <w:bCs/>
              </w:rPr>
            </w:pPr>
            <w:r>
              <w:t>TUNNISTE</w:t>
            </w:r>
          </w:p>
          <w:p w14:paraId="7FE1C04D" w14:textId="4D9D2A77" w:rsidR="00B81226" w:rsidRDefault="00B82AC2">
            <w:pPr>
              <w:pStyle w:val="P68B1DB1-TableParagraph17"/>
              <w:spacing w:before="108"/>
              <w:ind w:left="85"/>
            </w:pPr>
            <w:r>
              <w:t>Lomakkeessa Z 07.01 (FUNC 1) tarkoitettujen kriittisten toimintojen tunniste</w:t>
            </w:r>
          </w:p>
        </w:tc>
      </w:tr>
      <w:tr w:rsidR="00B81226" w14:paraId="7FE1C051" w14:textId="77777777">
        <w:tc>
          <w:tcPr>
            <w:tcW w:w="1191" w:type="dxa"/>
            <w:tcBorders>
              <w:top w:val="single" w:sz="4" w:space="0" w:color="1A171C"/>
              <w:left w:val="nil"/>
              <w:bottom w:val="single" w:sz="4" w:space="0" w:color="1A171C"/>
              <w:right w:val="single" w:sz="4" w:space="0" w:color="1A171C"/>
            </w:tcBorders>
            <w:vAlign w:val="center"/>
          </w:tcPr>
          <w:p w14:paraId="7FE1C04F" w14:textId="77777777" w:rsidR="00B81226" w:rsidRDefault="00B82AC2">
            <w:pPr>
              <w:pStyle w:val="P68B1DB1-TableParagraph13"/>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C050" w14:textId="2172F172" w:rsidR="00B81226" w:rsidRDefault="00B82AC2">
            <w:pPr>
              <w:pStyle w:val="P68B1DB1-TableParagraph14"/>
              <w:spacing w:before="108"/>
              <w:ind w:left="85"/>
              <w:jc w:val="both"/>
              <w:rPr>
                <w:bCs/>
              </w:rPr>
            </w:pPr>
            <w:r>
              <w:t>Ydinliiketoiminta-alue</w:t>
            </w:r>
          </w:p>
        </w:tc>
      </w:tr>
      <w:tr w:rsidR="00B81226" w14:paraId="7FE1C057" w14:textId="77777777">
        <w:tc>
          <w:tcPr>
            <w:tcW w:w="1191" w:type="dxa"/>
            <w:tcBorders>
              <w:top w:val="single" w:sz="4" w:space="0" w:color="1A171C"/>
              <w:left w:val="nil"/>
              <w:bottom w:val="single" w:sz="4" w:space="0" w:color="1A171C"/>
              <w:right w:val="single" w:sz="4" w:space="0" w:color="1A171C"/>
            </w:tcBorders>
            <w:vAlign w:val="center"/>
          </w:tcPr>
          <w:p w14:paraId="7FE1C052" w14:textId="77777777" w:rsidR="00B81226" w:rsidRDefault="00B82AC2">
            <w:pPr>
              <w:pStyle w:val="P68B1DB1-TableParagraph13"/>
              <w:spacing w:before="108"/>
              <w:ind w:left="85"/>
              <w:rPr>
                <w:rFonts w:eastAsia="Cambria"/>
              </w:rPr>
            </w:pPr>
            <w:r>
              <w:t>0030</w:t>
            </w:r>
          </w:p>
        </w:tc>
        <w:tc>
          <w:tcPr>
            <w:tcW w:w="7892" w:type="dxa"/>
            <w:tcBorders>
              <w:top w:val="single" w:sz="4" w:space="0" w:color="1A171C"/>
              <w:left w:val="single" w:sz="4" w:space="0" w:color="1A171C"/>
              <w:bottom w:val="single" w:sz="4" w:space="0" w:color="1A171C"/>
              <w:right w:val="nil"/>
            </w:tcBorders>
            <w:vAlign w:val="center"/>
          </w:tcPr>
          <w:p w14:paraId="7FE1C055" w14:textId="77777777" w:rsidR="00B81226" w:rsidRDefault="00B82AC2">
            <w:pPr>
              <w:pStyle w:val="P68B1DB1-TableParagraph14"/>
              <w:spacing w:before="108"/>
              <w:ind w:left="85"/>
              <w:jc w:val="both"/>
              <w:rPr>
                <w:bCs/>
              </w:rPr>
            </w:pPr>
            <w:r>
              <w:t>Ydinliiketoiminta-alue</w:t>
            </w:r>
          </w:p>
          <w:p w14:paraId="7FE1C056" w14:textId="77777777" w:rsidR="00B81226" w:rsidRDefault="00B82AC2">
            <w:pPr>
              <w:pStyle w:val="P68B1DB1-TableParagraph17"/>
              <w:spacing w:before="108"/>
              <w:ind w:left="85"/>
            </w:pPr>
            <w:r>
              <w:t>Direktiivin 2014/59/EU 2 artiklan 1 kohdan 36 alakohdassa ja 2 artiklan 2 kohdassa tarkoitettu ydinliiketoiminta-alue, joka on ilmoitettu lomakkeessa Z 07.03 (FUNC 3).</w:t>
            </w:r>
          </w:p>
        </w:tc>
      </w:tr>
      <w:tr w:rsidR="00B81226" w14:paraId="7FE1C05B" w14:textId="77777777">
        <w:tc>
          <w:tcPr>
            <w:tcW w:w="1191" w:type="dxa"/>
            <w:tcBorders>
              <w:top w:val="single" w:sz="4" w:space="0" w:color="1A171C"/>
              <w:left w:val="nil"/>
              <w:bottom w:val="single" w:sz="4" w:space="0" w:color="1A171C"/>
              <w:right w:val="single" w:sz="4" w:space="0" w:color="1A171C"/>
            </w:tcBorders>
            <w:vAlign w:val="center"/>
          </w:tcPr>
          <w:p w14:paraId="7FE1C058" w14:textId="7310E27F" w:rsidR="00B81226" w:rsidRDefault="00B82AC2">
            <w:pPr>
              <w:pStyle w:val="P68B1DB1-TableParagraph13"/>
              <w:spacing w:before="108"/>
              <w:ind w:left="85"/>
              <w:rPr>
                <w:rFonts w:eastAsia="Cambria"/>
              </w:rPr>
            </w:pPr>
            <w:r>
              <w:t>0040</w:t>
            </w:r>
          </w:p>
        </w:tc>
        <w:tc>
          <w:tcPr>
            <w:tcW w:w="7892" w:type="dxa"/>
            <w:tcBorders>
              <w:top w:val="single" w:sz="4" w:space="0" w:color="1A171C"/>
              <w:left w:val="single" w:sz="4" w:space="0" w:color="1A171C"/>
              <w:bottom w:val="single" w:sz="4" w:space="0" w:color="1A171C"/>
              <w:right w:val="nil"/>
            </w:tcBorders>
            <w:vAlign w:val="center"/>
          </w:tcPr>
          <w:p w14:paraId="7FE1C059" w14:textId="77777777" w:rsidR="00B81226" w:rsidRDefault="00B82AC2">
            <w:pPr>
              <w:pStyle w:val="P68B1DB1-TableParagraph14"/>
              <w:spacing w:before="108"/>
              <w:ind w:left="85"/>
              <w:jc w:val="both"/>
              <w:rPr>
                <w:bCs/>
              </w:rPr>
            </w:pPr>
            <w:r>
              <w:t>Liiketoiminta-alue: Liiketoiminta-alueen tunnus</w:t>
            </w:r>
          </w:p>
          <w:p w14:paraId="7FE1C05A" w14:textId="77777777" w:rsidR="00B81226" w:rsidRDefault="00B82AC2">
            <w:pPr>
              <w:pStyle w:val="P68B1DB1-TableParagraph17"/>
              <w:spacing w:before="108"/>
              <w:ind w:left="85"/>
            </w:pPr>
            <w:r>
              <w:t>Laitoksen antama liiketoiminta-alueen yksilöllinen tunnus; sama tunnus kuin on ilmoitettu lomakkeessa Z 07.03 (FUNC 3).</w:t>
            </w:r>
          </w:p>
        </w:tc>
      </w:tr>
    </w:tbl>
    <w:p w14:paraId="7FE1C222" w14:textId="77777777" w:rsidR="00B81226" w:rsidRDefault="00B81226">
      <w:pPr>
        <w:rPr>
          <w:rFonts w:ascii="Times New Roman" w:hAnsi="Times New Roman" w:cs="Times New Roman"/>
          <w:b/>
          <w:color w:val="000000" w:themeColor="text1"/>
          <w:sz w:val="20"/>
          <w:szCs w:val="20"/>
          <w:u w:val="single"/>
        </w:rPr>
      </w:pPr>
    </w:p>
    <w:p w14:paraId="7FE1C223" w14:textId="77777777" w:rsidR="00B81226" w:rsidRDefault="00B82AC2">
      <w:pPr>
        <w:pStyle w:val="P68B1DB1-Instructionsberschrift244"/>
        <w:numPr>
          <w:ilvl w:val="1"/>
          <w:numId w:val="49"/>
        </w:numPr>
        <w:ind w:left="357" w:hanging="357"/>
      </w:pPr>
      <w:bookmarkStart w:id="125" w:name="_Toc208245453"/>
      <w:r>
        <w:lastRenderedPageBreak/>
        <w:t>Asiaankuuluvat palvelut</w:t>
      </w:r>
      <w:bookmarkEnd w:id="125"/>
    </w:p>
    <w:p w14:paraId="7FE1C224" w14:textId="70045BAA" w:rsidR="00B81226" w:rsidRDefault="00B82AC2">
      <w:pPr>
        <w:pStyle w:val="P68B1DB1-Instructionsberschrift25"/>
        <w:numPr>
          <w:ilvl w:val="1"/>
          <w:numId w:val="49"/>
        </w:numPr>
        <w:ind w:left="357" w:hanging="357"/>
        <w:rPr>
          <w:rFonts w:eastAsia="Calibri"/>
        </w:rPr>
      </w:pPr>
      <w:bookmarkStart w:id="126" w:name="_Toc208245454"/>
      <w:r>
        <w:t>Z 08.01 – Oikein olennaiset palvelut (SERV 1)</w:t>
      </w:r>
      <w:bookmarkEnd w:id="126"/>
      <w:r>
        <w:t xml:space="preserve"> </w:t>
      </w:r>
    </w:p>
    <w:p w14:paraId="7FE1C225" w14:textId="77777777" w:rsidR="00B81226" w:rsidRDefault="00B82AC2">
      <w:pPr>
        <w:pStyle w:val="P68B1DB1-Normal45"/>
        <w:spacing w:line="276" w:lineRule="auto"/>
        <w:jc w:val="both"/>
      </w:pPr>
      <w:r>
        <w:t>II.8.1 Yleiset ohjeet</w:t>
      </w:r>
    </w:p>
    <w:p w14:paraId="7FE1C226" w14:textId="77777777" w:rsidR="00B81226" w:rsidRDefault="00B81226">
      <w:pPr>
        <w:spacing w:line="276" w:lineRule="auto"/>
        <w:jc w:val="both"/>
        <w:rPr>
          <w:rFonts w:ascii="Times New Roman" w:eastAsia="Calibri" w:hAnsi="Times New Roman" w:cs="Times New Roman"/>
          <w:sz w:val="20"/>
        </w:rPr>
      </w:pPr>
    </w:p>
    <w:p w14:paraId="7FE1C228" w14:textId="765604DB" w:rsidR="00B81226" w:rsidRDefault="00B82AC2">
      <w:pPr>
        <w:pStyle w:val="P68B1DB1-Instructionsberschrift346"/>
        <w:numPr>
          <w:ilvl w:val="4"/>
          <w:numId w:val="49"/>
        </w:numPr>
        <w:ind w:left="928"/>
        <w:contextualSpacing/>
        <w:jc w:val="both"/>
        <w:rPr>
          <w:color w:val="auto"/>
        </w:rPr>
      </w:pPr>
      <w:r>
        <w:t xml:space="preserve">Tähän lomakkeeseen sisällytettävät tiedot ilmoitetaan kerran koko konsernista, ja lomakkeessa luetellaan konserniyhteisön mahdollisesti vastaanottamat kriittiset </w:t>
      </w:r>
      <w:r>
        <w:rPr>
          <w:color w:val="auto"/>
        </w:rPr>
        <w:t xml:space="preserve">palvelut </w:t>
      </w:r>
      <w:r>
        <w:t xml:space="preserve">ja yhdistetään ne </w:t>
      </w:r>
      <w:r>
        <w:rPr>
          <w:color w:val="auto"/>
        </w:rPr>
        <w:t xml:space="preserve"> konsernin tarjoamiin </w:t>
      </w:r>
      <w:r>
        <w:t>kriittisiin toimintoihin.</w:t>
      </w:r>
    </w:p>
    <w:p w14:paraId="7FE1C229" w14:textId="77777777" w:rsidR="00B81226" w:rsidRDefault="00B82AC2">
      <w:pPr>
        <w:pStyle w:val="Instructionsberschrift3"/>
        <w:ind w:left="928"/>
        <w:contextualSpacing/>
        <w:jc w:val="both"/>
        <w:rPr>
          <w:rFonts w:eastAsia="MS Mincho"/>
          <w:color w:val="auto"/>
          <w:u w:val="none"/>
        </w:rPr>
      </w:pPr>
      <w:r>
        <w:rPr>
          <w:rFonts w:eastAsia="Calibri"/>
          <w:b/>
          <w:color w:val="auto"/>
          <w:u w:val="none"/>
        </w:rPr>
        <w:t>Asiaankuuluvat palvelut</w:t>
      </w:r>
      <w:r>
        <w:rPr>
          <w:rStyle w:val="FootnoteReference"/>
          <w:rFonts w:ascii="Times New Roman" w:eastAsia="Calibri" w:hAnsi="Times New Roman"/>
          <w:color w:val="auto"/>
          <w:sz w:val="20"/>
          <w:szCs w:val="20"/>
          <w:u w:val="none"/>
        </w:rPr>
        <w:footnoteReference w:id="22"/>
      </w:r>
      <w:r>
        <w:rPr>
          <w:rFonts w:eastAsia="Calibri"/>
          <w:color w:val="auto"/>
          <w:u w:val="none"/>
        </w:rPr>
        <w:t>: kriittiset ja keskeiset palvelut</w:t>
      </w:r>
    </w:p>
    <w:p w14:paraId="7FE1C22A" w14:textId="77777777" w:rsidR="00B81226" w:rsidRDefault="00B82AC2">
      <w:pPr>
        <w:pStyle w:val="P68B1DB1-Instructionsberschrift347"/>
        <w:ind w:left="928"/>
        <w:contextualSpacing/>
        <w:jc w:val="both"/>
        <w:rPr>
          <w:rFonts w:eastAsia="MS Mincho"/>
        </w:rPr>
      </w:pPr>
      <w:r>
        <w:rPr>
          <w:rFonts w:eastAsia="Calibri"/>
          <w:b/>
        </w:rPr>
        <w:t>Kriittiset palvelut</w:t>
      </w:r>
      <w:r>
        <w:footnoteReference w:id="23"/>
      </w:r>
      <w:r>
        <w:t>: palvelut, jotka suoritetaan konserniliiketoimintayksiköille tai -yksiköille, i) joiden keskeytyminen estäisi tai estäisi vakavasti yhden tai useamman kriittisen toiminnon suorittamisen; ja (ii) jota ei voi tarjota kohtuullisessa ajassa vastaavassa laajuudessa palvelun tavoitteen, laadun ja kustannusten kannalta.</w:t>
      </w:r>
    </w:p>
    <w:p w14:paraId="7FE1C22B" w14:textId="77777777" w:rsidR="00B81226" w:rsidRDefault="00B82AC2">
      <w:pPr>
        <w:pStyle w:val="Instructionsberschrift3"/>
        <w:ind w:left="928"/>
        <w:contextualSpacing/>
        <w:jc w:val="both"/>
        <w:rPr>
          <w:rFonts w:eastAsia="MS Mincho"/>
          <w:color w:val="auto"/>
          <w:u w:val="none"/>
        </w:rPr>
      </w:pPr>
      <w:r>
        <w:rPr>
          <w:b/>
          <w:u w:val="none"/>
        </w:rPr>
        <w:t>Keskeiset palvelut</w:t>
      </w:r>
      <w:r>
        <w:rPr>
          <w:u w:val="none"/>
        </w:rPr>
        <w:t>: Ydinliiketoiminta-alueisiin liittyvät palvelut</w:t>
      </w:r>
      <w:r>
        <w:rPr>
          <w:u w:val="none"/>
        </w:rPr>
        <w:footnoteReference w:id="24"/>
      </w:r>
      <w:r>
        <w:rPr>
          <w:u w:val="none"/>
        </w:rPr>
        <w:t>, joiden jatkuvuus on tarpeen kriisinratkaisustrategian tehokkaan toteuttamisen kannalta, ja mahdolliset uudelleenjärjestelyt, i) joiden keskeytyminen haittaisi vakavasti kyseisten ydinliiketoiminta-alueiden toimintaa tai estäisi sen; ja (ii) jota ei voi tarjota kohtuullisessa ajassa vastaavassa laajuudessa palvelun tavoitteen, laadun ja kustannusten kannalta.</w:t>
      </w:r>
      <w:r>
        <w:rPr>
          <w:rStyle w:val="FootnoteReference"/>
          <w:rFonts w:ascii="Times New Roman" w:eastAsia="Calibri" w:hAnsi="Times New Roman"/>
          <w:color w:val="auto"/>
          <w:sz w:val="20"/>
          <w:szCs w:val="20"/>
          <w:u w:val="none"/>
        </w:rPr>
        <w:footnoteReference w:id="25"/>
      </w:r>
    </w:p>
    <w:p w14:paraId="7FE1C22C" w14:textId="5D0544C9" w:rsidR="00B81226" w:rsidRDefault="00B82AC2">
      <w:pPr>
        <w:pStyle w:val="P68B1DB1-Instructionsberschrift348"/>
        <w:numPr>
          <w:ilvl w:val="4"/>
          <w:numId w:val="49"/>
        </w:numPr>
        <w:ind w:left="928"/>
        <w:contextualSpacing/>
        <w:jc w:val="both"/>
        <w:rPr>
          <w:color w:val="auto"/>
        </w:rPr>
      </w:pPr>
      <w:r>
        <w:rPr>
          <w:color w:val="auto"/>
        </w:rPr>
        <w:t xml:space="preserve">Komission delegoidun asetuksen (EU) 2016/778 johdanto-osan 8 kappaleen mukaan, joka liittyy kriittisiin palveluihin ja jota sovelletaan analogisesti edellä määriteltyihin keskeisiin palveluihin, merkityksellisillä </w:t>
      </w:r>
      <w:r>
        <w:t xml:space="preserve">palveluilla tarkoitetaan toimintoja, toimintoja ja palveluja, joita suoritetaan konsernin yhdelle (erityispalveluille) tai useammalle liiketoimintayksikölle tai oikeushenkilölle (yhteiset palvelut) ja joita tarvitaan yhden tai useamman kriittisen toiminnon </w:t>
      </w:r>
      <w:r>
        <w:rPr>
          <w:color w:val="auto"/>
        </w:rPr>
        <w:t xml:space="preserve">tai ydinliiketoiminta-alueen tarjoamiseen. Merkityksellisiä </w:t>
      </w:r>
      <w:r>
        <w:t xml:space="preserve">palveluja voi </w:t>
      </w:r>
      <w:r>
        <w:rPr>
          <w:color w:val="auto"/>
        </w:rPr>
        <w:t xml:space="preserve">suorittaa yksi liiketoimintayksikkö saman oikeushenkilön toiselle liiketoimintayksikölle (yksikön sisäinen palvelu), </w:t>
      </w:r>
      <w:r>
        <w:t>konserniin kuuluvat yhteisöt (konsernin</w:t>
      </w:r>
      <w:r>
        <w:rPr>
          <w:color w:val="auto"/>
        </w:rPr>
        <w:t>sisäinen palvelu</w:t>
      </w:r>
      <w:r>
        <w:t>)</w:t>
      </w:r>
      <w:r>
        <w:rPr>
          <w:color w:val="auto"/>
        </w:rPr>
        <w:t>tai</w:t>
      </w:r>
      <w:r>
        <w:t xml:space="preserve"> ne v</w:t>
      </w:r>
      <w:r>
        <w:t>oidaan ulkoistaa ulkopuoliselle palveluntarjoajalle (ulkoinen palvelu).</w:t>
      </w:r>
    </w:p>
    <w:p w14:paraId="7FE1C22D" w14:textId="2E2CBD58" w:rsidR="00B81226" w:rsidRDefault="00B82AC2">
      <w:pPr>
        <w:pStyle w:val="P68B1DB1-Instructionsberschrift310"/>
        <w:numPr>
          <w:ilvl w:val="4"/>
          <w:numId w:val="49"/>
        </w:numPr>
        <w:ind w:left="928"/>
        <w:contextualSpacing/>
        <w:jc w:val="both"/>
        <w:rPr>
          <w:rFonts w:eastAsia="MS Mincho"/>
          <w:color w:val="auto"/>
        </w:rPr>
      </w:pPr>
      <w:r>
        <w:rPr>
          <w:rFonts w:eastAsia="MS Mincho"/>
        </w:rPr>
        <w:t>Kaikkia kenttiä ei sovelleta kaikentyyppisiin palveluihin (ks. ohjeet jäljempänä). Tässä tapauksessa ilmoitetaan ”EI APPLICABLE” asianomaisessa solussa.</w:t>
      </w:r>
      <w:r>
        <w:t xml:space="preserve"> </w:t>
      </w:r>
    </w:p>
    <w:p w14:paraId="7FE1C22E" w14:textId="0568A925" w:rsidR="00B81226" w:rsidRDefault="00B82AC2">
      <w:pPr>
        <w:pStyle w:val="P68B1DB1-Instructionsberschrift346"/>
        <w:numPr>
          <w:ilvl w:val="4"/>
          <w:numId w:val="49"/>
        </w:numPr>
        <w:ind w:left="928"/>
        <w:contextualSpacing/>
        <w:jc w:val="both"/>
        <w:rPr>
          <w:color w:val="auto"/>
        </w:rPr>
      </w:pPr>
      <w:r>
        <w:t xml:space="preserve">Tämän lomakkeen sarakkeissa 0010, </w:t>
      </w:r>
      <w:r>
        <w:rPr>
          <w:color w:val="auto"/>
        </w:rPr>
        <w:t>0020</w:t>
      </w:r>
      <w:r>
        <w:t xml:space="preserve">, </w:t>
      </w:r>
      <w:r>
        <w:rPr>
          <w:color w:val="auto"/>
        </w:rPr>
        <w:t>0040,</w:t>
      </w:r>
      <w:r>
        <w:t xml:space="preserve"> </w:t>
      </w:r>
      <w:r>
        <w:rPr>
          <w:color w:val="auto"/>
        </w:rPr>
        <w:t>0060 ja 0130 ilmoitetut arvot yhdessä muodostavat</w:t>
      </w:r>
      <w:r>
        <w:t xml:space="preserve"> ensisijaisen avaimen, jonka on oltava yksilöllinen lomakkeen jokaiselle riville.</w:t>
      </w:r>
    </w:p>
    <w:p w14:paraId="7FE1C22F" w14:textId="77777777" w:rsidR="00B81226" w:rsidRDefault="00B81226">
      <w:pPr>
        <w:pStyle w:val="Instructionsberschrift3"/>
        <w:numPr>
          <w:ilvl w:val="0"/>
          <w:numId w:val="0"/>
        </w:numPr>
        <w:ind w:left="720"/>
      </w:pPr>
    </w:p>
    <w:p w14:paraId="7FE1C230" w14:textId="77777777" w:rsidR="00B81226" w:rsidRDefault="00B82AC2">
      <w:pPr>
        <w:pStyle w:val="P68B1DB1-Instructionsberschrift312"/>
        <w:rPr>
          <w:bCs/>
        </w:rPr>
      </w:pPr>
      <w:r>
        <w:t>Tiettyjä kohtia koskevat ohjeet</w:t>
      </w:r>
    </w:p>
    <w:p w14:paraId="7FE1C23F" w14:textId="77777777" w:rsidR="00B81226" w:rsidRDefault="00B81226">
      <w:pPr>
        <w:spacing w:line="276" w:lineRule="auto"/>
        <w:jc w:val="both"/>
        <w:rPr>
          <w:rFonts w:ascii="Times New Roman" w:eastAsia="Calibri" w:hAnsi="Times New Roman" w:cs="Times New Roman"/>
          <w:color w:val="0070C0"/>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8"/>
      </w:tblGrid>
      <w:tr w:rsidR="00B81226" w14:paraId="7FE1C242" w14:textId="77777777">
        <w:trPr>
          <w:trHeight w:val="808"/>
          <w:tblHeader/>
        </w:trPr>
        <w:tc>
          <w:tcPr>
            <w:tcW w:w="1129" w:type="dxa"/>
            <w:shd w:val="clear" w:color="auto" w:fill="E7E6E6"/>
          </w:tcPr>
          <w:p w14:paraId="7FE1C240" w14:textId="77777777" w:rsidR="00B81226" w:rsidRDefault="00B82AC2">
            <w:pPr>
              <w:pStyle w:val="P68B1DB1-Normal49"/>
              <w:spacing w:before="120" w:after="120" w:line="276" w:lineRule="auto"/>
            </w:pPr>
            <w:r>
              <w:lastRenderedPageBreak/>
              <w:t>Sarakkeet</w:t>
            </w:r>
          </w:p>
        </w:tc>
        <w:tc>
          <w:tcPr>
            <w:tcW w:w="7938" w:type="dxa"/>
            <w:shd w:val="clear" w:color="auto" w:fill="E7E6E6"/>
          </w:tcPr>
          <w:p w14:paraId="7FE1C241" w14:textId="77777777" w:rsidR="00B81226" w:rsidRDefault="00B82AC2">
            <w:pPr>
              <w:pStyle w:val="P68B1DB1-Normal49"/>
              <w:spacing w:before="120" w:after="120" w:line="276" w:lineRule="auto"/>
            </w:pPr>
            <w:r>
              <w:t>Ohjeet</w:t>
            </w:r>
          </w:p>
        </w:tc>
      </w:tr>
      <w:tr w:rsidR="00B81226" w14:paraId="7FE1C247" w14:textId="77777777">
        <w:trPr>
          <w:trHeight w:val="450"/>
        </w:trPr>
        <w:tc>
          <w:tcPr>
            <w:tcW w:w="1129" w:type="dxa"/>
            <w:shd w:val="clear" w:color="auto" w:fill="FFFFFF" w:themeFill="background1"/>
          </w:tcPr>
          <w:p w14:paraId="7FE1C243" w14:textId="77777777" w:rsidR="00B81226" w:rsidRDefault="00B82AC2">
            <w:pPr>
              <w:pStyle w:val="P68B1DB1-Normal50"/>
              <w:spacing w:before="120" w:after="120" w:line="276" w:lineRule="auto"/>
            </w:pPr>
            <w:r>
              <w:t>0005</w:t>
            </w:r>
          </w:p>
        </w:tc>
        <w:tc>
          <w:tcPr>
            <w:tcW w:w="7938" w:type="dxa"/>
            <w:shd w:val="clear" w:color="auto" w:fill="FFFFFF" w:themeFill="background1"/>
          </w:tcPr>
          <w:p w14:paraId="7FE1C244" w14:textId="77777777" w:rsidR="00B81226" w:rsidRDefault="00B82AC2">
            <w:pPr>
              <w:pStyle w:val="P68B1DB1-Normal49"/>
              <w:spacing w:before="120" w:after="120" w:line="276" w:lineRule="auto"/>
              <w:rPr>
                <w:bCs/>
              </w:rPr>
            </w:pPr>
            <w:r>
              <w:t>(Service Identifier) Palvelun tunniste</w:t>
            </w:r>
          </w:p>
          <w:p w14:paraId="7FE1C245" w14:textId="77777777" w:rsidR="00B81226" w:rsidRDefault="00B82AC2">
            <w:pPr>
              <w:pStyle w:val="P68B1DB1-Normal50"/>
              <w:spacing w:before="120" w:after="120" w:line="276" w:lineRule="auto"/>
              <w:rPr>
                <w:iCs/>
              </w:rPr>
            </w:pPr>
            <w:r>
              <w:t>Palvelun tunniste viittaa sarakkeessa 0020 ilmoitettuun palveluun.</w:t>
            </w:r>
          </w:p>
          <w:p w14:paraId="7FE1C246" w14:textId="77777777" w:rsidR="00B81226" w:rsidRDefault="00B82AC2">
            <w:pPr>
              <w:pStyle w:val="P68B1DB1-Normal51"/>
              <w:spacing w:before="120" w:after="120" w:line="276" w:lineRule="auto"/>
            </w:pPr>
            <w:r>
              <w:t>Kuva tai vapaa teksti</w:t>
            </w:r>
          </w:p>
        </w:tc>
      </w:tr>
      <w:tr w:rsidR="00B81226" w14:paraId="7FE1C28C" w14:textId="77777777">
        <w:trPr>
          <w:trHeight w:val="463"/>
        </w:trPr>
        <w:tc>
          <w:tcPr>
            <w:tcW w:w="1129" w:type="dxa"/>
            <w:shd w:val="clear" w:color="auto" w:fill="FFFFFF" w:themeFill="background1"/>
          </w:tcPr>
          <w:p w14:paraId="7FE1C248" w14:textId="77777777" w:rsidR="00B81226" w:rsidRDefault="00B82AC2">
            <w:pPr>
              <w:pStyle w:val="P68B1DB1-Normal50"/>
              <w:spacing w:before="120" w:after="120" w:line="276" w:lineRule="auto"/>
            </w:pPr>
            <w:r>
              <w:t>0010</w:t>
            </w:r>
          </w:p>
        </w:tc>
        <w:tc>
          <w:tcPr>
            <w:tcW w:w="7938" w:type="dxa"/>
            <w:shd w:val="clear" w:color="auto" w:fill="FFFFFF" w:themeFill="background1"/>
          </w:tcPr>
          <w:p w14:paraId="7FE1C249" w14:textId="77777777" w:rsidR="00B81226" w:rsidRDefault="00B82AC2">
            <w:pPr>
              <w:pStyle w:val="P68B1DB1-Normal49"/>
              <w:autoSpaceDE w:val="0"/>
              <w:autoSpaceDN w:val="0"/>
              <w:adjustRightInd w:val="0"/>
              <w:rPr>
                <w:rFonts w:eastAsia="MS Mincho"/>
                <w:bCs/>
              </w:rPr>
            </w:pPr>
            <w:r>
              <w:t>Palvelutyyppi</w:t>
            </w:r>
          </w:p>
          <w:p w14:paraId="7FE1C24A" w14:textId="77777777" w:rsidR="00B81226" w:rsidRDefault="00B82AC2">
            <w:pPr>
              <w:pStyle w:val="P68B1DB1-Normal52"/>
              <w:autoSpaceDE w:val="0"/>
              <w:autoSpaceDN w:val="0"/>
              <w:adjustRightInd w:val="0"/>
            </w:pPr>
            <w:r>
              <w:t xml:space="preserve">Palvelutyypin on oltava jokin jäljempänä luetelluista palvelutyypeistä. </w:t>
            </w:r>
          </w:p>
          <w:p w14:paraId="7FE1C24B" w14:textId="77777777" w:rsidR="00B81226" w:rsidRDefault="00B82AC2">
            <w:pPr>
              <w:pStyle w:val="P68B1DB1-Normal50"/>
              <w:spacing w:before="120" w:after="120" w:line="276" w:lineRule="auto"/>
            </w:pPr>
            <w:r>
              <w:t xml:space="preserve">Jos mahdollista, alaluokka on ilmoitettava (kaksinumeroinen tunnus). Jos alaluokkaa ei ole tai mikään alaluokka ei kuvaa asianmukaisesti laitoksen tarjoamaa palvelua, ilmoitetaan pääluokka (yksinumeroinen tunnus). </w:t>
            </w:r>
          </w:p>
          <w:p w14:paraId="5B37DFFD" w14:textId="2C2BBAE4" w:rsidR="00B81226" w:rsidRDefault="00B82AC2">
            <w:pPr>
              <w:pStyle w:val="P68B1DB1-Normal52"/>
            </w:pPr>
            <w:r>
              <w:t xml:space="preserve">Henkilöstötuki </w:t>
            </w:r>
          </w:p>
          <w:p w14:paraId="7DD533D5" w14:textId="73E47A6F" w:rsidR="00B81226" w:rsidRDefault="00B82AC2">
            <w:pPr>
              <w:pStyle w:val="P68B1DB1-ListParagraph53"/>
              <w:numPr>
                <w:ilvl w:val="0"/>
                <w:numId w:val="288"/>
              </w:numPr>
              <w:autoSpaceDE w:val="0"/>
              <w:autoSpaceDN w:val="0"/>
              <w:adjustRightInd w:val="0"/>
              <w:ind w:left="1165"/>
            </w:pPr>
            <w:r>
              <w:t xml:space="preserve">Henkilöstöhallinto, kuten sopimus- ja palkanhallinta </w:t>
            </w:r>
          </w:p>
          <w:p w14:paraId="43AF548E" w14:textId="675245F6" w:rsidR="00B81226" w:rsidRDefault="00B82AC2">
            <w:pPr>
              <w:pStyle w:val="P68B1DB1-ListParagraph53"/>
              <w:numPr>
                <w:ilvl w:val="0"/>
                <w:numId w:val="288"/>
              </w:numPr>
              <w:autoSpaceDE w:val="0"/>
              <w:autoSpaceDN w:val="0"/>
              <w:adjustRightInd w:val="0"/>
              <w:ind w:left="1165"/>
            </w:pPr>
            <w:r>
              <w:t>Sisäinen viestintä</w:t>
            </w:r>
          </w:p>
          <w:p w14:paraId="7FE1C250" w14:textId="1F903A05" w:rsidR="00B81226" w:rsidRDefault="00B82AC2">
            <w:pPr>
              <w:pStyle w:val="P68B1DB1-ListParagraph53"/>
              <w:numPr>
                <w:ilvl w:val="0"/>
                <w:numId w:val="288"/>
              </w:numPr>
              <w:autoSpaceDE w:val="0"/>
              <w:autoSpaceDN w:val="0"/>
              <w:adjustRightInd w:val="0"/>
              <w:ind w:left="1165"/>
            </w:pPr>
            <w:r>
              <w:t>muu henkilöstötukipalvelun tyyppi</w:t>
            </w:r>
          </w:p>
          <w:p w14:paraId="7FE1C251" w14:textId="77777777" w:rsidR="00B81226" w:rsidRDefault="00B81226">
            <w:pPr>
              <w:autoSpaceDE w:val="0"/>
              <w:autoSpaceDN w:val="0"/>
              <w:adjustRightInd w:val="0"/>
              <w:ind w:left="708"/>
              <w:rPr>
                <w:rFonts w:ascii="Times New Roman" w:eastAsia="MS Mincho" w:hAnsi="Times New Roman" w:cs="Times New Roman"/>
                <w:sz w:val="20"/>
                <w:szCs w:val="20"/>
              </w:rPr>
            </w:pPr>
          </w:p>
          <w:p w14:paraId="7FE1C252" w14:textId="7A6979E5" w:rsidR="00B81226" w:rsidRDefault="00B82AC2">
            <w:pPr>
              <w:pStyle w:val="P68B1DB1-Normal52"/>
              <w:autoSpaceDE w:val="0"/>
              <w:autoSpaceDN w:val="0"/>
              <w:adjustRightInd w:val="0"/>
            </w:pPr>
            <w:r>
              <w:t xml:space="preserve"> Tietotekniikka </w:t>
            </w:r>
          </w:p>
          <w:p w14:paraId="7FE1C253" w14:textId="3B762F9E" w:rsidR="00B81226" w:rsidRDefault="00B82AC2">
            <w:pPr>
              <w:pStyle w:val="P68B1DB1-ListParagraph53"/>
              <w:numPr>
                <w:ilvl w:val="1"/>
                <w:numId w:val="290"/>
              </w:numPr>
              <w:autoSpaceDE w:val="0"/>
              <w:autoSpaceDN w:val="0"/>
              <w:adjustRightInd w:val="0"/>
              <w:ind w:left="1449"/>
            </w:pPr>
            <w:r>
              <w:t xml:space="preserve">Tieto- ja viestintätekninen laitteisto </w:t>
            </w:r>
          </w:p>
          <w:p w14:paraId="7FE1C254" w14:textId="400D89C1" w:rsidR="00B81226" w:rsidRDefault="00B82AC2">
            <w:pPr>
              <w:pStyle w:val="P68B1DB1-ListParagraph53"/>
              <w:numPr>
                <w:ilvl w:val="1"/>
                <w:numId w:val="290"/>
              </w:numPr>
              <w:autoSpaceDE w:val="0"/>
              <w:autoSpaceDN w:val="0"/>
              <w:adjustRightInd w:val="0"/>
              <w:ind w:left="1449"/>
            </w:pPr>
            <w:r>
              <w:t xml:space="preserve">Datan tallennus ja käsittely </w:t>
            </w:r>
          </w:p>
          <w:p w14:paraId="7FE1C255" w14:textId="626A8448" w:rsidR="00B81226" w:rsidRDefault="00B82AC2">
            <w:pPr>
              <w:pStyle w:val="P68B1DB1-ListParagraph53"/>
              <w:numPr>
                <w:ilvl w:val="1"/>
                <w:numId w:val="290"/>
              </w:numPr>
              <w:autoSpaceDE w:val="0"/>
              <w:autoSpaceDN w:val="0"/>
              <w:adjustRightInd w:val="0"/>
              <w:ind w:left="1449"/>
            </w:pPr>
            <w:r>
              <w:t xml:space="preserve">Muu tietotekninen infrastruktuuri, työasemat, tietoliikenne, palvelimet, datakeskukset ja niihin liittyvät palvelut </w:t>
            </w:r>
          </w:p>
          <w:p w14:paraId="7FE1C256" w14:textId="2B61AFD3" w:rsidR="00B81226" w:rsidRDefault="00B82AC2">
            <w:pPr>
              <w:pStyle w:val="P68B1DB1-ListParagraph53"/>
              <w:numPr>
                <w:ilvl w:val="1"/>
                <w:numId w:val="290"/>
              </w:numPr>
              <w:autoSpaceDE w:val="0"/>
              <w:autoSpaceDN w:val="0"/>
              <w:adjustRightInd w:val="0"/>
              <w:ind w:left="1449"/>
            </w:pPr>
            <w:r>
              <w:t xml:space="preserve">Ohjelmistolisenssien ja sovellusohjelmistojen hallinta </w:t>
            </w:r>
          </w:p>
          <w:p w14:paraId="7FE1C257" w14:textId="5DA2FA2E" w:rsidR="00B81226" w:rsidRDefault="00B82AC2">
            <w:pPr>
              <w:pStyle w:val="P68B1DB1-ListParagraph53"/>
              <w:numPr>
                <w:ilvl w:val="1"/>
                <w:numId w:val="290"/>
              </w:numPr>
              <w:autoSpaceDE w:val="0"/>
              <w:autoSpaceDN w:val="0"/>
              <w:adjustRightInd w:val="0"/>
              <w:ind w:left="1449"/>
            </w:pPr>
            <w:r>
              <w:t xml:space="preserve">Mahdollisuus käyttää ulkopuolisia palveluntarjoajia, etenkin data- ja infrastruktuuripalvelujen tarjoajia </w:t>
            </w:r>
          </w:p>
          <w:p w14:paraId="7FE1C258" w14:textId="5064B052" w:rsidR="00B81226" w:rsidRDefault="00B82AC2">
            <w:pPr>
              <w:pStyle w:val="P68B1DB1-ListParagraph53"/>
              <w:numPr>
                <w:ilvl w:val="1"/>
                <w:numId w:val="290"/>
              </w:numPr>
              <w:autoSpaceDE w:val="0"/>
              <w:autoSpaceDN w:val="0"/>
              <w:adjustRightInd w:val="0"/>
              <w:ind w:left="1449"/>
            </w:pPr>
            <w:r>
              <w:t xml:space="preserve">Sovellusten ylläpito, kuten ohjelmistosovellusten ylläpito ja niihin liittyvät datavuot </w:t>
            </w:r>
          </w:p>
          <w:p w14:paraId="7FE1C259" w14:textId="41CD0C0F" w:rsidR="00B81226" w:rsidRDefault="00B82AC2">
            <w:pPr>
              <w:pStyle w:val="P68B1DB1-ListParagraph53"/>
              <w:numPr>
                <w:ilvl w:val="1"/>
                <w:numId w:val="290"/>
              </w:numPr>
              <w:autoSpaceDE w:val="0"/>
              <w:autoSpaceDN w:val="0"/>
              <w:adjustRightInd w:val="0"/>
              <w:ind w:left="1449"/>
            </w:pPr>
            <w:r>
              <w:t xml:space="preserve">Raporttien tuottaminen, sisäinen tiedonkulku ja tietokannat </w:t>
            </w:r>
          </w:p>
          <w:p w14:paraId="7FE1C25A" w14:textId="72548638" w:rsidR="00B81226" w:rsidRDefault="00B82AC2">
            <w:pPr>
              <w:pStyle w:val="P68B1DB1-ListParagraph53"/>
              <w:numPr>
                <w:ilvl w:val="1"/>
                <w:numId w:val="290"/>
              </w:numPr>
              <w:autoSpaceDE w:val="0"/>
              <w:autoSpaceDN w:val="0"/>
              <w:adjustRightInd w:val="0"/>
              <w:ind w:left="1449"/>
            </w:pPr>
            <w:r>
              <w:t xml:space="preserve">Käyttäjätuki </w:t>
            </w:r>
          </w:p>
          <w:p w14:paraId="7FE1C25B" w14:textId="2FAE0C54" w:rsidR="00B81226" w:rsidRDefault="00B82AC2">
            <w:pPr>
              <w:pStyle w:val="P68B1DB1-ListParagraph53"/>
              <w:numPr>
                <w:ilvl w:val="1"/>
                <w:numId w:val="290"/>
              </w:numPr>
              <w:autoSpaceDE w:val="0"/>
              <w:autoSpaceDN w:val="0"/>
              <w:adjustRightInd w:val="0"/>
              <w:ind w:left="1449"/>
            </w:pPr>
            <w:r>
              <w:t>Hätätilanteesta ja vakavasta virhetilanteesta palautuminen</w:t>
            </w:r>
          </w:p>
          <w:p w14:paraId="7FE1C25C" w14:textId="431BC144" w:rsidR="00B81226" w:rsidRDefault="00B82AC2">
            <w:pPr>
              <w:pStyle w:val="P68B1DB1-ListParagraph53"/>
              <w:numPr>
                <w:ilvl w:val="1"/>
                <w:numId w:val="290"/>
              </w:numPr>
              <w:autoSpaceDE w:val="0"/>
              <w:autoSpaceDN w:val="0"/>
              <w:adjustRightInd w:val="0"/>
              <w:ind w:left="1449"/>
            </w:pPr>
            <w:r>
              <w:t>Muu tietotekninen palvelutoiminta</w:t>
            </w:r>
          </w:p>
          <w:p w14:paraId="7FE1C25D" w14:textId="77777777" w:rsidR="00B81226" w:rsidRDefault="00B81226">
            <w:pPr>
              <w:autoSpaceDE w:val="0"/>
              <w:autoSpaceDN w:val="0"/>
              <w:adjustRightInd w:val="0"/>
              <w:rPr>
                <w:rFonts w:ascii="Times New Roman" w:eastAsia="MS Mincho" w:hAnsi="Times New Roman" w:cs="Times New Roman"/>
                <w:sz w:val="20"/>
                <w:szCs w:val="20"/>
              </w:rPr>
            </w:pPr>
          </w:p>
          <w:p w14:paraId="7FE1C25E" w14:textId="1AD223E0" w:rsidR="00B81226" w:rsidRDefault="00B82AC2">
            <w:pPr>
              <w:pStyle w:val="P68B1DB1-Normal52"/>
              <w:autoSpaceDE w:val="0"/>
              <w:autoSpaceDN w:val="0"/>
              <w:adjustRightInd w:val="0"/>
            </w:pPr>
            <w:r>
              <w:t xml:space="preserve">Transaktioiden käsittely, kuten transaktioiden oikeudellisten kysymysten ja erityisesti rahanpesun torjuntaan liittyvien kysymysten käsittely </w:t>
            </w:r>
          </w:p>
          <w:p w14:paraId="7FE1C25F" w14:textId="77777777" w:rsidR="00B81226" w:rsidRDefault="00B81226">
            <w:pPr>
              <w:autoSpaceDE w:val="0"/>
              <w:autoSpaceDN w:val="0"/>
              <w:adjustRightInd w:val="0"/>
              <w:rPr>
                <w:rFonts w:ascii="Times New Roman" w:eastAsia="MS Mincho" w:hAnsi="Times New Roman" w:cs="Times New Roman"/>
                <w:sz w:val="20"/>
                <w:szCs w:val="20"/>
              </w:rPr>
            </w:pPr>
          </w:p>
          <w:p w14:paraId="7FE1C260" w14:textId="0AB6F782" w:rsidR="00B81226" w:rsidRDefault="00B82AC2">
            <w:pPr>
              <w:pStyle w:val="P68B1DB1-Normal52"/>
              <w:autoSpaceDE w:val="0"/>
              <w:autoSpaceDN w:val="0"/>
              <w:adjustRightInd w:val="0"/>
            </w:pPr>
            <w:bookmarkStart w:id="127" w:name="_Hlk191374143"/>
            <w:r>
              <w:t>Kiinteistöjen ja tilojen hankinta tai hallinta sekä niihin liittyvät toiminnot</w:t>
            </w:r>
            <w:bookmarkEnd w:id="127"/>
            <w:r>
              <w:t xml:space="preserve"> </w:t>
            </w:r>
          </w:p>
          <w:p w14:paraId="7FE1C261" w14:textId="62999FEF" w:rsidR="00B81226" w:rsidRDefault="00B82AC2">
            <w:pPr>
              <w:pStyle w:val="P68B1DB1-ListParagraph53"/>
              <w:numPr>
                <w:ilvl w:val="0"/>
                <w:numId w:val="291"/>
              </w:numPr>
              <w:autoSpaceDE w:val="0"/>
              <w:autoSpaceDN w:val="0"/>
              <w:adjustRightInd w:val="0"/>
            </w:pPr>
            <w:r>
              <w:t xml:space="preserve">Toimi- ja varastotilat </w:t>
            </w:r>
          </w:p>
          <w:p w14:paraId="7FE1C262" w14:textId="3A997023" w:rsidR="00B81226" w:rsidRDefault="00B82AC2">
            <w:pPr>
              <w:pStyle w:val="P68B1DB1-ListParagraph53"/>
              <w:numPr>
                <w:ilvl w:val="0"/>
                <w:numId w:val="291"/>
              </w:numPr>
              <w:autoSpaceDE w:val="0"/>
              <w:autoSpaceDN w:val="0"/>
              <w:adjustRightInd w:val="0"/>
            </w:pPr>
            <w:r>
              <w:t xml:space="preserve">Sisäinen tilanhallinta </w:t>
            </w:r>
          </w:p>
          <w:p w14:paraId="7FE1C263" w14:textId="2B6FC02A" w:rsidR="00B81226" w:rsidRDefault="00B82AC2">
            <w:pPr>
              <w:pStyle w:val="P68B1DB1-ListParagraph53"/>
              <w:numPr>
                <w:ilvl w:val="0"/>
                <w:numId w:val="291"/>
              </w:numPr>
              <w:autoSpaceDE w:val="0"/>
              <w:autoSpaceDN w:val="0"/>
              <w:adjustRightInd w:val="0"/>
            </w:pPr>
            <w:r>
              <w:t xml:space="preserve">Turva- ja kulunvalvonta </w:t>
            </w:r>
          </w:p>
          <w:p w14:paraId="7FE1C264" w14:textId="792BCFBD" w:rsidR="00B81226" w:rsidRDefault="00B82AC2">
            <w:pPr>
              <w:pStyle w:val="P68B1DB1-ListParagraph53"/>
              <w:numPr>
                <w:ilvl w:val="0"/>
                <w:numId w:val="291"/>
              </w:numPr>
              <w:autoSpaceDE w:val="0"/>
              <w:autoSpaceDN w:val="0"/>
              <w:adjustRightInd w:val="0"/>
            </w:pPr>
            <w:r>
              <w:t xml:space="preserve">Kiinteistösalkun hallinta </w:t>
            </w:r>
          </w:p>
          <w:p w14:paraId="7FE1C265" w14:textId="52ACD32B" w:rsidR="00B81226" w:rsidRDefault="00B82AC2">
            <w:pPr>
              <w:pStyle w:val="P68B1DB1-ListParagraph53"/>
              <w:numPr>
                <w:ilvl w:val="0"/>
                <w:numId w:val="291"/>
              </w:numPr>
              <w:autoSpaceDE w:val="0"/>
              <w:autoSpaceDN w:val="0"/>
              <w:adjustRightInd w:val="0"/>
            </w:pPr>
            <w:r>
              <w:t>muu kiinteistöjen ja tilojen hankinta tai hallinta sekä niihin liittyvät toiminnot</w:t>
            </w:r>
          </w:p>
          <w:p w14:paraId="7FE1C266" w14:textId="77777777" w:rsidR="00B81226" w:rsidRDefault="00B81226">
            <w:pPr>
              <w:autoSpaceDE w:val="0"/>
              <w:autoSpaceDN w:val="0"/>
              <w:adjustRightInd w:val="0"/>
              <w:rPr>
                <w:rFonts w:ascii="Times New Roman" w:eastAsia="MS Mincho" w:hAnsi="Times New Roman" w:cs="Times New Roman"/>
                <w:sz w:val="20"/>
                <w:szCs w:val="20"/>
              </w:rPr>
            </w:pPr>
          </w:p>
          <w:p w14:paraId="7FE1C267" w14:textId="4B2E0CD6" w:rsidR="00B81226" w:rsidRDefault="00B82AC2">
            <w:pPr>
              <w:pStyle w:val="P68B1DB1-Normal52"/>
              <w:autoSpaceDE w:val="0"/>
              <w:autoSpaceDN w:val="0"/>
              <w:adjustRightInd w:val="0"/>
            </w:pPr>
            <w:r>
              <w:t xml:space="preserve">Oikeudelliset palvelut ja säännösten noudattamisesta vastaavat toiminnot: </w:t>
            </w:r>
          </w:p>
          <w:p w14:paraId="7FE1C268" w14:textId="40AF3D04" w:rsidR="00B81226" w:rsidRDefault="00B82AC2">
            <w:pPr>
              <w:pStyle w:val="P68B1DB1-ListParagraph53"/>
              <w:numPr>
                <w:ilvl w:val="0"/>
                <w:numId w:val="292"/>
              </w:numPr>
              <w:autoSpaceDE w:val="0"/>
              <w:autoSpaceDN w:val="0"/>
              <w:adjustRightInd w:val="0"/>
            </w:pPr>
            <w:r>
              <w:t xml:space="preserve">Yritysten oikeudellinen tuki </w:t>
            </w:r>
          </w:p>
          <w:p w14:paraId="7FE1C269" w14:textId="1DC4A30A" w:rsidR="00B81226" w:rsidRDefault="00B82AC2">
            <w:pPr>
              <w:pStyle w:val="P68B1DB1-ListParagraph53"/>
              <w:numPr>
                <w:ilvl w:val="0"/>
                <w:numId w:val="292"/>
              </w:numPr>
              <w:autoSpaceDE w:val="0"/>
              <w:autoSpaceDN w:val="0"/>
              <w:adjustRightInd w:val="0"/>
            </w:pPr>
            <w:r>
              <w:t xml:space="preserve">Liiketoimintaa ja transaktioita koskevat oikeudelliset palvelut </w:t>
            </w:r>
          </w:p>
          <w:p w14:paraId="7FE1C26A" w14:textId="1BAF6F48" w:rsidR="00B81226" w:rsidRDefault="00B82AC2">
            <w:pPr>
              <w:pStyle w:val="P68B1DB1-ListParagraph53"/>
              <w:numPr>
                <w:ilvl w:val="0"/>
                <w:numId w:val="292"/>
              </w:numPr>
              <w:autoSpaceDE w:val="0"/>
              <w:autoSpaceDN w:val="0"/>
              <w:adjustRightInd w:val="0"/>
            </w:pPr>
            <w:r>
              <w:t xml:space="preserve">Säännösten noudattamiseksi tarjottava tuki </w:t>
            </w:r>
          </w:p>
          <w:p w14:paraId="7FE1C26B" w14:textId="344CDCEC" w:rsidR="00B81226" w:rsidRDefault="00B82AC2">
            <w:pPr>
              <w:pStyle w:val="P68B1DB1-ListParagraph53"/>
              <w:numPr>
                <w:ilvl w:val="0"/>
                <w:numId w:val="292"/>
              </w:numPr>
              <w:autoSpaceDE w:val="0"/>
              <w:autoSpaceDN w:val="0"/>
              <w:adjustRightInd w:val="0"/>
            </w:pPr>
            <w:r>
              <w:t>muut oikeudelliset palvelut ja säännösten noudattamista valvovan toiminnon palvelutyyppi</w:t>
            </w:r>
          </w:p>
          <w:p w14:paraId="7FE1C26C" w14:textId="77777777" w:rsidR="00B81226" w:rsidRDefault="00B81226">
            <w:pPr>
              <w:autoSpaceDE w:val="0"/>
              <w:autoSpaceDN w:val="0"/>
              <w:adjustRightInd w:val="0"/>
              <w:ind w:left="708"/>
              <w:rPr>
                <w:rFonts w:ascii="Times New Roman" w:eastAsia="MS Mincho" w:hAnsi="Times New Roman" w:cs="Times New Roman"/>
                <w:sz w:val="20"/>
                <w:szCs w:val="20"/>
              </w:rPr>
            </w:pPr>
          </w:p>
          <w:p w14:paraId="7FE1C26D" w14:textId="03C41351" w:rsidR="00B81226" w:rsidRDefault="00B82AC2">
            <w:pPr>
              <w:pStyle w:val="P68B1DB1-Normal52"/>
              <w:autoSpaceDE w:val="0"/>
              <w:autoSpaceDN w:val="0"/>
              <w:adjustRightInd w:val="0"/>
            </w:pPr>
            <w:r>
              <w:t xml:space="preserve">Varainhankintaan liittyvät palvelut (treasury) </w:t>
            </w:r>
          </w:p>
          <w:p w14:paraId="7FE1C26E" w14:textId="1425CC24" w:rsidR="00B81226" w:rsidRDefault="00B82AC2">
            <w:pPr>
              <w:pStyle w:val="P68B1DB1-ListParagraph53"/>
              <w:numPr>
                <w:ilvl w:val="0"/>
                <w:numId w:val="293"/>
              </w:numPr>
              <w:autoSpaceDE w:val="0"/>
              <w:autoSpaceDN w:val="0"/>
              <w:adjustRightInd w:val="0"/>
            </w:pPr>
            <w:r>
              <w:t xml:space="preserve">Treasury-toiminnan koordinointi, hallinto ja hallinta </w:t>
            </w:r>
          </w:p>
          <w:p w14:paraId="7FE1C26F" w14:textId="09154006" w:rsidR="00B81226" w:rsidRDefault="00B82AC2">
            <w:pPr>
              <w:pStyle w:val="P68B1DB1-ListParagraph53"/>
              <w:numPr>
                <w:ilvl w:val="0"/>
                <w:numId w:val="293"/>
              </w:numPr>
              <w:autoSpaceDE w:val="0"/>
              <w:autoSpaceDN w:val="0"/>
              <w:adjustRightInd w:val="0"/>
            </w:pPr>
            <w:r>
              <w:t xml:space="preserve">Yhteisöjen jälleenrahoituksen koordinointi, hallinto ja hallinta, mukaan lukien vakuuksien hallinta </w:t>
            </w:r>
          </w:p>
          <w:p w14:paraId="7FE1C270" w14:textId="0F45C979" w:rsidR="00B81226" w:rsidRDefault="00B82AC2">
            <w:pPr>
              <w:pStyle w:val="P68B1DB1-ListParagraph53"/>
              <w:numPr>
                <w:ilvl w:val="0"/>
                <w:numId w:val="293"/>
              </w:numPr>
              <w:autoSpaceDE w:val="0"/>
              <w:autoSpaceDN w:val="0"/>
              <w:adjustRightInd w:val="0"/>
            </w:pPr>
            <w:r>
              <w:lastRenderedPageBreak/>
              <w:t xml:space="preserve">Raportointitoiminto, erityisesti lakisääteisten maksuvalmiuden tunnuslukujen osalta </w:t>
            </w:r>
          </w:p>
          <w:p w14:paraId="7FE1C271" w14:textId="034EEFA4" w:rsidR="00B81226" w:rsidRDefault="00B82AC2">
            <w:pPr>
              <w:pStyle w:val="P68B1DB1-ListParagraph53"/>
              <w:numPr>
                <w:ilvl w:val="0"/>
                <w:numId w:val="293"/>
              </w:numPr>
              <w:autoSpaceDE w:val="0"/>
              <w:autoSpaceDN w:val="0"/>
              <w:adjustRightInd w:val="0"/>
            </w:pPr>
            <w:r>
              <w:t xml:space="preserve">Keskipitkän ja pitkän aikavälin varainhankintaohjelmien koordinointi, hallinto ja hallinta sekä konserniyhteisöjen jälleenrahoitus </w:t>
            </w:r>
          </w:p>
          <w:p w14:paraId="7FE1C272" w14:textId="064C2167" w:rsidR="00B81226" w:rsidRDefault="00B82AC2">
            <w:pPr>
              <w:pStyle w:val="P68B1DB1-ListParagraph53"/>
              <w:numPr>
                <w:ilvl w:val="0"/>
                <w:numId w:val="293"/>
              </w:numPr>
              <w:autoSpaceDE w:val="0"/>
              <w:autoSpaceDN w:val="0"/>
              <w:adjustRightInd w:val="0"/>
            </w:pPr>
            <w:r>
              <w:t>Jälleenrahoituksen koordinointi, hallinto ja hallinta varsinkin lyhyen aikavälin kysymyksissä</w:t>
            </w:r>
          </w:p>
          <w:p w14:paraId="7FE1C273" w14:textId="31AA1016" w:rsidR="00B81226" w:rsidRDefault="00B82AC2">
            <w:pPr>
              <w:pStyle w:val="P68B1DB1-ListParagraph53"/>
              <w:numPr>
                <w:ilvl w:val="0"/>
                <w:numId w:val="293"/>
              </w:numPr>
              <w:autoSpaceDE w:val="0"/>
              <w:autoSpaceDN w:val="0"/>
              <w:adjustRightInd w:val="0"/>
            </w:pPr>
            <w:r>
              <w:t>muu kassaan liittyvä palvelutyyppi</w:t>
            </w:r>
          </w:p>
          <w:p w14:paraId="7FE1C274" w14:textId="77777777" w:rsidR="00B81226" w:rsidRDefault="00B81226">
            <w:pPr>
              <w:autoSpaceDE w:val="0"/>
              <w:autoSpaceDN w:val="0"/>
              <w:adjustRightInd w:val="0"/>
              <w:rPr>
                <w:rFonts w:ascii="Times New Roman" w:eastAsia="MS Mincho" w:hAnsi="Times New Roman" w:cs="Times New Roman"/>
                <w:sz w:val="20"/>
                <w:szCs w:val="20"/>
              </w:rPr>
            </w:pPr>
          </w:p>
          <w:p w14:paraId="7FE1C275" w14:textId="6437F825" w:rsidR="00B81226" w:rsidRDefault="00B82AC2">
            <w:pPr>
              <w:pStyle w:val="P68B1DB1-Normal52"/>
              <w:autoSpaceDE w:val="0"/>
              <w:autoSpaceDN w:val="0"/>
              <w:adjustRightInd w:val="0"/>
            </w:pPr>
            <w:r>
              <w:t xml:space="preserve">Kaupankäynnin tai omaisuuden hoito </w:t>
            </w:r>
          </w:p>
          <w:p w14:paraId="7FE1C276" w14:textId="52377E11" w:rsidR="00B81226" w:rsidRDefault="00B82AC2">
            <w:pPr>
              <w:pStyle w:val="P68B1DB1-ListParagraph53"/>
              <w:numPr>
                <w:ilvl w:val="0"/>
                <w:numId w:val="294"/>
              </w:numPr>
              <w:autoSpaceDE w:val="0"/>
              <w:autoSpaceDN w:val="0"/>
              <w:adjustRightInd w:val="0"/>
            </w:pPr>
            <w:r>
              <w:t xml:space="preserve">Operaatioiden käsittely: kaupan syöttäminen järjestelmään (trade capture), suunnittelu ja toteutus, kaupankäyntituotteiden hoito </w:t>
            </w:r>
          </w:p>
          <w:p w14:paraId="7FE1C277" w14:textId="35EC336F" w:rsidR="00B81226" w:rsidRDefault="00B82AC2">
            <w:pPr>
              <w:pStyle w:val="P68B1DB1-ListParagraph53"/>
              <w:numPr>
                <w:ilvl w:val="0"/>
                <w:numId w:val="294"/>
              </w:numPr>
              <w:autoSpaceDE w:val="0"/>
              <w:autoSpaceDN w:val="0"/>
              <w:adjustRightInd w:val="0"/>
            </w:pPr>
            <w:r>
              <w:t xml:space="preserve">Vahvistaminen, toimitus, maksaminen </w:t>
            </w:r>
          </w:p>
          <w:p w14:paraId="7FE1C278" w14:textId="417DFA52" w:rsidR="00B81226" w:rsidRDefault="00B82AC2">
            <w:pPr>
              <w:pStyle w:val="P68B1DB1-ListParagraph53"/>
              <w:numPr>
                <w:ilvl w:val="0"/>
                <w:numId w:val="294"/>
              </w:numPr>
              <w:autoSpaceDE w:val="0"/>
              <w:autoSpaceDN w:val="0"/>
              <w:adjustRightInd w:val="0"/>
            </w:pPr>
            <w:r>
              <w:t xml:space="preserve">Positioiden ja vastapuolten hallinta kysymyksissä, jotka koskevat tiedon raportointia ja suhteita vastapuoliin </w:t>
            </w:r>
          </w:p>
          <w:p w14:paraId="7FE1C279" w14:textId="18F90331" w:rsidR="00B81226" w:rsidRDefault="00B82AC2">
            <w:pPr>
              <w:pStyle w:val="P68B1DB1-ListParagraph53"/>
              <w:numPr>
                <w:ilvl w:val="0"/>
                <w:numId w:val="294"/>
              </w:numPr>
              <w:autoSpaceDE w:val="0"/>
              <w:autoSpaceDN w:val="0"/>
              <w:adjustRightInd w:val="0"/>
            </w:pPr>
            <w:r>
              <w:t xml:space="preserve">Positionhallinta (riskit ja täsmäytys) </w:t>
            </w:r>
          </w:p>
          <w:p w14:paraId="7FE1C27A" w14:textId="23FC3BC1" w:rsidR="00B81226" w:rsidRDefault="00B82AC2">
            <w:pPr>
              <w:pStyle w:val="P68B1DB1-ListParagraph53"/>
              <w:numPr>
                <w:ilvl w:val="0"/>
                <w:numId w:val="294"/>
              </w:numPr>
              <w:autoSpaceDE w:val="0"/>
              <w:autoSpaceDN w:val="0"/>
              <w:adjustRightInd w:val="0"/>
            </w:pPr>
            <w:r>
              <w:t>muu kaupankäyntipalvelun/omaisuudenhoitopalvelun tyyppi</w:t>
            </w:r>
          </w:p>
          <w:p w14:paraId="7FE1C27B" w14:textId="77777777" w:rsidR="00B81226" w:rsidRDefault="00B81226">
            <w:pPr>
              <w:autoSpaceDE w:val="0"/>
              <w:autoSpaceDN w:val="0"/>
              <w:adjustRightInd w:val="0"/>
              <w:ind w:left="708"/>
              <w:rPr>
                <w:rFonts w:ascii="Times New Roman" w:eastAsia="MS Mincho" w:hAnsi="Times New Roman" w:cs="Times New Roman"/>
                <w:sz w:val="20"/>
                <w:szCs w:val="20"/>
              </w:rPr>
            </w:pPr>
          </w:p>
          <w:p w14:paraId="7FE1C27C" w14:textId="1E8D237F" w:rsidR="00B81226" w:rsidRDefault="00B82AC2">
            <w:pPr>
              <w:pStyle w:val="P68B1DB1-Normal52"/>
              <w:autoSpaceDE w:val="0"/>
              <w:autoSpaceDN w:val="0"/>
              <w:adjustRightInd w:val="0"/>
            </w:pPr>
            <w:r>
              <w:t xml:space="preserve">Riskien hallinta ja arviointi </w:t>
            </w:r>
          </w:p>
          <w:p w14:paraId="7FE1C27D" w14:textId="27978472" w:rsidR="00B81226" w:rsidRDefault="00B82AC2">
            <w:pPr>
              <w:pStyle w:val="P68B1DB1-ListParagraph53"/>
              <w:numPr>
                <w:ilvl w:val="0"/>
                <w:numId w:val="295"/>
              </w:numPr>
              <w:autoSpaceDE w:val="0"/>
              <w:autoSpaceDN w:val="0"/>
              <w:adjustRightInd w:val="0"/>
            </w:pPr>
            <w:r>
              <w:t>Keskitetty tai liiketoiminnan osa-aluekohtainen tai riskityypin mukainen riskienhallinta</w:t>
            </w:r>
          </w:p>
          <w:p w14:paraId="7FE1C27E" w14:textId="7AC0E3ED" w:rsidR="00B81226" w:rsidRDefault="00B82AC2">
            <w:pPr>
              <w:pStyle w:val="P68B1DB1-ListParagraph53"/>
              <w:numPr>
                <w:ilvl w:val="0"/>
                <w:numId w:val="295"/>
              </w:numPr>
              <w:autoSpaceDE w:val="0"/>
              <w:autoSpaceDN w:val="0"/>
              <w:adjustRightInd w:val="0"/>
            </w:pPr>
            <w:r>
              <w:t xml:space="preserve">Riskiraporttien tuottaminen </w:t>
            </w:r>
          </w:p>
          <w:p w14:paraId="7FE1C27F" w14:textId="54F4E51F" w:rsidR="00B81226" w:rsidRDefault="00B82AC2">
            <w:pPr>
              <w:pStyle w:val="P68B1DB1-ListParagraph53"/>
              <w:numPr>
                <w:ilvl w:val="0"/>
                <w:numId w:val="295"/>
              </w:numPr>
              <w:autoSpaceDE w:val="0"/>
              <w:autoSpaceDN w:val="0"/>
              <w:adjustRightInd w:val="0"/>
            </w:pPr>
            <w:r>
              <w:t>muu riskienhallinta- ja arvonmäärityspalvelun tyyppi</w:t>
            </w:r>
          </w:p>
          <w:p w14:paraId="7FE1C280" w14:textId="77777777" w:rsidR="00B81226" w:rsidRDefault="00B81226">
            <w:pPr>
              <w:autoSpaceDE w:val="0"/>
              <w:autoSpaceDN w:val="0"/>
              <w:adjustRightInd w:val="0"/>
              <w:rPr>
                <w:rFonts w:ascii="Times New Roman" w:eastAsia="MS Mincho" w:hAnsi="Times New Roman" w:cs="Times New Roman"/>
                <w:sz w:val="20"/>
                <w:szCs w:val="20"/>
              </w:rPr>
            </w:pPr>
          </w:p>
          <w:p w14:paraId="7FE1C281" w14:textId="5206B100" w:rsidR="00B81226" w:rsidRDefault="00B82AC2">
            <w:pPr>
              <w:pStyle w:val="P68B1DB1-Normal52"/>
              <w:autoSpaceDE w:val="0"/>
              <w:autoSpaceDN w:val="0"/>
              <w:adjustRightInd w:val="0"/>
            </w:pPr>
            <w:r>
              <w:t xml:space="preserve">Kirjanpito </w:t>
            </w:r>
          </w:p>
          <w:p w14:paraId="7FE1C282" w14:textId="65C12590" w:rsidR="00B81226" w:rsidRDefault="00B82AC2">
            <w:pPr>
              <w:pStyle w:val="P68B1DB1-ListParagraph53"/>
              <w:numPr>
                <w:ilvl w:val="0"/>
                <w:numId w:val="296"/>
              </w:numPr>
              <w:autoSpaceDE w:val="0"/>
              <w:autoSpaceDN w:val="0"/>
              <w:adjustRightInd w:val="0"/>
            </w:pPr>
            <w:r>
              <w:t xml:space="preserve">Sääntömääräinen ja lakisääteinen raportointi </w:t>
            </w:r>
          </w:p>
          <w:p w14:paraId="7FE1C283" w14:textId="3DCAF9FA" w:rsidR="00B81226" w:rsidRDefault="00B82AC2">
            <w:pPr>
              <w:pStyle w:val="P68B1DB1-ListParagraph53"/>
              <w:numPr>
                <w:ilvl w:val="0"/>
                <w:numId w:val="296"/>
              </w:numPr>
              <w:autoSpaceDE w:val="0"/>
              <w:autoSpaceDN w:val="0"/>
              <w:adjustRightInd w:val="0"/>
            </w:pPr>
            <w:r>
              <w:t xml:space="preserve">Arviointi, varsinkin markkina-aseman arviointi </w:t>
            </w:r>
          </w:p>
          <w:p w14:paraId="7FE1C284" w14:textId="2EE4BE8B" w:rsidR="00B81226" w:rsidRDefault="00B82AC2">
            <w:pPr>
              <w:pStyle w:val="P68B1DB1-ListParagraph53"/>
              <w:numPr>
                <w:ilvl w:val="0"/>
                <w:numId w:val="296"/>
              </w:numPr>
              <w:autoSpaceDE w:val="0"/>
              <w:autoSpaceDN w:val="0"/>
              <w:adjustRightInd w:val="0"/>
            </w:pPr>
            <w:r>
              <w:t xml:space="preserve">Johdon raportointi </w:t>
            </w:r>
          </w:p>
          <w:p w14:paraId="7FE1C285" w14:textId="186EA25B" w:rsidR="00B81226" w:rsidRDefault="00B82AC2">
            <w:pPr>
              <w:pStyle w:val="P68B1DB1-ListParagraph53"/>
              <w:numPr>
                <w:ilvl w:val="0"/>
                <w:numId w:val="296"/>
              </w:numPr>
              <w:autoSpaceDE w:val="0"/>
              <w:autoSpaceDN w:val="0"/>
              <w:adjustRightInd w:val="0"/>
            </w:pPr>
            <w:r>
              <w:t>muu kirjanpitopalvelun tyyppi</w:t>
            </w:r>
          </w:p>
          <w:p w14:paraId="7FE1C286" w14:textId="77777777" w:rsidR="00B81226" w:rsidRDefault="00B81226">
            <w:pPr>
              <w:autoSpaceDE w:val="0"/>
              <w:autoSpaceDN w:val="0"/>
              <w:adjustRightInd w:val="0"/>
              <w:ind w:left="708"/>
              <w:rPr>
                <w:rFonts w:ascii="Times New Roman" w:eastAsia="MS Mincho" w:hAnsi="Times New Roman" w:cs="Times New Roman"/>
                <w:sz w:val="20"/>
                <w:szCs w:val="20"/>
              </w:rPr>
            </w:pPr>
          </w:p>
          <w:p w14:paraId="7FE1C287" w14:textId="675737F3" w:rsidR="00B81226" w:rsidRDefault="00B82AC2">
            <w:pPr>
              <w:pStyle w:val="P68B1DB1-Normal54"/>
              <w:autoSpaceDE w:val="0"/>
              <w:autoSpaceDN w:val="0"/>
              <w:adjustRightInd w:val="0"/>
              <w:rPr>
                <w:sz w:val="24"/>
              </w:rPr>
            </w:pPr>
            <w:r>
              <w:rPr>
                <w:sz w:val="20"/>
              </w:rPr>
              <w:t>Käteisen rahan käsittely</w:t>
            </w:r>
            <w:r>
              <w:rPr>
                <w:sz w:val="24"/>
              </w:rPr>
              <w:t xml:space="preserve"> </w:t>
            </w:r>
          </w:p>
          <w:p w14:paraId="7FE1C288" w14:textId="77777777" w:rsidR="00B81226" w:rsidRDefault="00B81226">
            <w:pPr>
              <w:autoSpaceDE w:val="0"/>
              <w:autoSpaceDN w:val="0"/>
              <w:adjustRightInd w:val="0"/>
              <w:rPr>
                <w:rFonts w:ascii="Times New Roman" w:eastAsia="MS Mincho" w:hAnsi="Times New Roman" w:cs="Times New Roman"/>
                <w:sz w:val="24"/>
                <w:szCs w:val="20"/>
              </w:rPr>
            </w:pPr>
          </w:p>
          <w:p w14:paraId="7FE1C289" w14:textId="180A5CA4" w:rsidR="00B81226" w:rsidRDefault="00B82AC2">
            <w:pPr>
              <w:pStyle w:val="P68B1DB1-Normal52"/>
              <w:autoSpaceDE w:val="0"/>
              <w:autoSpaceDN w:val="0"/>
              <w:adjustRightInd w:val="0"/>
            </w:pPr>
            <w:r>
              <w:t>Muu palvelutyyppi</w:t>
            </w:r>
          </w:p>
          <w:p w14:paraId="7FE1C28B" w14:textId="56625F93" w:rsidR="00B81226" w:rsidRDefault="00B81226">
            <w:pPr>
              <w:spacing w:line="276" w:lineRule="auto"/>
              <w:jc w:val="both"/>
              <w:rPr>
                <w:rFonts w:ascii="Times New Roman" w:eastAsia="Calibri" w:hAnsi="Times New Roman" w:cs="Times New Roman"/>
                <w:b/>
                <w:i/>
                <w:sz w:val="20"/>
                <w:szCs w:val="20"/>
              </w:rPr>
            </w:pPr>
          </w:p>
        </w:tc>
      </w:tr>
      <w:tr w:rsidR="00B81226" w14:paraId="7FE1C292" w14:textId="77777777">
        <w:trPr>
          <w:trHeight w:val="463"/>
        </w:trPr>
        <w:tc>
          <w:tcPr>
            <w:tcW w:w="1129" w:type="dxa"/>
            <w:shd w:val="clear" w:color="auto" w:fill="FFFFFF" w:themeFill="background1"/>
          </w:tcPr>
          <w:p w14:paraId="7FE1C28D" w14:textId="77777777" w:rsidR="00B81226" w:rsidRDefault="00B82AC2">
            <w:pPr>
              <w:pStyle w:val="P68B1DB1-Normal50"/>
              <w:spacing w:before="120" w:after="120" w:line="276" w:lineRule="auto"/>
            </w:pPr>
            <w:r>
              <w:lastRenderedPageBreak/>
              <w:t>0020</w:t>
            </w:r>
          </w:p>
        </w:tc>
        <w:tc>
          <w:tcPr>
            <w:tcW w:w="7938" w:type="dxa"/>
            <w:shd w:val="clear" w:color="auto" w:fill="FFFFFF" w:themeFill="background1"/>
          </w:tcPr>
          <w:p w14:paraId="7FE1C28E" w14:textId="77777777" w:rsidR="00B81226" w:rsidRDefault="00B82AC2">
            <w:pPr>
              <w:pStyle w:val="P68B1DB1-Normal49"/>
              <w:spacing w:line="276" w:lineRule="auto"/>
              <w:jc w:val="both"/>
              <w:rPr>
                <w:bCs/>
              </w:rPr>
            </w:pPr>
            <w:r>
              <w:t>Pankkitaksonomian mukainen yksilöllinen palvelunimike</w:t>
            </w:r>
          </w:p>
          <w:p w14:paraId="1C0060B3" w14:textId="77777777" w:rsidR="00B81226" w:rsidRDefault="00B82AC2">
            <w:pPr>
              <w:rPr>
                <w:rFonts w:ascii="Times New Roman" w:eastAsiaTheme="minorHAnsi" w:hAnsi="Times New Roman" w:cs="Times New Roman"/>
                <w:sz w:val="24"/>
              </w:rPr>
            </w:pPr>
            <w:r>
              <w:rPr>
                <w:rFonts w:ascii="Times New Roman" w:eastAsia="Calibri" w:hAnsi="Times New Roman" w:cs="Times New Roman"/>
                <w:sz w:val="20"/>
              </w:rPr>
              <w:t>Palvelun nimi/lyhyt kuvaus pankin oman porrastetun luokitusjärjestelmän mukaisesti (taso 3), jossa palvelut ja niiden osajoukot luokitellaan hierarkkisesti. Esimerkiksi palveluluokitusjärjestelmä, jossa palvelut luokitellaan kolmella hierarkkisella tasolla, joilla palveluryhmä on ylimmällä tasolla (L1: Rahoituspalvelut), joissa palvelut ovat edustettuina tasolla 2 (L2: valtionkassa, rahoitusanalyysi, verotus, sijoittajasuhteet jne.) ja alapalvelut tasolla 3 (L3 – valtionkassan sisällä: maksuvalmiuden hallin</w:t>
            </w:r>
            <w:r>
              <w:rPr>
                <w:rFonts w:ascii="Times New Roman" w:eastAsia="Calibri" w:hAnsi="Times New Roman" w:cs="Times New Roman"/>
                <w:sz w:val="20"/>
              </w:rPr>
              <w:t>ta, varojen ja velkojen hallinta, vakuuksien hallinta jne.). Pankin odotetaan ilmoittavan palvelut yksityiskohtaisemmalla tasolla kuin tason 2 raportointi (c0010) siten, että kukin palvelu määritellään täsmällisesti ja kohdennetusti.</w:t>
            </w:r>
            <w:r>
              <w:rPr>
                <w:rFonts w:ascii="Times New Roman" w:eastAsiaTheme="minorHAnsi" w:hAnsi="Times New Roman" w:cs="Times New Roman"/>
                <w:sz w:val="24"/>
              </w:rPr>
              <w:t xml:space="preserve"> </w:t>
            </w:r>
          </w:p>
          <w:p w14:paraId="7FE1C290" w14:textId="77777777" w:rsidR="00B81226" w:rsidRDefault="00B81226">
            <w:pPr>
              <w:spacing w:line="276" w:lineRule="auto"/>
              <w:jc w:val="both"/>
              <w:rPr>
                <w:rFonts w:ascii="Times New Roman" w:eastAsia="Calibri" w:hAnsi="Times New Roman" w:cs="Times New Roman"/>
                <w:sz w:val="20"/>
              </w:rPr>
            </w:pPr>
          </w:p>
          <w:p w14:paraId="7FE1C291" w14:textId="77777777" w:rsidR="00B81226" w:rsidRDefault="00B81226">
            <w:pPr>
              <w:spacing w:line="276" w:lineRule="auto"/>
              <w:jc w:val="both"/>
              <w:rPr>
                <w:rFonts w:ascii="Times New Roman" w:eastAsia="Calibri" w:hAnsi="Times New Roman" w:cs="Times New Roman"/>
                <w:i/>
                <w:sz w:val="20"/>
              </w:rPr>
            </w:pPr>
          </w:p>
        </w:tc>
      </w:tr>
      <w:tr w:rsidR="00B81226" w14:paraId="7FE1C298" w14:textId="77777777">
        <w:trPr>
          <w:trHeight w:val="463"/>
        </w:trPr>
        <w:tc>
          <w:tcPr>
            <w:tcW w:w="1129" w:type="dxa"/>
            <w:shd w:val="clear" w:color="auto" w:fill="FFFFFF" w:themeFill="background1"/>
          </w:tcPr>
          <w:p w14:paraId="7FE1C293" w14:textId="77777777" w:rsidR="00B81226" w:rsidRDefault="00B82AC2">
            <w:pPr>
              <w:pStyle w:val="P68B1DB1-Normal50"/>
              <w:spacing w:before="120" w:after="120" w:line="276" w:lineRule="auto"/>
            </w:pPr>
            <w:r>
              <w:t>0030–0040</w:t>
            </w:r>
          </w:p>
          <w:p w14:paraId="7FE1C294" w14:textId="77777777" w:rsidR="00B81226" w:rsidRDefault="00B81226">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5" w14:textId="77777777" w:rsidR="00B81226" w:rsidRDefault="00B82AC2">
            <w:pPr>
              <w:pStyle w:val="P68B1DB1-Normal49"/>
              <w:spacing w:line="276" w:lineRule="auto"/>
              <w:jc w:val="both"/>
              <w:rPr>
                <w:bCs/>
              </w:rPr>
            </w:pPr>
            <w:r>
              <w:t>Palvelun vastaanottaja</w:t>
            </w:r>
          </w:p>
          <w:p w14:paraId="7FE1C296" w14:textId="6BB16960" w:rsidR="00B81226" w:rsidRDefault="00B82AC2">
            <w:pPr>
              <w:pStyle w:val="P68B1DB1-Normal45"/>
              <w:spacing w:line="276" w:lineRule="auto"/>
              <w:jc w:val="both"/>
            </w:pPr>
            <w:r>
              <w:t>Konserniyhteisö, joka vastaanottaa sarakkeessa 0010 ilmoitetun palvelun toiselta konserniyhteisöltä tai sarakkeissa 0050–0110 ilmoitetulta ulkoiselta palveluntarjoajalta.</w:t>
            </w:r>
          </w:p>
          <w:p w14:paraId="7FE1C297" w14:textId="77777777" w:rsidR="00B81226" w:rsidRDefault="00B81226">
            <w:pPr>
              <w:spacing w:line="276" w:lineRule="auto"/>
              <w:jc w:val="both"/>
              <w:rPr>
                <w:rFonts w:ascii="Times New Roman" w:eastAsia="Calibri" w:hAnsi="Times New Roman" w:cs="Times New Roman"/>
                <w:sz w:val="20"/>
              </w:rPr>
            </w:pPr>
          </w:p>
        </w:tc>
      </w:tr>
      <w:tr w:rsidR="00B81226" w14:paraId="7FE1C29F" w14:textId="77777777">
        <w:trPr>
          <w:trHeight w:val="463"/>
        </w:trPr>
        <w:tc>
          <w:tcPr>
            <w:tcW w:w="1129" w:type="dxa"/>
            <w:shd w:val="clear" w:color="auto" w:fill="FFFFFF" w:themeFill="background1"/>
          </w:tcPr>
          <w:p w14:paraId="7FE1C299" w14:textId="77777777" w:rsidR="00B81226" w:rsidRDefault="00B82AC2">
            <w:pPr>
              <w:pStyle w:val="P68B1DB1-Normal50"/>
              <w:spacing w:before="120" w:after="120" w:line="276" w:lineRule="auto"/>
            </w:pPr>
            <w:r>
              <w:t>0030</w:t>
            </w:r>
          </w:p>
          <w:p w14:paraId="7FE1C29A" w14:textId="77777777" w:rsidR="00B81226" w:rsidRDefault="00B81226">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B" w14:textId="10247858" w:rsidR="00B81226" w:rsidRDefault="00B82AC2">
            <w:pPr>
              <w:pStyle w:val="P68B1DB1-Normal49"/>
              <w:spacing w:before="120" w:after="120" w:line="276" w:lineRule="auto"/>
              <w:rPr>
                <w:bCs/>
              </w:rPr>
            </w:pPr>
            <w:r>
              <w:t>Nimi</w:t>
            </w:r>
          </w:p>
          <w:p w14:paraId="7FE1C29C" w14:textId="5429A4DF" w:rsidR="00B81226" w:rsidRDefault="00B82AC2">
            <w:pPr>
              <w:pStyle w:val="P68B1DB1-Normal45"/>
              <w:spacing w:line="276" w:lineRule="auto"/>
              <w:jc w:val="both"/>
            </w:pPr>
            <w:r>
              <w:lastRenderedPageBreak/>
              <w:t>Sen on oltava eri kuin sarakkeessa 0050 mainittu nimi, paitsi jos palvelu on yhteisön sisäinen. Tässä tapauksessa palvelun vastaanottajan nimen ja palveluntarjoajan yhteisön nimen odotetaan vastaavan toisiaan.</w:t>
            </w:r>
          </w:p>
          <w:p w14:paraId="7FE1C29D" w14:textId="77777777" w:rsidR="00B81226" w:rsidRDefault="00B81226">
            <w:pPr>
              <w:spacing w:line="276" w:lineRule="auto"/>
              <w:jc w:val="both"/>
              <w:rPr>
                <w:rFonts w:ascii="Times New Roman" w:eastAsia="Calibri" w:hAnsi="Times New Roman" w:cs="Times New Roman"/>
                <w:sz w:val="20"/>
              </w:rPr>
            </w:pPr>
          </w:p>
          <w:p w14:paraId="7FE1C29E" w14:textId="77777777" w:rsidR="00B81226" w:rsidRDefault="00B81226">
            <w:pPr>
              <w:spacing w:line="276" w:lineRule="auto"/>
              <w:jc w:val="both"/>
              <w:rPr>
                <w:rFonts w:ascii="Times New Roman" w:eastAsia="Calibri" w:hAnsi="Times New Roman" w:cs="Times New Roman"/>
                <w:b/>
                <w:sz w:val="20"/>
              </w:rPr>
            </w:pPr>
          </w:p>
        </w:tc>
      </w:tr>
      <w:tr w:rsidR="00B81226" w14:paraId="7FE1C2A6" w14:textId="77777777">
        <w:trPr>
          <w:trHeight w:val="463"/>
        </w:trPr>
        <w:tc>
          <w:tcPr>
            <w:tcW w:w="1129" w:type="dxa"/>
            <w:shd w:val="clear" w:color="auto" w:fill="FFFFFF" w:themeFill="background1"/>
          </w:tcPr>
          <w:p w14:paraId="7FE1C2A0" w14:textId="77777777" w:rsidR="00B81226" w:rsidRDefault="00B82AC2">
            <w:pPr>
              <w:pStyle w:val="P68B1DB1-Normal50"/>
              <w:spacing w:before="120" w:after="120" w:line="276" w:lineRule="auto"/>
            </w:pPr>
            <w:r>
              <w:lastRenderedPageBreak/>
              <w:t>0040</w:t>
            </w:r>
          </w:p>
          <w:p w14:paraId="7FE1C2A1" w14:textId="77777777" w:rsidR="00B81226" w:rsidRDefault="00B81226">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A2" w14:textId="77777777" w:rsidR="00B81226" w:rsidRDefault="00B82AC2">
            <w:pPr>
              <w:pStyle w:val="P68B1DB1-Normal49"/>
              <w:spacing w:before="120" w:after="120" w:line="276" w:lineRule="auto"/>
              <w:rPr>
                <w:bCs/>
              </w:rPr>
            </w:pPr>
            <w:r>
              <w:t>Koodi</w:t>
            </w:r>
          </w:p>
          <w:p w14:paraId="7FE1C2A3" w14:textId="77777777" w:rsidR="00B81226" w:rsidRDefault="00B82AC2">
            <w:pPr>
              <w:pStyle w:val="P68B1DB1-Normal45"/>
              <w:spacing w:line="276" w:lineRule="auto"/>
              <w:jc w:val="both"/>
            </w:pPr>
            <w:r>
              <w:t>Sarakkeessa 0030 ilmoitetun oikeushenkilön yksilöllinen tunnus, joka on ilmoitettu lomakkeessa Z 01.01 (ORG).</w:t>
            </w:r>
          </w:p>
          <w:p w14:paraId="7FE1C2A4" w14:textId="77777777" w:rsidR="00B81226" w:rsidRDefault="00B82AC2">
            <w:pPr>
              <w:pStyle w:val="P68B1DB1-Normal45"/>
              <w:spacing w:line="276" w:lineRule="auto"/>
              <w:jc w:val="both"/>
            </w:pPr>
            <w:r>
              <w:t>Sen on oltava eri kuin sarakkeessa 0060 ilmoitettu tunniste, paitsi jos palvelu on yhteisön sisäinen. Tässä tapauksessa palvelun vastaanottajan koodin ja palveluntarjoajan koodin odotetaan vastaavan toisiaan.</w:t>
            </w:r>
          </w:p>
          <w:p w14:paraId="7FE1C2A5" w14:textId="77777777" w:rsidR="00B81226" w:rsidRDefault="00B81226">
            <w:pPr>
              <w:spacing w:line="276" w:lineRule="auto"/>
              <w:jc w:val="both"/>
              <w:rPr>
                <w:rFonts w:ascii="Times New Roman" w:eastAsia="Calibri" w:hAnsi="Times New Roman" w:cs="Times New Roman"/>
                <w:b/>
                <w:i/>
                <w:sz w:val="20"/>
              </w:rPr>
            </w:pPr>
          </w:p>
        </w:tc>
      </w:tr>
      <w:tr w:rsidR="00B81226" w14:paraId="7FE1C2AC" w14:textId="77777777">
        <w:trPr>
          <w:trHeight w:val="463"/>
        </w:trPr>
        <w:tc>
          <w:tcPr>
            <w:tcW w:w="1129" w:type="dxa"/>
            <w:shd w:val="clear" w:color="auto" w:fill="FFFFFF" w:themeFill="background1"/>
          </w:tcPr>
          <w:p w14:paraId="7FE1C2A7" w14:textId="77777777" w:rsidR="00B81226" w:rsidRDefault="00B82AC2">
            <w:pPr>
              <w:pStyle w:val="P68B1DB1-Normal50"/>
              <w:spacing w:before="120" w:after="120" w:line="276" w:lineRule="auto"/>
            </w:pPr>
            <w:r>
              <w:t>0050–0110</w:t>
            </w:r>
          </w:p>
          <w:p w14:paraId="7FE1C2A8" w14:textId="77777777" w:rsidR="00B81226" w:rsidRDefault="00B81226">
            <w:pPr>
              <w:spacing w:before="120" w:after="120" w:line="276" w:lineRule="auto"/>
              <w:rPr>
                <w:rFonts w:ascii="Times New Roman" w:eastAsia="Calibri" w:hAnsi="Times New Roman" w:cs="Times New Roman"/>
                <w:sz w:val="20"/>
                <w:szCs w:val="20"/>
              </w:rPr>
            </w:pPr>
          </w:p>
        </w:tc>
        <w:tc>
          <w:tcPr>
            <w:tcW w:w="7938" w:type="dxa"/>
            <w:shd w:val="clear" w:color="auto" w:fill="FFFFFF" w:themeFill="background1"/>
          </w:tcPr>
          <w:p w14:paraId="7FE1C2A9" w14:textId="77777777" w:rsidR="00B81226" w:rsidRDefault="00B82AC2">
            <w:pPr>
              <w:pStyle w:val="P68B1DB1-Normal55"/>
              <w:spacing w:line="276" w:lineRule="auto"/>
              <w:jc w:val="both"/>
              <w:rPr>
                <w:bCs/>
              </w:rPr>
            </w:pPr>
            <w:r>
              <w:rPr>
                <w:szCs w:val="20"/>
              </w:rPr>
              <w:t>Palveluntarjoaja</w:t>
            </w:r>
            <w:r>
              <w:t xml:space="preserve"> </w:t>
            </w:r>
          </w:p>
          <w:p w14:paraId="7FE1C2AA" w14:textId="77777777" w:rsidR="00B81226" w:rsidRDefault="00B82AC2">
            <w:pPr>
              <w:pStyle w:val="P68B1DB1-Normal45"/>
              <w:spacing w:line="276" w:lineRule="auto"/>
              <w:jc w:val="both"/>
            </w:pPr>
            <w:r>
              <w:t>Oikeushenkilö (yhteisön sisäiset tai konsernin sisäiset palvelut) tai ulkoinen palveluntarjoaja (ulkoiset palvelut), joka tarjoaa sarakkeessa 0020 ilmoitettua palvelua sarakkeessa 0030 ilmoitetulle konserniyhteisölle.</w:t>
            </w:r>
          </w:p>
          <w:p w14:paraId="7FE1C2AB" w14:textId="77777777" w:rsidR="00B81226" w:rsidRDefault="00B81226">
            <w:pPr>
              <w:spacing w:line="276" w:lineRule="auto"/>
              <w:jc w:val="both"/>
              <w:rPr>
                <w:rFonts w:ascii="Times New Roman" w:eastAsia="Calibri" w:hAnsi="Times New Roman" w:cs="Times New Roman"/>
                <w:sz w:val="20"/>
              </w:rPr>
            </w:pPr>
          </w:p>
        </w:tc>
      </w:tr>
      <w:tr w:rsidR="00B81226" w14:paraId="244B34A5" w14:textId="77777777">
        <w:trPr>
          <w:trHeight w:val="463"/>
        </w:trPr>
        <w:tc>
          <w:tcPr>
            <w:tcW w:w="1129" w:type="dxa"/>
            <w:shd w:val="clear" w:color="auto" w:fill="FFFFFF" w:themeFill="background1"/>
          </w:tcPr>
          <w:p w14:paraId="26770022" w14:textId="77E4D0B7" w:rsidR="00B81226" w:rsidRDefault="00B82AC2">
            <w:pPr>
              <w:pStyle w:val="P68B1DB1-Normal50"/>
              <w:spacing w:before="120" w:after="120" w:line="276" w:lineRule="auto"/>
            </w:pPr>
            <w:r>
              <w:t>0050–0070</w:t>
            </w:r>
          </w:p>
        </w:tc>
        <w:tc>
          <w:tcPr>
            <w:tcW w:w="7938" w:type="dxa"/>
            <w:shd w:val="clear" w:color="auto" w:fill="FFFFFF" w:themeFill="background1"/>
          </w:tcPr>
          <w:p w14:paraId="3E4CD319" w14:textId="6DCA5709" w:rsidR="00B81226" w:rsidRDefault="00B82AC2">
            <w:pPr>
              <w:pStyle w:val="P68B1DB1-Normal49"/>
              <w:spacing w:line="276" w:lineRule="auto"/>
              <w:jc w:val="both"/>
              <w:rPr>
                <w:bCs/>
              </w:rPr>
            </w:pPr>
            <w:r>
              <w:t>Yhteisö ja/tai henkilö</w:t>
            </w:r>
          </w:p>
        </w:tc>
      </w:tr>
      <w:tr w:rsidR="00B81226" w14:paraId="7FE1C2B2" w14:textId="77777777">
        <w:trPr>
          <w:trHeight w:val="463"/>
        </w:trPr>
        <w:tc>
          <w:tcPr>
            <w:tcW w:w="1129" w:type="dxa"/>
            <w:shd w:val="clear" w:color="auto" w:fill="FFFFFF" w:themeFill="background1"/>
          </w:tcPr>
          <w:p w14:paraId="7FE1C2AD" w14:textId="77777777" w:rsidR="00B81226" w:rsidRDefault="00B82AC2">
            <w:pPr>
              <w:pStyle w:val="P68B1DB1-Normal50"/>
              <w:spacing w:before="120" w:after="120" w:line="276" w:lineRule="auto"/>
            </w:pPr>
            <w:r>
              <w:t>0050</w:t>
            </w:r>
          </w:p>
          <w:p w14:paraId="7FE1C2AE" w14:textId="77777777" w:rsidR="00B81226" w:rsidRDefault="00B81226">
            <w:pPr>
              <w:spacing w:before="120" w:after="120" w:line="276" w:lineRule="auto"/>
              <w:rPr>
                <w:rFonts w:ascii="Times New Roman" w:eastAsia="Calibri" w:hAnsi="Times New Roman" w:cs="Times New Roman"/>
                <w:b/>
                <w:strike/>
                <w:sz w:val="20"/>
                <w:szCs w:val="20"/>
              </w:rPr>
            </w:pPr>
          </w:p>
        </w:tc>
        <w:tc>
          <w:tcPr>
            <w:tcW w:w="7938" w:type="dxa"/>
            <w:shd w:val="clear" w:color="auto" w:fill="FFFFFF" w:themeFill="background1"/>
          </w:tcPr>
          <w:p w14:paraId="7FE1C2AF" w14:textId="6229942B" w:rsidR="00B81226" w:rsidRDefault="00B82AC2">
            <w:pPr>
              <w:pStyle w:val="P68B1DB1-Normal49"/>
              <w:spacing w:before="120" w:after="120" w:line="276" w:lineRule="auto"/>
              <w:rPr>
                <w:bCs/>
              </w:rPr>
            </w:pPr>
            <w:r>
              <w:t>Nimi</w:t>
            </w:r>
          </w:p>
          <w:p w14:paraId="7FE1C2B0" w14:textId="77777777" w:rsidR="00B81226" w:rsidRDefault="00B82AC2">
            <w:pPr>
              <w:pStyle w:val="P68B1DB1-Normal45"/>
              <w:spacing w:line="276" w:lineRule="auto"/>
              <w:jc w:val="both"/>
            </w:pPr>
            <w:r>
              <w:t>Sen on oltava eri kuin sarakkeessa 0030 mainittu nimi, paitsi jos palvelu on yhteisön sisäinen. Tässä tapauksessa palvelun vastaanottajan nimen ja palveluntarjoajan yhteisön nimen odotetaan vastaavan toisiaan.</w:t>
            </w:r>
          </w:p>
          <w:p w14:paraId="7FE1C2B1" w14:textId="77777777" w:rsidR="00B81226" w:rsidRDefault="00B81226">
            <w:pPr>
              <w:spacing w:line="276" w:lineRule="auto"/>
              <w:jc w:val="both"/>
              <w:rPr>
                <w:rFonts w:ascii="Times New Roman" w:eastAsia="Calibri" w:hAnsi="Times New Roman" w:cs="Times New Roman"/>
                <w:b/>
                <w:sz w:val="20"/>
              </w:rPr>
            </w:pPr>
          </w:p>
        </w:tc>
      </w:tr>
      <w:tr w:rsidR="00B81226" w14:paraId="7FE1C2BE" w14:textId="77777777">
        <w:trPr>
          <w:trHeight w:val="463"/>
        </w:trPr>
        <w:tc>
          <w:tcPr>
            <w:tcW w:w="1129" w:type="dxa"/>
            <w:shd w:val="clear" w:color="auto" w:fill="FFFFFF" w:themeFill="background1"/>
          </w:tcPr>
          <w:p w14:paraId="7FE1C2B3" w14:textId="77777777" w:rsidR="00B81226" w:rsidRDefault="00B82AC2">
            <w:pPr>
              <w:pStyle w:val="P68B1DB1-Normal45"/>
              <w:spacing w:line="276" w:lineRule="auto"/>
              <w:jc w:val="both"/>
            </w:pPr>
            <w:r>
              <w:t>0060</w:t>
            </w:r>
          </w:p>
          <w:p w14:paraId="7FE1C2B4" w14:textId="77777777" w:rsidR="00B81226" w:rsidRDefault="00B81226">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B5" w14:textId="77777777" w:rsidR="00B81226" w:rsidRDefault="00B82AC2">
            <w:pPr>
              <w:pStyle w:val="P68B1DB1-Normal55"/>
              <w:spacing w:line="276" w:lineRule="auto"/>
              <w:jc w:val="both"/>
              <w:rPr>
                <w:bCs/>
              </w:rPr>
            </w:pPr>
            <w:r>
              <w:t>Koodi</w:t>
            </w:r>
          </w:p>
          <w:p w14:paraId="7FE1C2B6" w14:textId="77777777" w:rsidR="00B81226" w:rsidRDefault="00B82AC2">
            <w:pPr>
              <w:pStyle w:val="P68B1DB1-Normal45"/>
              <w:spacing w:line="276" w:lineRule="auto"/>
              <w:jc w:val="both"/>
              <w:rPr>
                <w:strike/>
              </w:rPr>
            </w:pPr>
            <w:r>
              <w:t>Sarakkeessa 0050 ilmoitetun oikeushenkilön yksilöivä tunnus. Sen on oltava eri kuin sarakkeessa 0040 mainittu tunniste, paitsi jos palvelu on yhteisön sisäinen. Tässä tapauksessa palvelun vastaanottajan koodin ja palveluntarjoajan koodin odotetaan vastaavan toisiaan.</w:t>
            </w:r>
          </w:p>
          <w:p w14:paraId="7FE1C2B7" w14:textId="77777777" w:rsidR="00B81226" w:rsidRDefault="00B82AC2">
            <w:pPr>
              <w:pStyle w:val="P68B1DB1-Normal45"/>
              <w:spacing w:line="276" w:lineRule="auto"/>
              <w:jc w:val="both"/>
            </w:pPr>
            <w:r>
              <w:t>Jos palvelun tarjoaja on konserniyhteisö, koodin on oltava sama kuin se, joka on ilmoitettu lomakkeessa Z 01.01 (ORG).</w:t>
            </w:r>
          </w:p>
          <w:p w14:paraId="7FE1C2B8" w14:textId="77777777" w:rsidR="00B81226" w:rsidRDefault="00B82AC2">
            <w:pPr>
              <w:pStyle w:val="P68B1DB1-Normal45"/>
              <w:spacing w:line="276" w:lineRule="auto"/>
              <w:jc w:val="both"/>
            </w:pPr>
            <w:r>
              <w:t>Jos palveluntarjoaja ei ole konserniyhteisö, kyseisen yhteisön koodin on oltava</w:t>
            </w:r>
          </w:p>
          <w:p w14:paraId="7FE1C2B9" w14:textId="77777777" w:rsidR="00B81226" w:rsidRDefault="00B82AC2">
            <w:pPr>
              <w:pStyle w:val="P68B1DB1-Normal45"/>
              <w:spacing w:line="276" w:lineRule="auto"/>
              <w:jc w:val="both"/>
            </w:pPr>
            <w:r>
              <w:t>— yhteisöt, joilla on oikeushenkilötunnus (LEI), 20-merkkinen aakkosnumeerinen LEI-tunnus;</w:t>
            </w:r>
          </w:p>
          <w:p w14:paraId="7FE1C2BA" w14:textId="77777777" w:rsidR="00B81226" w:rsidRDefault="00B82AC2">
            <w:pPr>
              <w:pStyle w:val="P68B1DB1-Normal45"/>
              <w:spacing w:line="276" w:lineRule="auto"/>
              <w:jc w:val="both"/>
            </w:pPr>
            <w:r>
              <w:t>— sellaisten yhteisöjen osalta, joilla ei ole oikeushenkilötunnusta, kansallisen lainsäädännön mukainen yritysrekisterinumero</w:t>
            </w:r>
            <w:r>
              <w:rPr>
                <w:strike/>
              </w:rPr>
              <w:t>.</w:t>
            </w:r>
          </w:p>
          <w:p w14:paraId="7FE1C2BB" w14:textId="77777777" w:rsidR="00B81226" w:rsidRDefault="00B81226">
            <w:pPr>
              <w:spacing w:line="276" w:lineRule="auto"/>
              <w:jc w:val="both"/>
              <w:rPr>
                <w:rFonts w:ascii="Times New Roman" w:eastAsia="Calibri" w:hAnsi="Times New Roman" w:cs="Times New Roman"/>
                <w:sz w:val="20"/>
              </w:rPr>
            </w:pPr>
          </w:p>
          <w:p w14:paraId="7FE1C2BC" w14:textId="77777777" w:rsidR="00B81226" w:rsidRDefault="00B82AC2">
            <w:pPr>
              <w:pStyle w:val="P68B1DB1-Normal45"/>
              <w:spacing w:line="276" w:lineRule="auto"/>
              <w:jc w:val="both"/>
            </w:pPr>
            <w:r>
              <w:t>Molemmissa tapauksissa koodi on oltava yksilöllinen, ja sitä on käytettävä johdonmukaisesti lomakkeissa.</w:t>
            </w:r>
          </w:p>
          <w:p w14:paraId="7FE1C2BD" w14:textId="77777777" w:rsidR="00B81226" w:rsidRDefault="00B82AC2">
            <w:pPr>
              <w:pStyle w:val="P68B1DB1-Normal56"/>
              <w:spacing w:line="276" w:lineRule="auto"/>
              <w:jc w:val="both"/>
            </w:pPr>
            <w:r>
              <w:t xml:space="preserve"> </w:t>
            </w:r>
          </w:p>
        </w:tc>
      </w:tr>
      <w:tr w:rsidR="00B81226" w14:paraId="7FE1C2C7" w14:textId="77777777">
        <w:trPr>
          <w:trHeight w:val="463"/>
        </w:trPr>
        <w:tc>
          <w:tcPr>
            <w:tcW w:w="1129" w:type="dxa"/>
            <w:shd w:val="clear" w:color="auto" w:fill="FFFFFF" w:themeFill="background1"/>
          </w:tcPr>
          <w:p w14:paraId="7FE1C2BF" w14:textId="77777777" w:rsidR="00B81226" w:rsidRDefault="00B82AC2">
            <w:pPr>
              <w:pStyle w:val="P68B1DB1-Normal45"/>
              <w:spacing w:line="276" w:lineRule="auto"/>
              <w:jc w:val="both"/>
            </w:pPr>
            <w:r>
              <w:t>0070</w:t>
            </w:r>
          </w:p>
        </w:tc>
        <w:tc>
          <w:tcPr>
            <w:tcW w:w="7938" w:type="dxa"/>
            <w:shd w:val="clear" w:color="auto" w:fill="FFFFFF" w:themeFill="background1"/>
          </w:tcPr>
          <w:p w14:paraId="7FE1C2C0" w14:textId="77777777" w:rsidR="00B81226" w:rsidRDefault="00B82AC2">
            <w:pPr>
              <w:pStyle w:val="P68B1DB1-Normal55"/>
              <w:spacing w:line="276" w:lineRule="auto"/>
              <w:jc w:val="both"/>
              <w:rPr>
                <w:bCs/>
              </w:rPr>
            </w:pPr>
            <w:r>
              <w:t xml:space="preserve">Koodin tyyppi </w:t>
            </w:r>
          </w:p>
          <w:p w14:paraId="7FE1C2C3" w14:textId="5EDF8AF2" w:rsidR="00B81226" w:rsidRDefault="00B82AC2">
            <w:pPr>
              <w:pStyle w:val="P68B1DB1-Normal57"/>
              <w:spacing w:line="276" w:lineRule="auto"/>
              <w:contextualSpacing/>
              <w:jc w:val="both"/>
              <w:rPr>
                <w:bCs/>
              </w:rPr>
            </w:pPr>
            <w:r>
              <w:t>Ilmoittamisessa käytetään seuraavia arvoja:</w:t>
            </w:r>
          </w:p>
          <w:p w14:paraId="7FE1C2C4" w14:textId="77777777" w:rsidR="00B81226" w:rsidRDefault="00B82AC2">
            <w:pPr>
              <w:pStyle w:val="P68B1DB1-ListParagraph58"/>
              <w:numPr>
                <w:ilvl w:val="0"/>
                <w:numId w:val="64"/>
              </w:numPr>
              <w:spacing w:line="276" w:lineRule="auto"/>
              <w:contextualSpacing/>
              <w:jc w:val="both"/>
            </w:pPr>
            <w:r>
              <w:t>OIKEUSHENKILÖTUNNUS (LEI)</w:t>
            </w:r>
          </w:p>
          <w:p w14:paraId="7FE1C2C5" w14:textId="77777777" w:rsidR="00B81226" w:rsidRDefault="00B82AC2">
            <w:pPr>
              <w:pStyle w:val="P68B1DB1-ListParagraph58"/>
              <w:numPr>
                <w:ilvl w:val="0"/>
                <w:numId w:val="64"/>
              </w:numPr>
              <w:spacing w:line="276" w:lineRule="auto"/>
              <w:contextualSpacing/>
              <w:jc w:val="both"/>
            </w:pPr>
            <w:r>
              <w:t>Kaupparekisterinumero</w:t>
            </w:r>
          </w:p>
          <w:p w14:paraId="7FE1C2C6" w14:textId="77777777" w:rsidR="00B81226" w:rsidRDefault="00B81226">
            <w:pPr>
              <w:spacing w:line="276" w:lineRule="auto"/>
              <w:jc w:val="both"/>
              <w:rPr>
                <w:rFonts w:ascii="Times New Roman" w:eastAsia="Calibri" w:hAnsi="Times New Roman" w:cs="Times New Roman"/>
                <w:sz w:val="20"/>
              </w:rPr>
            </w:pPr>
          </w:p>
        </w:tc>
      </w:tr>
      <w:tr w:rsidR="00B81226" w14:paraId="5AC7028E" w14:textId="77777777">
        <w:trPr>
          <w:trHeight w:val="463"/>
        </w:trPr>
        <w:tc>
          <w:tcPr>
            <w:tcW w:w="1129" w:type="dxa"/>
            <w:shd w:val="clear" w:color="auto" w:fill="FFFFFF" w:themeFill="background1"/>
          </w:tcPr>
          <w:p w14:paraId="3ECEFB75" w14:textId="74BF0EC5" w:rsidR="00B81226" w:rsidRDefault="00B82AC2">
            <w:pPr>
              <w:pStyle w:val="P68B1DB1-Normal45"/>
              <w:spacing w:line="276" w:lineRule="auto"/>
              <w:jc w:val="both"/>
            </w:pPr>
            <w:r>
              <w:t>0080–0100</w:t>
            </w:r>
          </w:p>
        </w:tc>
        <w:tc>
          <w:tcPr>
            <w:tcW w:w="7938" w:type="dxa"/>
            <w:shd w:val="clear" w:color="auto" w:fill="FFFFFF" w:themeFill="background1"/>
          </w:tcPr>
          <w:p w14:paraId="259185CE" w14:textId="65A5A83F" w:rsidR="00B81226" w:rsidRDefault="00B82AC2">
            <w:pPr>
              <w:pStyle w:val="P68B1DB1-Normal55"/>
              <w:spacing w:line="276" w:lineRule="auto"/>
              <w:jc w:val="both"/>
              <w:rPr>
                <w:bCs/>
              </w:rPr>
            </w:pPr>
            <w:r>
              <w:t>Emoyhtiö</w:t>
            </w:r>
          </w:p>
        </w:tc>
      </w:tr>
      <w:tr w:rsidR="00B81226" w14:paraId="7FE1C2CC" w14:textId="77777777">
        <w:trPr>
          <w:trHeight w:val="463"/>
        </w:trPr>
        <w:tc>
          <w:tcPr>
            <w:tcW w:w="1129" w:type="dxa"/>
          </w:tcPr>
          <w:p w14:paraId="7FE1C2C8" w14:textId="77777777" w:rsidR="00B81226" w:rsidRDefault="00B82AC2">
            <w:pPr>
              <w:pStyle w:val="P68B1DB1-Normal45"/>
              <w:spacing w:line="276" w:lineRule="auto"/>
              <w:jc w:val="both"/>
            </w:pPr>
            <w:r>
              <w:t>0080</w:t>
            </w:r>
          </w:p>
        </w:tc>
        <w:tc>
          <w:tcPr>
            <w:tcW w:w="7938" w:type="dxa"/>
            <w:shd w:val="clear" w:color="auto" w:fill="FFFFFF" w:themeFill="background1"/>
          </w:tcPr>
          <w:p w14:paraId="0DC1DDCB" w14:textId="24E6B1FE" w:rsidR="00B81226" w:rsidRDefault="00B82AC2">
            <w:pPr>
              <w:pStyle w:val="P68B1DB1-Normal55"/>
              <w:spacing w:line="276" w:lineRule="auto"/>
              <w:jc w:val="both"/>
            </w:pPr>
            <w:r>
              <w:t>Nimi</w:t>
            </w:r>
          </w:p>
          <w:p w14:paraId="7FE1C2CA" w14:textId="07E2401A" w:rsidR="00B81226" w:rsidRDefault="00B82AC2">
            <w:pPr>
              <w:pStyle w:val="P68B1DB1-Normal45"/>
              <w:spacing w:line="276" w:lineRule="auto"/>
              <w:jc w:val="both"/>
            </w:pPr>
            <w:r>
              <w:lastRenderedPageBreak/>
              <w:t>Sarakkeessa 0050 ilmoitetun palveluntarjoajan (viimeisimmän) emoyrityksen nimi, jos kyseessä ei ole konserniyhteisö. Muissa tapauksissa: N/A.</w:t>
            </w:r>
          </w:p>
          <w:p w14:paraId="7FE1C2CB" w14:textId="77777777" w:rsidR="00B81226" w:rsidRDefault="00B81226">
            <w:pPr>
              <w:spacing w:line="276" w:lineRule="auto"/>
              <w:jc w:val="both"/>
              <w:rPr>
                <w:rFonts w:ascii="Times New Roman" w:hAnsi="Times New Roman" w:cs="Times New Roman"/>
              </w:rPr>
            </w:pPr>
          </w:p>
        </w:tc>
      </w:tr>
      <w:tr w:rsidR="00B81226" w14:paraId="7FE1C2D3" w14:textId="77777777">
        <w:trPr>
          <w:trHeight w:val="463"/>
        </w:trPr>
        <w:tc>
          <w:tcPr>
            <w:tcW w:w="1129" w:type="dxa"/>
          </w:tcPr>
          <w:p w14:paraId="7FE1C2CD" w14:textId="77777777" w:rsidR="00B81226" w:rsidRDefault="00B82AC2">
            <w:pPr>
              <w:pStyle w:val="P68B1DB1-Normal45"/>
              <w:spacing w:line="276" w:lineRule="auto"/>
              <w:jc w:val="both"/>
            </w:pPr>
            <w:r>
              <w:lastRenderedPageBreak/>
              <w:t>0090</w:t>
            </w:r>
          </w:p>
        </w:tc>
        <w:tc>
          <w:tcPr>
            <w:tcW w:w="7938" w:type="dxa"/>
            <w:shd w:val="clear" w:color="auto" w:fill="FFFFFF" w:themeFill="background1"/>
          </w:tcPr>
          <w:p w14:paraId="7FE1C2CE" w14:textId="414718EB" w:rsidR="00B81226" w:rsidRDefault="00B82AC2">
            <w:pPr>
              <w:pStyle w:val="P68B1DB1-Normal55"/>
              <w:spacing w:line="276" w:lineRule="auto"/>
              <w:jc w:val="both"/>
              <w:rPr>
                <w:bCs/>
              </w:rPr>
            </w:pPr>
            <w:r>
              <w:t>Koodi</w:t>
            </w:r>
          </w:p>
          <w:p w14:paraId="7FE1C2CF" w14:textId="77777777" w:rsidR="00B81226" w:rsidRDefault="00B82AC2">
            <w:pPr>
              <w:pStyle w:val="P68B1DB1-Normal45"/>
              <w:spacing w:line="276" w:lineRule="auto"/>
              <w:jc w:val="both"/>
            </w:pPr>
            <w:r>
              <w:t>Sarakkeessa 0080 ilmoitettu emoyhtiön koodi on:</w:t>
            </w:r>
          </w:p>
          <w:p w14:paraId="7FE1C2D0" w14:textId="77777777" w:rsidR="00B81226" w:rsidRDefault="00B82AC2">
            <w:pPr>
              <w:pStyle w:val="P68B1DB1-Normal45"/>
              <w:spacing w:line="276" w:lineRule="auto"/>
              <w:jc w:val="both"/>
            </w:pPr>
            <w:r>
              <w:t>— niiden yhteisöjen osalta, joilla on oikeushenkilötunnus (LEI), 20-merkkinen aakkosnumeerinen LEI-tunnus;</w:t>
            </w:r>
          </w:p>
          <w:p w14:paraId="7FE1C2D1" w14:textId="77777777" w:rsidR="00B81226" w:rsidRDefault="00B82AC2">
            <w:pPr>
              <w:pStyle w:val="P68B1DB1-Normal45"/>
              <w:spacing w:line="276" w:lineRule="auto"/>
              <w:jc w:val="both"/>
            </w:pPr>
            <w:r>
              <w:t xml:space="preserve">— sellaisten yhteisöjen osalta, joilla ei ole oikeushenkilötunnusta, kansallisen lainsäädännön mukainen yritysrekisterinumero. </w:t>
            </w:r>
          </w:p>
          <w:p w14:paraId="7FE1C2D2" w14:textId="77777777" w:rsidR="00B81226" w:rsidRDefault="00B81226">
            <w:pPr>
              <w:spacing w:line="276" w:lineRule="auto"/>
              <w:jc w:val="both"/>
              <w:rPr>
                <w:rFonts w:ascii="Times New Roman" w:eastAsia="Calibri" w:hAnsi="Times New Roman" w:cs="Times New Roman"/>
                <w:sz w:val="20"/>
              </w:rPr>
            </w:pPr>
          </w:p>
        </w:tc>
      </w:tr>
      <w:tr w:rsidR="00B81226" w14:paraId="7FE1C2DC" w14:textId="77777777">
        <w:trPr>
          <w:trHeight w:val="463"/>
        </w:trPr>
        <w:tc>
          <w:tcPr>
            <w:tcW w:w="1129" w:type="dxa"/>
          </w:tcPr>
          <w:p w14:paraId="7FE1C2D4" w14:textId="77777777" w:rsidR="00B81226" w:rsidRDefault="00B82AC2">
            <w:pPr>
              <w:pStyle w:val="P68B1DB1-Normal45"/>
              <w:spacing w:line="276" w:lineRule="auto"/>
              <w:jc w:val="both"/>
            </w:pPr>
            <w:r>
              <w:t>0100</w:t>
            </w:r>
          </w:p>
        </w:tc>
        <w:tc>
          <w:tcPr>
            <w:tcW w:w="7938" w:type="dxa"/>
            <w:shd w:val="clear" w:color="auto" w:fill="FFFFFF" w:themeFill="background1"/>
          </w:tcPr>
          <w:p w14:paraId="7FE1C2D5" w14:textId="77777777" w:rsidR="00B81226" w:rsidRDefault="00B82AC2">
            <w:pPr>
              <w:pStyle w:val="P68B1DB1-Normal55"/>
              <w:spacing w:line="276" w:lineRule="auto"/>
              <w:jc w:val="both"/>
              <w:rPr>
                <w:bCs/>
              </w:rPr>
            </w:pPr>
            <w:r>
              <w:t xml:space="preserve">Koodin tyyppi </w:t>
            </w:r>
          </w:p>
          <w:p w14:paraId="7FE1C2D6" w14:textId="77777777" w:rsidR="00B81226" w:rsidRDefault="00B82AC2">
            <w:pPr>
              <w:pStyle w:val="P68B1DB1-Normal57"/>
              <w:spacing w:line="276" w:lineRule="auto"/>
              <w:contextualSpacing/>
              <w:jc w:val="both"/>
              <w:rPr>
                <w:bCs/>
              </w:rPr>
            </w:pPr>
            <w:r>
              <w:t>Ilmoittamisessa käytetään seuraavia arvoja:</w:t>
            </w:r>
          </w:p>
          <w:p w14:paraId="7FE1C2D7" w14:textId="77777777" w:rsidR="00B81226" w:rsidRDefault="00B82AC2">
            <w:pPr>
              <w:pStyle w:val="P68B1DB1-ListParagraph58"/>
              <w:numPr>
                <w:ilvl w:val="0"/>
                <w:numId w:val="64"/>
              </w:numPr>
              <w:spacing w:line="276" w:lineRule="auto"/>
              <w:contextualSpacing/>
              <w:jc w:val="both"/>
            </w:pPr>
            <w:r>
              <w:t>OIKEUSHENKILÖTUNNUS (LEI)</w:t>
            </w:r>
          </w:p>
          <w:p w14:paraId="7FE1C2D8" w14:textId="77777777" w:rsidR="00B81226" w:rsidRDefault="00B82AC2">
            <w:pPr>
              <w:pStyle w:val="P68B1DB1-ListParagraph58"/>
              <w:numPr>
                <w:ilvl w:val="0"/>
                <w:numId w:val="64"/>
              </w:numPr>
              <w:spacing w:line="276" w:lineRule="auto"/>
              <w:contextualSpacing/>
              <w:jc w:val="both"/>
            </w:pPr>
            <w:r>
              <w:t>Kaupparekisterinumero</w:t>
            </w:r>
          </w:p>
          <w:p w14:paraId="7FE1C2DB" w14:textId="010B0D6D" w:rsidR="00B81226" w:rsidRDefault="00B81226">
            <w:pPr>
              <w:spacing w:line="276" w:lineRule="auto"/>
              <w:jc w:val="both"/>
              <w:rPr>
                <w:rFonts w:ascii="Times New Roman" w:eastAsia="Calibri" w:hAnsi="Times New Roman" w:cs="Times New Roman"/>
                <w:sz w:val="20"/>
              </w:rPr>
            </w:pPr>
          </w:p>
        </w:tc>
      </w:tr>
      <w:tr w:rsidR="00B81226" w14:paraId="7FE1C2E4" w14:textId="77777777">
        <w:trPr>
          <w:trHeight w:val="463"/>
        </w:trPr>
        <w:tc>
          <w:tcPr>
            <w:tcW w:w="1129" w:type="dxa"/>
            <w:shd w:val="clear" w:color="auto" w:fill="FFFFFF" w:themeFill="background1"/>
          </w:tcPr>
          <w:p w14:paraId="7FE1C2DD" w14:textId="77777777" w:rsidR="00B81226" w:rsidRDefault="00B82AC2">
            <w:pPr>
              <w:pStyle w:val="P68B1DB1-Normal45"/>
              <w:spacing w:line="276" w:lineRule="auto"/>
              <w:jc w:val="both"/>
            </w:pPr>
            <w:r>
              <w:t>0110</w:t>
            </w:r>
          </w:p>
        </w:tc>
        <w:tc>
          <w:tcPr>
            <w:tcW w:w="7938" w:type="dxa"/>
            <w:shd w:val="clear" w:color="auto" w:fill="FFFFFF" w:themeFill="background1"/>
          </w:tcPr>
          <w:p w14:paraId="7FE1C2DE" w14:textId="77777777" w:rsidR="00B81226" w:rsidRDefault="00B82AC2">
            <w:pPr>
              <w:pStyle w:val="P68B1DB1-Normal45"/>
              <w:spacing w:line="276" w:lineRule="auto"/>
              <w:jc w:val="both"/>
            </w:pPr>
            <w:r>
              <w:rPr>
                <w:b/>
              </w:rPr>
              <w:t>Palvelujen toimittaminen</w:t>
            </w:r>
            <w:r>
              <w:t xml:space="preserve"> </w:t>
            </w:r>
          </w:p>
          <w:p w14:paraId="7FE1C2DF" w14:textId="77777777" w:rsidR="00B81226" w:rsidRDefault="00B82AC2">
            <w:pPr>
              <w:pStyle w:val="P68B1DB1-Normal45"/>
              <w:spacing w:line="276" w:lineRule="auto"/>
              <w:jc w:val="both"/>
            </w:pPr>
            <w:r>
              <w:t>”Yksikönsisäinen”, jos yksi liiketoimintayksikkö tarjoaa palvelun saman oikeushenkilön toiselle liiketoimintayksikölle.</w:t>
            </w:r>
          </w:p>
          <w:p w14:paraId="7FE1C2E0" w14:textId="200EB8B6" w:rsidR="00B81226" w:rsidRDefault="00B82AC2">
            <w:pPr>
              <w:spacing w:line="276" w:lineRule="auto"/>
              <w:jc w:val="both"/>
              <w:rPr>
                <w:rFonts w:ascii="Times New Roman" w:eastAsia="Calibri" w:hAnsi="Times New Roman" w:cs="Times New Roman"/>
                <w:sz w:val="20"/>
              </w:rPr>
            </w:pPr>
            <w:r>
              <w:rPr>
                <w:rFonts w:ascii="Times New Roman" w:eastAsia="Calibri" w:hAnsi="Times New Roman" w:cs="Times New Roman"/>
                <w:sz w:val="20"/>
              </w:rPr>
              <w:t>”Konsernin sisäinen – säännelty yhteisö”, jos palvelun tarjoaa</w:t>
            </w:r>
            <w:r>
              <w:rPr>
                <w:rFonts w:ascii="Times New Roman" w:hAnsi="Times New Roman" w:cs="Times New Roman"/>
              </w:rPr>
              <w:t xml:space="preserve"> </w:t>
            </w:r>
            <w:r>
              <w:rPr>
                <w:rFonts w:ascii="Times New Roman" w:eastAsia="Calibri" w:hAnsi="Times New Roman" w:cs="Times New Roman"/>
                <w:sz w:val="20"/>
              </w:rPr>
              <w:t>ryhmään kuuluva yhteisö, johon sovelletaan pääomaa/likviditeettiä koskevaa vakavaraisuussääntelyä yksittäisen yrityksen tasolla, myös silloin, kun vakavaraisuusvaatimuksista on luovuttu.</w:t>
            </w:r>
          </w:p>
          <w:p w14:paraId="7FE1C2E1" w14:textId="6FD0E03D" w:rsidR="00B81226" w:rsidRDefault="00B82AC2">
            <w:pPr>
              <w:pStyle w:val="P68B1DB1-Normal45"/>
              <w:spacing w:line="276" w:lineRule="auto"/>
              <w:jc w:val="both"/>
            </w:pPr>
            <w:r>
              <w:t>”Konsernin sisäinen – sääntelemätön yhteisö”, jos palvelun tarjoaa konserniin kuuluva yksikkö, joka on operatiivinen yksikkö, johon ei sovelleta pääomaa/likviditeettiä koskevaa vakavaraisuussääntelyä yksittäisen yrityksen tasolla, myös silloin, kun vakavaraisuusvaatimuksista on luovuttu.</w:t>
            </w:r>
          </w:p>
          <w:p w14:paraId="7FE1C2E2" w14:textId="7B6AA381" w:rsidR="00B81226" w:rsidRDefault="00B82AC2">
            <w:pPr>
              <w:pStyle w:val="P68B1DB1-Normal45"/>
              <w:spacing w:line="276" w:lineRule="auto"/>
              <w:jc w:val="both"/>
            </w:pPr>
            <w:r>
              <w:t>”Ulkoinen yhteisö”, jos palvelun tarjoaa konsernin ulkopuolinen ulkopuolinen palveluntarjoaja.</w:t>
            </w:r>
          </w:p>
          <w:p w14:paraId="7FE1C2E3" w14:textId="77777777" w:rsidR="00B81226" w:rsidRDefault="00B81226">
            <w:pPr>
              <w:spacing w:line="276" w:lineRule="auto"/>
              <w:jc w:val="both"/>
              <w:rPr>
                <w:rFonts w:ascii="Times New Roman" w:eastAsia="Calibri" w:hAnsi="Times New Roman" w:cs="Times New Roman"/>
                <w:i/>
                <w:sz w:val="20"/>
              </w:rPr>
            </w:pPr>
          </w:p>
        </w:tc>
      </w:tr>
      <w:tr w:rsidR="00B81226" w14:paraId="7FE1C2EB" w14:textId="77777777">
        <w:trPr>
          <w:trHeight w:val="463"/>
        </w:trPr>
        <w:tc>
          <w:tcPr>
            <w:tcW w:w="1129" w:type="dxa"/>
            <w:shd w:val="clear" w:color="auto" w:fill="FFFFFF" w:themeFill="background1"/>
          </w:tcPr>
          <w:p w14:paraId="7FE1C2E5" w14:textId="77777777" w:rsidR="00B81226" w:rsidRDefault="00B82AC2">
            <w:pPr>
              <w:pStyle w:val="P68B1DB1-Normal50"/>
              <w:spacing w:line="276" w:lineRule="auto"/>
              <w:jc w:val="both"/>
            </w:pPr>
            <w:r>
              <w:t>0120</w:t>
            </w:r>
          </w:p>
          <w:p w14:paraId="7FE1C2E6" w14:textId="77777777" w:rsidR="00B81226" w:rsidRDefault="00B81226">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E7" w14:textId="77777777" w:rsidR="00B81226" w:rsidRDefault="00B82AC2">
            <w:pPr>
              <w:pStyle w:val="P68B1DB1-Normal49"/>
              <w:spacing w:line="276" w:lineRule="auto"/>
              <w:jc w:val="both"/>
              <w:rPr>
                <w:bCs/>
                <w:strike/>
              </w:rPr>
            </w:pPr>
            <w:r>
              <w:t>Kriittisyys</w:t>
            </w:r>
            <w:r>
              <w:rPr>
                <w:strike/>
              </w:rPr>
              <w:t xml:space="preserve"> </w:t>
            </w:r>
          </w:p>
          <w:p w14:paraId="7FE1C2E8" w14:textId="77777777" w:rsidR="00B81226" w:rsidRDefault="00B82AC2">
            <w:pPr>
              <w:pStyle w:val="P68B1DB1-ListParagraph58"/>
              <w:numPr>
                <w:ilvl w:val="0"/>
                <w:numId w:val="239"/>
              </w:numPr>
              <w:spacing w:line="276" w:lineRule="auto"/>
              <w:contextualSpacing/>
              <w:jc w:val="both"/>
            </w:pPr>
            <w:r>
              <w:t>Kriittinen: jos palvelu on tarpeen yhden tai useamman kriittisen toiminnon suorittamiseksi, jonka keskeytyminen estäisi tai estäisi vakavasti kyseisten kriittisten toimintojen suorittamisen.</w:t>
            </w:r>
          </w:p>
          <w:p w14:paraId="7FE1C2E9" w14:textId="77777777" w:rsidR="00B81226" w:rsidRDefault="00B82AC2">
            <w:pPr>
              <w:pStyle w:val="P68B1DB1-ListParagraph9"/>
              <w:numPr>
                <w:ilvl w:val="0"/>
                <w:numId w:val="239"/>
              </w:numPr>
              <w:spacing w:line="276" w:lineRule="auto"/>
              <w:contextualSpacing/>
              <w:jc w:val="both"/>
              <w:rPr>
                <w:sz w:val="20"/>
              </w:rPr>
            </w:pPr>
            <w:r>
              <w:rPr>
                <w:sz w:val="20"/>
              </w:rPr>
              <w:t>Tärkeää: jos</w:t>
            </w:r>
            <w:r>
              <w:t xml:space="preserve"> yksikkö</w:t>
            </w:r>
            <w:r>
              <w:rPr>
                <w:sz w:val="20"/>
              </w:rPr>
              <w:t>liittyy ydinliiketoiminta-alueisiin, joiden jatkuvuus on tarpeen kriisinratkaisustrategian tehokkaan täytäntöönpanon ja siitä mahdollisesti seuraavan rakenneuudistuksen kannalta.</w:t>
            </w:r>
          </w:p>
          <w:p w14:paraId="7FE1C2EA" w14:textId="3B37659B" w:rsidR="00B81226" w:rsidRDefault="00B82AC2">
            <w:pPr>
              <w:pStyle w:val="P68B1DB1-ListParagraph58"/>
              <w:numPr>
                <w:ilvl w:val="0"/>
                <w:numId w:val="239"/>
              </w:numPr>
              <w:spacing w:line="276" w:lineRule="auto"/>
              <w:contextualSpacing/>
              <w:jc w:val="both"/>
            </w:pPr>
            <w:r>
              <w:t>Kriittinen ja välttämätön</w:t>
            </w:r>
          </w:p>
        </w:tc>
      </w:tr>
      <w:tr w:rsidR="00B81226" w14:paraId="7FE1C2F0" w14:textId="77777777">
        <w:trPr>
          <w:trHeight w:val="463"/>
        </w:trPr>
        <w:tc>
          <w:tcPr>
            <w:tcW w:w="1129" w:type="dxa"/>
            <w:shd w:val="clear" w:color="auto" w:fill="FFFFFF" w:themeFill="background1"/>
          </w:tcPr>
          <w:p w14:paraId="7FE1C2EC" w14:textId="77777777" w:rsidR="00B81226" w:rsidRDefault="00B82AC2">
            <w:pPr>
              <w:pStyle w:val="P68B1DB1-Normal45"/>
              <w:spacing w:line="276" w:lineRule="auto"/>
              <w:jc w:val="both"/>
            </w:pPr>
            <w:r>
              <w:t>0130</w:t>
            </w:r>
          </w:p>
        </w:tc>
        <w:tc>
          <w:tcPr>
            <w:tcW w:w="7938" w:type="dxa"/>
            <w:shd w:val="clear" w:color="auto" w:fill="FFFFFF" w:themeFill="background1"/>
          </w:tcPr>
          <w:p w14:paraId="7FE1C2ED" w14:textId="77777777" w:rsidR="00B81226" w:rsidRDefault="00B82AC2">
            <w:pPr>
              <w:pStyle w:val="P68B1DB1-Normal49"/>
              <w:spacing w:line="276" w:lineRule="auto"/>
              <w:jc w:val="both"/>
              <w:rPr>
                <w:bCs/>
              </w:rPr>
            </w:pPr>
            <w:r>
              <w:t>Sopimuksen tunniste</w:t>
            </w:r>
          </w:p>
          <w:p w14:paraId="7FE1C2EE" w14:textId="77777777" w:rsidR="00B81226" w:rsidRDefault="00B82AC2">
            <w:pPr>
              <w:pStyle w:val="P68B1DB1-Normal45"/>
              <w:spacing w:line="276" w:lineRule="auto"/>
              <w:jc w:val="both"/>
            </w:pPr>
            <w:r>
              <w:t>Palvelun perustana olevan sopimuksen yksilöllinen tunniste ryhmän palvelutaksonomian mukaisesti.</w:t>
            </w:r>
          </w:p>
          <w:p w14:paraId="7FE1C2EF" w14:textId="77777777" w:rsidR="00B81226" w:rsidRDefault="00B81226">
            <w:pPr>
              <w:spacing w:line="276" w:lineRule="auto"/>
              <w:jc w:val="both"/>
              <w:rPr>
                <w:rFonts w:ascii="Times New Roman" w:eastAsia="Calibri" w:hAnsi="Times New Roman" w:cs="Times New Roman"/>
                <w:sz w:val="20"/>
              </w:rPr>
            </w:pPr>
          </w:p>
        </w:tc>
      </w:tr>
      <w:tr w:rsidR="00B81226" w14:paraId="7FE1C2F6" w14:textId="77777777">
        <w:trPr>
          <w:trHeight w:val="628"/>
        </w:trPr>
        <w:tc>
          <w:tcPr>
            <w:tcW w:w="1129" w:type="dxa"/>
          </w:tcPr>
          <w:p w14:paraId="7FE1C2F1" w14:textId="77777777" w:rsidR="00B81226" w:rsidRDefault="00B82AC2">
            <w:pPr>
              <w:pStyle w:val="P68B1DB1-Normal45"/>
              <w:spacing w:line="276" w:lineRule="auto"/>
              <w:jc w:val="both"/>
            </w:pPr>
            <w:r>
              <w:t>0140</w:t>
            </w:r>
          </w:p>
          <w:p w14:paraId="7FE1C2F2" w14:textId="77777777" w:rsidR="00B81226" w:rsidRDefault="00B81226">
            <w:pPr>
              <w:spacing w:line="276" w:lineRule="auto"/>
              <w:jc w:val="both"/>
              <w:rPr>
                <w:rFonts w:ascii="Times New Roman" w:eastAsia="Calibri" w:hAnsi="Times New Roman" w:cs="Times New Roman"/>
                <w:strike/>
                <w:sz w:val="20"/>
              </w:rPr>
            </w:pPr>
          </w:p>
        </w:tc>
        <w:tc>
          <w:tcPr>
            <w:tcW w:w="7938" w:type="dxa"/>
          </w:tcPr>
          <w:p w14:paraId="7FE1C2F3" w14:textId="77777777" w:rsidR="00B81226" w:rsidRDefault="00B82AC2">
            <w:pPr>
              <w:pStyle w:val="P68B1DB1-Normal55"/>
              <w:spacing w:line="276" w:lineRule="auto"/>
              <w:jc w:val="both"/>
            </w:pPr>
            <w:r>
              <w:rPr>
                <w:szCs w:val="20"/>
              </w:rPr>
              <w:t>Sovellettava laki</w:t>
            </w:r>
            <w:r>
              <w:t xml:space="preserve"> </w:t>
            </w:r>
          </w:p>
          <w:p w14:paraId="7FE1C2F4" w14:textId="77777777" w:rsidR="00B81226" w:rsidRDefault="00B82AC2">
            <w:pPr>
              <w:pStyle w:val="P68B1DB1-Normal45"/>
              <w:spacing w:line="276" w:lineRule="auto"/>
              <w:jc w:val="both"/>
            </w:pPr>
            <w:r>
              <w:t>Sen maan ISO-koodi, jonka lakia sopimukseen sovelletaan.</w:t>
            </w:r>
          </w:p>
          <w:p w14:paraId="7FE1C2F5" w14:textId="77777777" w:rsidR="00B81226" w:rsidRDefault="00B81226">
            <w:pPr>
              <w:spacing w:line="276" w:lineRule="auto"/>
              <w:jc w:val="both"/>
              <w:rPr>
                <w:rFonts w:ascii="Times New Roman" w:eastAsia="Calibri" w:hAnsi="Times New Roman" w:cs="Times New Roman"/>
                <w:sz w:val="20"/>
              </w:rPr>
            </w:pPr>
          </w:p>
        </w:tc>
      </w:tr>
      <w:tr w:rsidR="00B81226" w14:paraId="7FE1C2FC" w14:textId="77777777">
        <w:trPr>
          <w:trHeight w:val="628"/>
        </w:trPr>
        <w:tc>
          <w:tcPr>
            <w:tcW w:w="1129" w:type="dxa"/>
          </w:tcPr>
          <w:p w14:paraId="7FE1C2F7" w14:textId="77777777" w:rsidR="00B81226" w:rsidRDefault="00B82AC2">
            <w:pPr>
              <w:pStyle w:val="P68B1DB1-Normal45"/>
              <w:spacing w:line="276" w:lineRule="auto"/>
              <w:jc w:val="both"/>
            </w:pPr>
            <w:r>
              <w:t>0150–0170</w:t>
            </w:r>
          </w:p>
          <w:p w14:paraId="7FE1C2F8" w14:textId="77777777" w:rsidR="00B81226" w:rsidRDefault="00B81226">
            <w:pPr>
              <w:spacing w:line="276" w:lineRule="auto"/>
              <w:jc w:val="both"/>
              <w:rPr>
                <w:rFonts w:ascii="Times New Roman" w:eastAsia="Calibri" w:hAnsi="Times New Roman" w:cs="Times New Roman"/>
                <w:strike/>
                <w:sz w:val="20"/>
              </w:rPr>
            </w:pPr>
          </w:p>
        </w:tc>
        <w:tc>
          <w:tcPr>
            <w:tcW w:w="7938" w:type="dxa"/>
          </w:tcPr>
          <w:p w14:paraId="7FE1C2F9" w14:textId="77777777" w:rsidR="00B81226" w:rsidRDefault="00B82AC2">
            <w:pPr>
              <w:pStyle w:val="P68B1DB1-Normal49"/>
              <w:spacing w:before="120" w:after="120" w:line="276" w:lineRule="auto"/>
              <w:rPr>
                <w:bCs/>
                <w:iCs/>
              </w:rPr>
            </w:pPr>
            <w:r>
              <w:t xml:space="preserve">Kriisinratkaisun häiriönsietokyky </w:t>
            </w:r>
          </w:p>
          <w:p w14:paraId="7FE1C2FA" w14:textId="77777777" w:rsidR="00B81226" w:rsidRDefault="00B82AC2">
            <w:pPr>
              <w:pStyle w:val="P68B1DB1-NormalWeb59"/>
              <w:spacing w:before="0" w:beforeAutospacing="0" w:after="0" w:afterAutospacing="0"/>
              <w:rPr>
                <w:iCs/>
                <w:szCs w:val="20"/>
              </w:rPr>
            </w:pPr>
            <w:r>
              <w:rPr>
                <w:szCs w:val="20"/>
              </w:rPr>
              <w:t xml:space="preserve">Arvio siitä, voitaisiinko sarakkeessa 0020 ilmoitettua palvelua tukevaa sopimusta jatkaa ja siirtää kriisinratkaisustrategian, mukaan lukien liiketoiminnan tervehdyttämissuunnitelma, täytäntöönpanon aikana </w:t>
            </w:r>
            <w:r>
              <w:t>EPV/GL/2022/01:n ja asiaa koskevien kansallisten lakien mukaisesti.</w:t>
            </w:r>
          </w:p>
          <w:p w14:paraId="7FE1C2FB" w14:textId="77777777" w:rsidR="00B81226" w:rsidRDefault="00B81226">
            <w:pPr>
              <w:spacing w:line="276" w:lineRule="auto"/>
              <w:jc w:val="both"/>
              <w:rPr>
                <w:rFonts w:ascii="Times New Roman" w:eastAsia="Calibri" w:hAnsi="Times New Roman" w:cs="Times New Roman"/>
                <w:iCs/>
                <w:sz w:val="20"/>
                <w:szCs w:val="20"/>
              </w:rPr>
            </w:pPr>
          </w:p>
        </w:tc>
      </w:tr>
      <w:tr w:rsidR="00B81226" w14:paraId="7FE1C30C" w14:textId="77777777">
        <w:trPr>
          <w:trHeight w:val="2120"/>
        </w:trPr>
        <w:tc>
          <w:tcPr>
            <w:tcW w:w="1129" w:type="dxa"/>
          </w:tcPr>
          <w:p w14:paraId="7FE1C2FD" w14:textId="77777777" w:rsidR="00B81226" w:rsidRDefault="00B82AC2">
            <w:pPr>
              <w:pStyle w:val="P68B1DB1-Normal45"/>
              <w:spacing w:line="276" w:lineRule="auto"/>
              <w:jc w:val="both"/>
            </w:pPr>
            <w:r>
              <w:lastRenderedPageBreak/>
              <w:t>0150</w:t>
            </w:r>
          </w:p>
        </w:tc>
        <w:tc>
          <w:tcPr>
            <w:tcW w:w="7938" w:type="dxa"/>
          </w:tcPr>
          <w:p w14:paraId="7FE1C2FE" w14:textId="77777777" w:rsidR="00B81226" w:rsidRDefault="00B82AC2">
            <w:pPr>
              <w:pStyle w:val="P68B1DB1-Normal55"/>
              <w:spacing w:line="276" w:lineRule="auto"/>
              <w:jc w:val="both"/>
              <w:rPr>
                <w:bCs/>
              </w:rPr>
            </w:pPr>
            <w:r>
              <w:rPr>
                <w:szCs w:val="20"/>
              </w:rPr>
              <w:t>Kriisinratkaisun resilienssin piirteet</w:t>
            </w:r>
            <w:r>
              <w:t xml:space="preserve"> </w:t>
            </w:r>
          </w:p>
          <w:p w14:paraId="7FE1C2FF" w14:textId="77777777" w:rsidR="00B81226" w:rsidRDefault="00B82AC2">
            <w:pPr>
              <w:pStyle w:val="P68B1DB1-Normal50"/>
              <w:spacing w:line="276" w:lineRule="auto"/>
              <w:jc w:val="both"/>
              <w:rPr>
                <w:iCs/>
              </w:rPr>
            </w:pPr>
            <w:r>
              <w:t>Kriisinratkaisun kestävät ominaisuudet ovat kiinteistöjä, jotka kyseisellä palvelusopimuksella odotetaan olevan, jotta niitä voidaan pitää kriisinratkaisun sietokykyisinä. Niihin kuuluvat seuraavat, edellyttäen, että sopimuksen mukaiset aineelliset velvoitteet täytetään edelleen:</w:t>
            </w:r>
          </w:p>
          <w:p w14:paraId="7FE1C300" w14:textId="77777777" w:rsidR="00B81226" w:rsidRDefault="00B82AC2">
            <w:pPr>
              <w:pStyle w:val="P68B1DB1-ListParagraph60"/>
              <w:numPr>
                <w:ilvl w:val="0"/>
                <w:numId w:val="240"/>
              </w:numPr>
              <w:spacing w:line="276" w:lineRule="auto"/>
              <w:ind w:left="500"/>
              <w:contextualSpacing/>
              <w:jc w:val="both"/>
              <w:rPr>
                <w:iCs/>
              </w:rPr>
            </w:pPr>
            <w:r>
              <w:t xml:space="preserve">ei purkamista, keskeyttämistä tai muuttamista kriisinratkaisun perusteella (myös liiketoiminnan tervehdyttäminen direktiivin 2014/59/EU 51 artiklan mukaisesti); </w:t>
            </w:r>
          </w:p>
          <w:p w14:paraId="7FE1C301" w14:textId="77777777" w:rsidR="00B81226" w:rsidRDefault="00B82AC2">
            <w:pPr>
              <w:pStyle w:val="P68B1DB1-ListParagraph60"/>
              <w:numPr>
                <w:ilvl w:val="0"/>
                <w:numId w:val="240"/>
              </w:numPr>
              <w:spacing w:line="276" w:lineRule="auto"/>
              <w:ind w:left="500"/>
              <w:contextualSpacing/>
              <w:jc w:val="both"/>
              <w:rPr>
                <w:iCs/>
              </w:rPr>
            </w:pPr>
            <w:r>
              <w:t xml:space="preserve">palvelujen tarjoamisen siirrettävyys uudelle vastaanottajalle joko palvelujen vastaanottajan tai kriisinratkaisuviranomaisen taholta kriisinratkaisun vuoksi (myös tervehdyttäminen direktiivin 2014/59/EU 51 artiklan mukaisesti); </w:t>
            </w:r>
          </w:p>
          <w:p w14:paraId="7FE1C302" w14:textId="77777777" w:rsidR="00B81226" w:rsidRDefault="00B82AC2">
            <w:pPr>
              <w:pStyle w:val="P68B1DB1-ListParagraph60"/>
              <w:numPr>
                <w:ilvl w:val="0"/>
                <w:numId w:val="240"/>
              </w:numPr>
              <w:spacing w:line="276" w:lineRule="auto"/>
              <w:ind w:left="500"/>
              <w:contextualSpacing/>
              <w:jc w:val="both"/>
              <w:rPr>
                <w:iCs/>
              </w:rPr>
            </w:pPr>
            <w:r>
              <w:t>tuki kriisinratkaisun (myös direktiivin 2014/59/EU 51 artiklan mukaisen tervehdyttämisen) aikana tapahtuvassa siirrossa tai purkamisessa kohtuullisen kauan (esimerkiksi 24 kuukautta) nykyisen palveluntarjoajan taholta ja samoin ehdoin ja edellytyksin; ja sekä</w:t>
            </w:r>
          </w:p>
          <w:p w14:paraId="7FE1C303" w14:textId="77777777" w:rsidR="00B81226" w:rsidRDefault="00B82AC2">
            <w:pPr>
              <w:pStyle w:val="P68B1DB1-ListParagraph60"/>
              <w:numPr>
                <w:ilvl w:val="0"/>
                <w:numId w:val="240"/>
              </w:numPr>
              <w:spacing w:line="276" w:lineRule="auto"/>
              <w:ind w:left="500"/>
              <w:contextualSpacing/>
              <w:jc w:val="both"/>
              <w:rPr>
                <w:iCs/>
              </w:rPr>
            </w:pPr>
            <w:r>
              <w:t>jatkuva palvelujen tarjoaminen luovutetulle konsernin yksikölle kriisinratkaisun (myös direktiivin 2014/59/EU 51 artiklan mukaisen tervehdyttämisen) aikana kohtuullisen kauan luovutuksen jälkeen, esimerkiksi 24 kuukautta.</w:t>
            </w:r>
          </w:p>
          <w:p w14:paraId="7FE1C304" w14:textId="77777777" w:rsidR="00B81226" w:rsidRDefault="00B82AC2">
            <w:pPr>
              <w:spacing w:line="276" w:lineRule="auto"/>
              <w:jc w:val="both"/>
              <w:rPr>
                <w:rFonts w:ascii="Times New Roman" w:eastAsia="Calibri" w:hAnsi="Times New Roman" w:cs="Times New Roman"/>
                <w:iCs/>
                <w:sz w:val="20"/>
                <w:szCs w:val="20"/>
              </w:rPr>
            </w:pPr>
            <w:r>
              <w:rPr>
                <w:rFonts w:ascii="Times New Roman" w:eastAsia="Calibri" w:hAnsi="Times New Roman" w:cs="Times New Roman"/>
                <w:sz w:val="20"/>
                <w:szCs w:val="20"/>
              </w:rPr>
              <w:t>Tämä koskee sopimuksia, joihin sovelletaan EU:n jäsenvaltion lakia ja lainkäyttövaltaa, jäljempänä</w:t>
            </w:r>
            <w:r>
              <w:rPr>
                <w:rStyle w:val="FootnoteReference"/>
                <w:rFonts w:ascii="Times New Roman" w:eastAsia="Calibri" w:hAnsi="Times New Roman" w:cs="Times New Roman"/>
                <w:sz w:val="20"/>
                <w:szCs w:val="20"/>
              </w:rPr>
              <w:footnoteReference w:id="26"/>
            </w:r>
            <w:r>
              <w:rPr>
                <w:rFonts w:ascii="Times New Roman" w:eastAsia="Calibri" w:hAnsi="Times New Roman" w:cs="Times New Roman"/>
                <w:sz w:val="20"/>
                <w:szCs w:val="20"/>
              </w:rPr>
              <w:t xml:space="preserve"> ’EU-sopimukset’, ja sopimuksiin, joihin sovelletaan kolmannen maan lakia.</w:t>
            </w:r>
          </w:p>
          <w:p w14:paraId="7FE1C305" w14:textId="77777777" w:rsidR="00B81226" w:rsidRDefault="00B81226">
            <w:pPr>
              <w:spacing w:line="276" w:lineRule="auto"/>
              <w:jc w:val="both"/>
              <w:rPr>
                <w:rFonts w:ascii="Times New Roman" w:eastAsia="Calibri" w:hAnsi="Times New Roman" w:cs="Times New Roman"/>
                <w:sz w:val="20"/>
              </w:rPr>
            </w:pPr>
          </w:p>
          <w:p w14:paraId="7FE1C306" w14:textId="77777777" w:rsidR="00B81226" w:rsidRDefault="00B82AC2">
            <w:pPr>
              <w:pStyle w:val="P68B1DB1-Normal45"/>
              <w:spacing w:line="276" w:lineRule="auto"/>
              <w:jc w:val="both"/>
            </w:pPr>
            <w:r>
              <w:t>Ilmoittamisessa käytetään seuraavia arvoja:</w:t>
            </w:r>
          </w:p>
          <w:p w14:paraId="7FE1C307" w14:textId="77777777" w:rsidR="00B81226" w:rsidRDefault="00B82AC2">
            <w:pPr>
              <w:pStyle w:val="P68B1DB1-Normal50"/>
              <w:spacing w:line="276" w:lineRule="auto"/>
              <w:jc w:val="both"/>
            </w:pPr>
            <w:r>
              <w:t>”Yes” (Kyllä) – jos sopimus arvioidaan kriisinratkaisun</w:t>
            </w:r>
            <w:r>
              <w:rPr>
                <w:strike/>
              </w:rPr>
              <w:t xml:space="preserve">kanssa yhteensopivaksi </w:t>
            </w:r>
          </w:p>
          <w:p w14:paraId="7FE1C308" w14:textId="77777777" w:rsidR="00B81226" w:rsidRDefault="00B82AC2">
            <w:pPr>
              <w:pStyle w:val="P68B1DB1-Normal50"/>
              <w:spacing w:line="276" w:lineRule="auto"/>
              <w:jc w:val="both"/>
            </w:pPr>
            <w:r>
              <w:t>”No” (Ei) – jos sopimusta ei arvioida kriisinratkaisun</w:t>
            </w:r>
            <w:r>
              <w:rPr>
                <w:strike/>
              </w:rPr>
              <w:t xml:space="preserve"> kanssa yhteensopivaksi </w:t>
            </w:r>
          </w:p>
          <w:p w14:paraId="7FE1C309" w14:textId="77777777" w:rsidR="00B81226" w:rsidRDefault="00B82AC2">
            <w:pPr>
              <w:pStyle w:val="P68B1DB1-Normal50"/>
              <w:spacing w:line="276" w:lineRule="auto"/>
              <w:jc w:val="both"/>
            </w:pPr>
            <w:r>
              <w:t>”’Not assessed” (Ei arvioitu) – jos arviota ei ole tehty.</w:t>
            </w:r>
          </w:p>
          <w:p w14:paraId="7FE1C30A" w14:textId="5741BAA8" w:rsidR="00B81226" w:rsidRDefault="00B82AC2">
            <w:pPr>
              <w:pStyle w:val="P68B1DB1-Normal50"/>
              <w:spacing w:line="276" w:lineRule="auto"/>
              <w:jc w:val="both"/>
            </w:pPr>
            <w:r>
              <w:t>”Ei APPLICABLE” – yhteisön sisäiset palvelut</w:t>
            </w:r>
          </w:p>
          <w:p w14:paraId="7FE1C30B" w14:textId="77777777" w:rsidR="00B81226" w:rsidRDefault="00B81226">
            <w:pPr>
              <w:spacing w:line="276" w:lineRule="auto"/>
              <w:jc w:val="both"/>
              <w:rPr>
                <w:rFonts w:ascii="Times New Roman" w:eastAsia="Calibri" w:hAnsi="Times New Roman" w:cs="Times New Roman"/>
                <w:sz w:val="20"/>
              </w:rPr>
            </w:pPr>
          </w:p>
        </w:tc>
      </w:tr>
      <w:tr w:rsidR="00B81226" w14:paraId="7FE1C316" w14:textId="77777777">
        <w:trPr>
          <w:trHeight w:val="2120"/>
        </w:trPr>
        <w:tc>
          <w:tcPr>
            <w:tcW w:w="1129" w:type="dxa"/>
          </w:tcPr>
          <w:p w14:paraId="7FE1C30D" w14:textId="77777777" w:rsidR="00B81226" w:rsidRDefault="00B82AC2">
            <w:pPr>
              <w:pStyle w:val="P68B1DB1-Normal45"/>
              <w:spacing w:line="276" w:lineRule="auto"/>
              <w:jc w:val="both"/>
            </w:pPr>
            <w:r>
              <w:t>0160</w:t>
            </w:r>
          </w:p>
        </w:tc>
        <w:tc>
          <w:tcPr>
            <w:tcW w:w="7938" w:type="dxa"/>
          </w:tcPr>
          <w:p w14:paraId="7FE1C30E" w14:textId="77777777" w:rsidR="00B81226" w:rsidRDefault="00B82AC2">
            <w:pPr>
              <w:pStyle w:val="P68B1DB1-Normal55"/>
              <w:spacing w:line="276" w:lineRule="auto"/>
              <w:jc w:val="both"/>
              <w:rPr>
                <w:bCs/>
                <w:iCs/>
              </w:rPr>
            </w:pPr>
            <w:r>
              <w:t>Yritysten tervehdyttämissuunnitelma (BRP)</w:t>
            </w:r>
          </w:p>
          <w:p w14:paraId="7FE1C30F" w14:textId="77777777" w:rsidR="00B81226" w:rsidRDefault="00B82AC2">
            <w:pPr>
              <w:pStyle w:val="P68B1DB1-Normal45"/>
              <w:spacing w:line="276" w:lineRule="auto"/>
              <w:jc w:val="both"/>
              <w:rPr>
                <w:iCs/>
              </w:rPr>
            </w:pPr>
            <w:r>
              <w:t xml:space="preserve">Jos kriisinratkaisustrategia (joko parhaaksi arvioitu tai muunnelma) edellyttää liiketoiminnan tervehdyttämissuunnitelmaa, EU:n sopimuksiin odotetaan sisältyvän nimenomaisia lausekkeita, joilla varmistetaan niiden kriisinratkaisun sietokyky elvytyssuunnitelman täytäntöönpanossa. </w:t>
            </w:r>
          </w:p>
          <w:p w14:paraId="7FE1C310" w14:textId="77777777" w:rsidR="00B81226" w:rsidRDefault="00B81226">
            <w:pPr>
              <w:spacing w:line="276" w:lineRule="auto"/>
              <w:jc w:val="both"/>
              <w:rPr>
                <w:rFonts w:ascii="Times New Roman" w:eastAsia="Calibri" w:hAnsi="Times New Roman" w:cs="Times New Roman"/>
                <w:iCs/>
                <w:sz w:val="20"/>
              </w:rPr>
            </w:pPr>
          </w:p>
          <w:p w14:paraId="7FE1C311" w14:textId="77777777" w:rsidR="00B81226" w:rsidRDefault="00B82AC2">
            <w:pPr>
              <w:pStyle w:val="P68B1DB1-Normal45"/>
              <w:spacing w:line="276" w:lineRule="auto"/>
              <w:jc w:val="both"/>
              <w:rPr>
                <w:iCs/>
              </w:rPr>
            </w:pPr>
            <w:r>
              <w:t>Ilmoittamisessa käytetään seuraavia arvoja:</w:t>
            </w:r>
          </w:p>
          <w:p w14:paraId="7FE1C312" w14:textId="77777777" w:rsidR="00B81226" w:rsidRDefault="00B82AC2">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Kyllä” – jos sopimukseen sisältyy nimenomaisia lausekkeita, joilla varmistetaan niiden kriisinratkaisun sietokyky BRP:n täytäntöönpanossa</w:t>
            </w:r>
          </w:p>
          <w:p w14:paraId="7FE1C313" w14:textId="77777777" w:rsidR="00B81226" w:rsidRDefault="00B82AC2">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Ei” – jos sopimukseen ei sisälly nimenomaisia lausekkeita, joilla varmistetaan niiden kriisinratkaisun sietokyky BRP:n täytäntöönpanossa</w:t>
            </w:r>
          </w:p>
          <w:p w14:paraId="7FE1C314" w14:textId="77777777" w:rsidR="00B81226" w:rsidRDefault="00B82AC2">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Not assessed” (Ei arvioitu) – jos arviota ei ole tehty</w:t>
            </w:r>
            <w:r>
              <w:rPr>
                <w:rFonts w:ascii="Times New Roman" w:hAnsi="Times New Roman" w:cs="Times New Roman"/>
              </w:rPr>
              <w:t>.</w:t>
            </w:r>
          </w:p>
          <w:p w14:paraId="7FE1C315" w14:textId="0FA2A696" w:rsidR="00B81226" w:rsidRDefault="00B82AC2">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 xml:space="preserve">Ei APPLICABLE” – yhteisön sisäiset palvelut tai konsernin sisäiset ja ulkoiset palvelut, jos kriisinratkaisustrategia (parhaaksi arvioitu ja muunnelma) ei edellytä liiketoiminnan tervehdyttämissuunnitelmaa </w:t>
            </w:r>
          </w:p>
        </w:tc>
      </w:tr>
      <w:tr w:rsidR="00B81226" w14:paraId="7FE1C320" w14:textId="77777777">
        <w:trPr>
          <w:trHeight w:val="416"/>
        </w:trPr>
        <w:tc>
          <w:tcPr>
            <w:tcW w:w="1129" w:type="dxa"/>
          </w:tcPr>
          <w:p w14:paraId="7FE1C317" w14:textId="77777777" w:rsidR="00B81226" w:rsidRDefault="00B82AC2">
            <w:pPr>
              <w:pStyle w:val="P68B1DB1-Normal45"/>
              <w:spacing w:line="276" w:lineRule="auto"/>
              <w:jc w:val="both"/>
            </w:pPr>
            <w:r>
              <w:t>0170</w:t>
            </w:r>
          </w:p>
        </w:tc>
        <w:tc>
          <w:tcPr>
            <w:tcW w:w="7938" w:type="dxa"/>
          </w:tcPr>
          <w:p w14:paraId="7FE1C318" w14:textId="77777777" w:rsidR="00B81226" w:rsidRDefault="00B82AC2">
            <w:pPr>
              <w:pStyle w:val="P68B1DB1-Normal55"/>
              <w:spacing w:line="276" w:lineRule="auto"/>
              <w:jc w:val="both"/>
              <w:rPr>
                <w:bCs/>
              </w:rPr>
            </w:pPr>
            <w:r>
              <w:t xml:space="preserve">Vaihtoehtoiset lieventävät toimet </w:t>
            </w:r>
          </w:p>
          <w:p w14:paraId="7FE1C319" w14:textId="77777777" w:rsidR="00B81226" w:rsidRDefault="00B82AC2">
            <w:pPr>
              <w:pStyle w:val="P68B1DB1-Normal45"/>
              <w:spacing w:line="276" w:lineRule="auto"/>
              <w:jc w:val="both"/>
            </w:pPr>
            <w:r>
              <w:t xml:space="preserve">Jos kriisinratkaisun häiriönsietokykyä odotetaan saavutettavan mutta pankit eivät ole pystyneet siihen, pankkien odotetaan tutkivan vaihtoehtoisia lieventäviä toimia. </w:t>
            </w:r>
          </w:p>
          <w:p w14:paraId="7FE1C31A" w14:textId="77777777" w:rsidR="00B81226" w:rsidRDefault="00B81226">
            <w:pPr>
              <w:spacing w:line="276" w:lineRule="auto"/>
              <w:jc w:val="both"/>
              <w:rPr>
                <w:rFonts w:ascii="Times New Roman" w:eastAsia="Calibri" w:hAnsi="Times New Roman" w:cs="Times New Roman"/>
                <w:sz w:val="20"/>
              </w:rPr>
            </w:pPr>
          </w:p>
          <w:p w14:paraId="7FE1C31B" w14:textId="77777777" w:rsidR="00B81226" w:rsidRDefault="00B82AC2">
            <w:pPr>
              <w:pStyle w:val="P68B1DB1-Normal45"/>
              <w:spacing w:line="276" w:lineRule="auto"/>
              <w:jc w:val="both"/>
              <w:rPr>
                <w:iCs/>
              </w:rPr>
            </w:pPr>
            <w:r>
              <w:t>Ilmoittamisessa käytetään seuraavia arvoja:</w:t>
            </w:r>
          </w:p>
          <w:p w14:paraId="7FE1C31C" w14:textId="77777777" w:rsidR="00B81226" w:rsidRDefault="00B82AC2">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Kyllä” – jos pankki on toteuttanut vaihtoehtoisia lieventäviä toimia</w:t>
            </w:r>
          </w:p>
          <w:p w14:paraId="7FE1C31D" w14:textId="77777777" w:rsidR="00B81226" w:rsidRDefault="00B82AC2">
            <w:pPr>
              <w:spacing w:line="276" w:lineRule="auto"/>
              <w:jc w:val="both"/>
              <w:rPr>
                <w:rFonts w:ascii="Times New Roman" w:eastAsia="Calibri" w:hAnsi="Times New Roman" w:cs="Times New Roman"/>
                <w:iCs/>
                <w:sz w:val="20"/>
              </w:rPr>
            </w:pPr>
            <w:r>
              <w:rPr>
                <w:rFonts w:ascii="Times New Roman" w:hAnsi="Times New Roman" w:cs="Times New Roman"/>
              </w:rPr>
              <w:lastRenderedPageBreak/>
              <w:t>”</w:t>
            </w:r>
            <w:r>
              <w:rPr>
                <w:rFonts w:ascii="Times New Roman" w:eastAsia="Calibri" w:hAnsi="Times New Roman" w:cs="Times New Roman"/>
                <w:sz w:val="20"/>
              </w:rPr>
              <w:t>Ei” – jos pankki ei ole toteuttanut vaihtoehtoisia lieventäviä toimia</w:t>
            </w:r>
          </w:p>
          <w:p w14:paraId="7FE1C31E" w14:textId="7B22C50F" w:rsidR="00B81226" w:rsidRDefault="00B82AC2">
            <w:pPr>
              <w:spacing w:line="276" w:lineRule="auto"/>
              <w:jc w:val="both"/>
              <w:rPr>
                <w:rFonts w:ascii="Times New Roman" w:eastAsia="Calibri" w:hAnsi="Times New Roman" w:cs="Times New Roman"/>
                <w:iCs/>
                <w:sz w:val="20"/>
              </w:rPr>
            </w:pPr>
            <w:r>
              <w:rPr>
                <w:rFonts w:ascii="Times New Roman" w:hAnsi="Times New Roman" w:cs="Times New Roman"/>
              </w:rPr>
              <w:t xml:space="preserve"> ”</w:t>
            </w:r>
            <w:r>
              <w:rPr>
                <w:rFonts w:ascii="Times New Roman" w:eastAsia="Calibri" w:hAnsi="Times New Roman" w:cs="Times New Roman"/>
                <w:sz w:val="20"/>
              </w:rPr>
              <w:t>Ei HYVÄKSYI” – tapauksissa, joissa johonkin sarakkeista 0150 tai 0160 on merkitty ”Kyllä” tai ”EI TÄYTÄNTÖÖN”</w:t>
            </w:r>
          </w:p>
          <w:p w14:paraId="7FE1C31F" w14:textId="77777777" w:rsidR="00B81226" w:rsidRDefault="00B81226">
            <w:pPr>
              <w:spacing w:line="276" w:lineRule="auto"/>
              <w:jc w:val="both"/>
              <w:rPr>
                <w:rFonts w:ascii="Times New Roman" w:eastAsia="Calibri" w:hAnsi="Times New Roman" w:cs="Times New Roman"/>
                <w:sz w:val="20"/>
              </w:rPr>
            </w:pPr>
          </w:p>
        </w:tc>
      </w:tr>
      <w:tr w:rsidR="00B81226" w14:paraId="7FE1C327" w14:textId="77777777">
        <w:trPr>
          <w:trHeight w:val="1257"/>
        </w:trPr>
        <w:tc>
          <w:tcPr>
            <w:tcW w:w="1129" w:type="dxa"/>
          </w:tcPr>
          <w:p w14:paraId="7FE1C321" w14:textId="77777777" w:rsidR="00B81226" w:rsidRDefault="00B82AC2">
            <w:pPr>
              <w:pStyle w:val="P68B1DB1-Normal45"/>
              <w:spacing w:line="276" w:lineRule="auto"/>
              <w:jc w:val="both"/>
            </w:pPr>
            <w:r>
              <w:lastRenderedPageBreak/>
              <w:t>0180</w:t>
            </w:r>
          </w:p>
        </w:tc>
        <w:tc>
          <w:tcPr>
            <w:tcW w:w="7938" w:type="dxa"/>
          </w:tcPr>
          <w:p w14:paraId="7FE1C322" w14:textId="77777777" w:rsidR="00B81226" w:rsidRDefault="00B82AC2">
            <w:pPr>
              <w:pStyle w:val="P68B1DB1-Normal55"/>
              <w:spacing w:line="276" w:lineRule="auto"/>
              <w:jc w:val="both"/>
              <w:rPr>
                <w:iCs/>
              </w:rPr>
            </w:pPr>
            <w:r>
              <w:rPr>
                <w:szCs w:val="20"/>
              </w:rPr>
              <w:t>DORA-asetuksen mukainen kriittinen TVT-palveluntarjoajana oleva kolmas osapuoli</w:t>
            </w:r>
            <w:r>
              <w:t xml:space="preserve"> </w:t>
            </w:r>
          </w:p>
          <w:p w14:paraId="7FE1C323" w14:textId="77777777" w:rsidR="00B81226" w:rsidRDefault="00B82AC2">
            <w:pPr>
              <w:pStyle w:val="P68B1DB1-Normal45"/>
              <w:spacing w:line="276" w:lineRule="auto"/>
              <w:jc w:val="both"/>
              <w:rPr>
                <w:iCs/>
              </w:rPr>
            </w:pPr>
            <w:r>
              <w:t>Ilmoittamisessa käytetään seuraavia arvoja:</w:t>
            </w:r>
          </w:p>
          <w:p w14:paraId="7FE1C324" w14:textId="77777777" w:rsidR="00B81226" w:rsidRDefault="00B82AC2">
            <w:pPr>
              <w:pStyle w:val="P68B1DB1-Normal50"/>
              <w:spacing w:line="276" w:lineRule="auto"/>
              <w:jc w:val="both"/>
            </w:pPr>
            <w:r>
              <w:t>”Kyllä” – jos kyseessä on asetuksen 2022/2554 (DORA) 3 artiklan 23 kohdassa tarkoitettu kriittinen TVT-palveluntarjoajana oleva kolmas osapuoli</w:t>
            </w:r>
          </w:p>
          <w:p w14:paraId="7FE1C325" w14:textId="77777777" w:rsidR="00B81226" w:rsidRDefault="00B82AC2">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Ei” – jos kyseessä ei ole asetuksen 2022/2554 (DORA) 3 artiklan 23 kohdassa tarkoitettu kriittinen TVT-palveluntarjoajana oleva kolmas osapuoli</w:t>
            </w:r>
          </w:p>
          <w:p w14:paraId="7FE1C326" w14:textId="77777777" w:rsidR="00B81226" w:rsidRDefault="00B81226">
            <w:pPr>
              <w:spacing w:line="276" w:lineRule="auto"/>
              <w:jc w:val="both"/>
              <w:rPr>
                <w:rFonts w:ascii="Times New Roman" w:eastAsia="Calibri" w:hAnsi="Times New Roman" w:cs="Times New Roman"/>
                <w:sz w:val="20"/>
              </w:rPr>
            </w:pPr>
          </w:p>
        </w:tc>
      </w:tr>
      <w:tr w:rsidR="00B81226" w14:paraId="7FE1C32E" w14:textId="77777777">
        <w:trPr>
          <w:trHeight w:val="1257"/>
        </w:trPr>
        <w:tc>
          <w:tcPr>
            <w:tcW w:w="1129" w:type="dxa"/>
          </w:tcPr>
          <w:p w14:paraId="7FE1C328" w14:textId="77777777" w:rsidR="00B81226" w:rsidRDefault="00B82AC2">
            <w:pPr>
              <w:pStyle w:val="P68B1DB1-Normal45"/>
              <w:spacing w:line="276" w:lineRule="auto"/>
              <w:jc w:val="both"/>
            </w:pPr>
            <w:r>
              <w:t>0190</w:t>
            </w:r>
          </w:p>
        </w:tc>
        <w:tc>
          <w:tcPr>
            <w:tcW w:w="7938" w:type="dxa"/>
          </w:tcPr>
          <w:p w14:paraId="7FE1C329" w14:textId="77777777" w:rsidR="00B81226" w:rsidRDefault="00B82AC2">
            <w:pPr>
              <w:pStyle w:val="P68B1DB1-Normal55"/>
              <w:spacing w:line="276" w:lineRule="auto"/>
              <w:jc w:val="both"/>
              <w:rPr>
                <w:iCs/>
              </w:rPr>
            </w:pPr>
            <w:r>
              <w:rPr>
                <w:szCs w:val="20"/>
              </w:rPr>
              <w:t>DORA-asetuksen mukainen TVT-palvelu</w:t>
            </w:r>
            <w:r>
              <w:t xml:space="preserve"> </w:t>
            </w:r>
          </w:p>
          <w:p w14:paraId="7FE1C32A" w14:textId="77777777" w:rsidR="00B81226" w:rsidRDefault="00B82AC2">
            <w:pPr>
              <w:pStyle w:val="P68B1DB1-Normal45"/>
              <w:spacing w:line="276" w:lineRule="auto"/>
              <w:jc w:val="both"/>
              <w:rPr>
                <w:iCs/>
              </w:rPr>
            </w:pPr>
            <w:r>
              <w:t>Ilmoittamisessa käytetään seuraavia arvoja:</w:t>
            </w:r>
          </w:p>
          <w:p w14:paraId="7FE1C32B" w14:textId="3A99D278" w:rsidR="00B81226" w:rsidRDefault="00B82AC2">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”Kyllä” – jos kyseessä on asetuksen 2022/2554</w:t>
            </w:r>
            <w:r>
              <w:rPr>
                <w:rStyle w:val="FootnoteReference"/>
                <w:rFonts w:eastAsia="Calibri" w:cs="Times New Roman"/>
              </w:rPr>
              <w:footnoteReference w:id="27"/>
            </w:r>
            <w:r>
              <w:rPr>
                <w:rFonts w:ascii="Times New Roman" w:eastAsia="Calibri" w:hAnsi="Times New Roman" w:cs="Times New Roman"/>
                <w:sz w:val="20"/>
                <w:szCs w:val="20"/>
              </w:rPr>
              <w:t xml:space="preserve"> (DORA) 3 artiklan 21 kohdassa tarkoitettu TVT-palvelu</w:t>
            </w:r>
          </w:p>
          <w:p w14:paraId="7FE1C32C" w14:textId="77777777" w:rsidR="00B81226" w:rsidRDefault="00B82AC2">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Ei” – jos kyseessä ei ole asetuksen 2022/2554 (DORA) 3 artiklan 21 kohdassa tarkoitettu TVT-palvelu</w:t>
            </w:r>
          </w:p>
          <w:p w14:paraId="7FE1C32D" w14:textId="77777777" w:rsidR="00B81226" w:rsidRDefault="00B81226">
            <w:pPr>
              <w:spacing w:line="276" w:lineRule="auto"/>
              <w:jc w:val="both"/>
              <w:rPr>
                <w:rFonts w:ascii="Times New Roman" w:eastAsia="Calibri" w:hAnsi="Times New Roman" w:cs="Times New Roman"/>
                <w:iCs/>
                <w:sz w:val="20"/>
              </w:rPr>
            </w:pPr>
          </w:p>
        </w:tc>
      </w:tr>
    </w:tbl>
    <w:p w14:paraId="7FE1C32F" w14:textId="77777777" w:rsidR="00B81226" w:rsidRDefault="00B81226">
      <w:pPr>
        <w:spacing w:line="276" w:lineRule="auto"/>
        <w:jc w:val="both"/>
        <w:rPr>
          <w:rFonts w:ascii="Times New Roman" w:eastAsia="Calibri" w:hAnsi="Times New Roman" w:cs="Times New Roman"/>
          <w:color w:val="0070C0"/>
          <w:sz w:val="20"/>
        </w:rPr>
      </w:pPr>
    </w:p>
    <w:p w14:paraId="7FE1C478" w14:textId="77777777" w:rsidR="00B81226" w:rsidRDefault="00B81226">
      <w:pPr>
        <w:rPr>
          <w:rFonts w:ascii="Times New Roman" w:eastAsia="Times New Roman" w:hAnsi="Times New Roman" w:cs="Times New Roman"/>
          <w:sz w:val="20"/>
          <w:szCs w:val="20"/>
          <w:u w:val="single"/>
        </w:rPr>
      </w:pPr>
    </w:p>
    <w:p w14:paraId="7FE1C479" w14:textId="77777777" w:rsidR="00B81226" w:rsidRDefault="00B81226">
      <w:pPr>
        <w:rPr>
          <w:rFonts w:ascii="Times New Roman" w:eastAsia="Times New Roman" w:hAnsi="Times New Roman" w:cs="Times New Roman"/>
          <w:sz w:val="20"/>
          <w:szCs w:val="20"/>
          <w:u w:val="single"/>
        </w:rPr>
      </w:pPr>
    </w:p>
    <w:p w14:paraId="7FE1C47A" w14:textId="77777777" w:rsidR="00B81226" w:rsidRDefault="00B82AC2">
      <w:pPr>
        <w:pStyle w:val="P68B1DB1-Instructionsberschrift25"/>
        <w:numPr>
          <w:ilvl w:val="1"/>
          <w:numId w:val="49"/>
        </w:numPr>
        <w:ind w:left="357" w:hanging="357"/>
        <w:rPr>
          <w:szCs w:val="20"/>
        </w:rPr>
      </w:pPr>
      <w:bookmarkStart w:id="128" w:name="_Toc208245455"/>
      <w:r>
        <w:t>Z 08.02 – Asiaan liittyvät palvelut – kuvaus operatiivisista omaisuuseristä (SERV 2)</w:t>
      </w:r>
      <w:bookmarkEnd w:id="128"/>
    </w:p>
    <w:p w14:paraId="7FE1C47B" w14:textId="77777777" w:rsidR="00B81226" w:rsidRDefault="00B82AC2">
      <w:pPr>
        <w:pStyle w:val="P68B1DB1-Normal50"/>
        <w:spacing w:line="276" w:lineRule="auto"/>
        <w:jc w:val="both"/>
      </w:pPr>
      <w:r>
        <w:t>Yleiset ohjeet</w:t>
      </w:r>
    </w:p>
    <w:p w14:paraId="7FE1C47C" w14:textId="77777777" w:rsidR="00B81226" w:rsidRDefault="00B82AC2">
      <w:pPr>
        <w:pStyle w:val="P68B1DB1-Instructionsberschrift346"/>
        <w:numPr>
          <w:ilvl w:val="4"/>
          <w:numId w:val="259"/>
        </w:numPr>
        <w:contextualSpacing/>
        <w:jc w:val="both"/>
        <w:rPr>
          <w:color w:val="auto"/>
        </w:rPr>
      </w:pPr>
      <w:bookmarkStart w:id="129" w:name="_Hlk161330001"/>
      <w:r>
        <w:rPr>
          <w:color w:val="auto"/>
          <w:szCs w:val="24"/>
        </w:rPr>
        <w:t>Tähän lomakkeeseen sisällytettävät tiedot ilmoitetaan kerran koko konsernista, ja lomakkeessa luetellaan konserniyhteisön mahdollisesti vastaanottamat kriittiset palvelut ja yhdistetään ne konsernin tarjoamiin kriittisiin toimintoihin</w:t>
      </w:r>
      <w:r>
        <w:t>.</w:t>
      </w:r>
    </w:p>
    <w:p w14:paraId="7FE1C47D" w14:textId="790BE864" w:rsidR="00B81226" w:rsidRDefault="00B82AC2">
      <w:pPr>
        <w:pStyle w:val="P68B1DB1-Instructionsberschrift348"/>
        <w:numPr>
          <w:ilvl w:val="4"/>
          <w:numId w:val="49"/>
        </w:numPr>
        <w:contextualSpacing/>
        <w:jc w:val="both"/>
        <w:rPr>
          <w:color w:val="auto"/>
        </w:rPr>
      </w:pPr>
      <w:r>
        <w:t>Tämän lomakkeen sarakkeissa 0010, 0020, 0030 ja 0080 ilmoitetut arvot yhdessä muodostavat ensisijaisen avaimen, jonka on oltava yksilöllinen lomakkeen jokaiselle riville.</w:t>
      </w:r>
    </w:p>
    <w:bookmarkEnd w:id="129"/>
    <w:p w14:paraId="7FE1C482" w14:textId="77777777" w:rsidR="00B81226" w:rsidRDefault="00B81226">
      <w:pPr>
        <w:rPr>
          <w:rFonts w:ascii="Times New Roman" w:eastAsia="Times New Roman" w:hAnsi="Times New Roman" w:cs="Times New Roman"/>
          <w:sz w:val="20"/>
          <w:szCs w:val="20"/>
          <w:u w:val="single"/>
        </w:rPr>
      </w:pPr>
    </w:p>
    <w:tbl>
      <w:tblPr>
        <w:tblStyle w:val="TableGrid11"/>
        <w:tblW w:w="9209" w:type="dxa"/>
        <w:tblLook w:val="04A0" w:firstRow="1" w:lastRow="0" w:firstColumn="1" w:lastColumn="0" w:noHBand="0" w:noVBand="1"/>
      </w:tblPr>
      <w:tblGrid>
        <w:gridCol w:w="1418"/>
        <w:gridCol w:w="7791"/>
      </w:tblGrid>
      <w:tr w:rsidR="00B81226" w14:paraId="7FE1C54A" w14:textId="77777777">
        <w:trPr>
          <w:trHeight w:val="495"/>
          <w:tblHeader/>
        </w:trPr>
        <w:tc>
          <w:tcPr>
            <w:tcW w:w="1418" w:type="dxa"/>
            <w:shd w:val="clear" w:color="auto" w:fill="E7E6E6"/>
          </w:tcPr>
          <w:p w14:paraId="7FE1C548" w14:textId="77777777" w:rsidR="00B81226" w:rsidRDefault="00B82AC2">
            <w:pPr>
              <w:pStyle w:val="P68B1DB1-Normal61"/>
              <w:spacing w:before="120" w:after="120" w:line="276" w:lineRule="auto"/>
            </w:pPr>
            <w:r>
              <w:t>Sarakkeet</w:t>
            </w:r>
          </w:p>
        </w:tc>
        <w:tc>
          <w:tcPr>
            <w:tcW w:w="7791" w:type="dxa"/>
            <w:shd w:val="clear" w:color="auto" w:fill="E7E6E6"/>
          </w:tcPr>
          <w:p w14:paraId="7FE1C549" w14:textId="77777777" w:rsidR="00B81226" w:rsidRDefault="00B82AC2">
            <w:pPr>
              <w:pStyle w:val="P68B1DB1-Normal61"/>
              <w:spacing w:before="120" w:after="120" w:line="276" w:lineRule="auto"/>
            </w:pPr>
            <w:r>
              <w:t>Ohjeet</w:t>
            </w:r>
          </w:p>
        </w:tc>
      </w:tr>
      <w:tr w:rsidR="00B81226" w14:paraId="7FE1C550" w14:textId="77777777">
        <w:trPr>
          <w:trHeight w:val="450"/>
        </w:trPr>
        <w:tc>
          <w:tcPr>
            <w:tcW w:w="1418" w:type="dxa"/>
            <w:shd w:val="clear" w:color="auto" w:fill="FFFFFF" w:themeFill="background1"/>
          </w:tcPr>
          <w:p w14:paraId="7FE1C54B" w14:textId="77777777" w:rsidR="00B81226" w:rsidRDefault="00B82AC2">
            <w:pPr>
              <w:pStyle w:val="P68B1DB1-Normal62"/>
              <w:spacing w:before="120" w:after="120" w:line="276" w:lineRule="auto"/>
            </w:pPr>
            <w:r>
              <w:t>0005</w:t>
            </w:r>
          </w:p>
        </w:tc>
        <w:tc>
          <w:tcPr>
            <w:tcW w:w="7791" w:type="dxa"/>
            <w:shd w:val="clear" w:color="auto" w:fill="FFFFFF" w:themeFill="background1"/>
          </w:tcPr>
          <w:p w14:paraId="7FE1C54C" w14:textId="77777777" w:rsidR="00B81226" w:rsidRDefault="00B82AC2">
            <w:pPr>
              <w:pStyle w:val="P68B1DB1-Normal61"/>
              <w:spacing w:before="120" w:after="120" w:line="276" w:lineRule="auto"/>
            </w:pPr>
            <w:r>
              <w:t xml:space="preserve">(Service Identifier) Palvelun tunniste </w:t>
            </w:r>
          </w:p>
          <w:p w14:paraId="7FE1C54D" w14:textId="77777777" w:rsidR="00B81226" w:rsidRDefault="00B82AC2">
            <w:pPr>
              <w:pStyle w:val="P68B1DB1-Normal62"/>
              <w:spacing w:before="120" w:after="120" w:line="276" w:lineRule="auto"/>
            </w:pPr>
            <w:r>
              <w:t>Käytetään lomakkeessa Z 08.01 (SERV 1) ilmoitettua palvelun tunnistetta.</w:t>
            </w:r>
          </w:p>
          <w:p w14:paraId="7FE1C54E" w14:textId="77777777" w:rsidR="00B81226" w:rsidRDefault="00B82AC2">
            <w:pPr>
              <w:pStyle w:val="P68B1DB1-Normal62"/>
              <w:spacing w:before="120" w:after="120" w:line="276" w:lineRule="auto"/>
            </w:pPr>
            <w:r>
              <w:t>Palvelun tunniste viittaa sarakkeessa 0020 ilmoitettuun palveluun.</w:t>
            </w:r>
          </w:p>
          <w:p w14:paraId="7FE1C54F" w14:textId="77777777" w:rsidR="00B81226" w:rsidRDefault="00B81226">
            <w:pPr>
              <w:spacing w:before="120" w:after="120" w:line="276" w:lineRule="auto"/>
              <w:rPr>
                <w:rFonts w:ascii="Times New Roman" w:hAnsi="Times New Roman"/>
                <w:i/>
                <w:sz w:val="20"/>
                <w:szCs w:val="20"/>
              </w:rPr>
            </w:pPr>
          </w:p>
        </w:tc>
      </w:tr>
      <w:tr w:rsidR="00B81226" w14:paraId="7FE1C594" w14:textId="77777777">
        <w:trPr>
          <w:trHeight w:val="450"/>
        </w:trPr>
        <w:tc>
          <w:tcPr>
            <w:tcW w:w="1418" w:type="dxa"/>
            <w:shd w:val="clear" w:color="auto" w:fill="FFFFFF" w:themeFill="background1"/>
          </w:tcPr>
          <w:p w14:paraId="7FE1C551" w14:textId="77777777" w:rsidR="00B81226" w:rsidRDefault="00B82AC2">
            <w:pPr>
              <w:pStyle w:val="P68B1DB1-Normal62"/>
              <w:spacing w:before="120" w:after="120" w:line="276" w:lineRule="auto"/>
            </w:pPr>
            <w:r>
              <w:t>0010</w:t>
            </w:r>
          </w:p>
        </w:tc>
        <w:tc>
          <w:tcPr>
            <w:tcW w:w="7791" w:type="dxa"/>
            <w:shd w:val="clear" w:color="auto" w:fill="FFFFFF" w:themeFill="background1"/>
          </w:tcPr>
          <w:p w14:paraId="7FE1C552" w14:textId="77777777" w:rsidR="00B81226" w:rsidRDefault="00B82AC2">
            <w:pPr>
              <w:pStyle w:val="P68B1DB1-Normal61"/>
              <w:autoSpaceDE w:val="0"/>
              <w:autoSpaceDN w:val="0"/>
              <w:adjustRightInd w:val="0"/>
              <w:rPr>
                <w:rFonts w:eastAsia="MS Mincho"/>
              </w:rPr>
            </w:pPr>
            <w:r>
              <w:t xml:space="preserve">Palvelutyyppi </w:t>
            </w:r>
          </w:p>
          <w:p w14:paraId="7FE1C57A" w14:textId="35040E48" w:rsidR="00B81226" w:rsidRDefault="00B82AC2">
            <w:pPr>
              <w:pStyle w:val="P68B1DB1-Normal63"/>
              <w:autoSpaceDE w:val="0"/>
              <w:autoSpaceDN w:val="0"/>
              <w:adjustRightInd w:val="0"/>
            </w:pPr>
            <w:r>
              <w:t>Palvelutyypin on oltava jokin edellä kohdassa Z 08.01 0010 luetelluista palvelutyypeistä.</w:t>
            </w:r>
          </w:p>
          <w:p w14:paraId="7FE1C593" w14:textId="77777777" w:rsidR="00B81226" w:rsidRDefault="00B81226">
            <w:pPr>
              <w:autoSpaceDE w:val="0"/>
              <w:autoSpaceDN w:val="0"/>
              <w:adjustRightInd w:val="0"/>
              <w:rPr>
                <w:rFonts w:ascii="Times New Roman" w:hAnsi="Times New Roman"/>
                <w:sz w:val="20"/>
                <w:szCs w:val="20"/>
              </w:rPr>
            </w:pPr>
          </w:p>
        </w:tc>
      </w:tr>
      <w:tr w:rsidR="00B81226" w14:paraId="7FE1C599" w14:textId="77777777">
        <w:trPr>
          <w:trHeight w:val="450"/>
        </w:trPr>
        <w:tc>
          <w:tcPr>
            <w:tcW w:w="1418" w:type="dxa"/>
            <w:shd w:val="clear" w:color="auto" w:fill="FFFFFF" w:themeFill="background1"/>
          </w:tcPr>
          <w:p w14:paraId="7FE1C595" w14:textId="77777777" w:rsidR="00B81226" w:rsidRDefault="00B82AC2">
            <w:pPr>
              <w:pStyle w:val="P68B1DB1-Normal62"/>
              <w:spacing w:before="120" w:after="120" w:line="276" w:lineRule="auto"/>
            </w:pPr>
            <w:r>
              <w:lastRenderedPageBreak/>
              <w:t>0020</w:t>
            </w:r>
          </w:p>
        </w:tc>
        <w:tc>
          <w:tcPr>
            <w:tcW w:w="7791" w:type="dxa"/>
            <w:shd w:val="clear" w:color="auto" w:fill="FFFFFF" w:themeFill="background1"/>
          </w:tcPr>
          <w:p w14:paraId="7FE1C596" w14:textId="77777777" w:rsidR="00B81226" w:rsidRDefault="00B82AC2">
            <w:pPr>
              <w:pStyle w:val="P68B1DB1-Normal61"/>
              <w:spacing w:line="276" w:lineRule="auto"/>
              <w:jc w:val="both"/>
              <w:rPr>
                <w:bCs/>
              </w:rPr>
            </w:pPr>
            <w:r>
              <w:t xml:space="preserve">Pankkitaksonomian mukainen yksilöllinen palvelunimike </w:t>
            </w:r>
          </w:p>
          <w:p w14:paraId="7FE1C597" w14:textId="31873D66" w:rsidR="00B81226" w:rsidRDefault="00B82AC2">
            <w:pPr>
              <w:pStyle w:val="P68B1DB1-Normal64"/>
              <w:rPr>
                <w:rFonts w:eastAsiaTheme="minorHAnsi"/>
                <w:sz w:val="24"/>
              </w:rPr>
            </w:pPr>
            <w:r>
              <w:t>Palvelun nimi/lyhyt kuvaus pankin oman porrastetun taksonomian (taso 3) mukaisesti, sellaisena kuin se on ilmoitettu lomakkeessa Z 08.01 (SERV 1) sarakkeessa 0020. Pankin odotetaan ilmoittavan palvelut yksityiskohtaisemmalla tasolla kuin tason 2 raportointi (c0010) siten, että kukin palvelu määritellään täsmällisesti ja kohdennetusti.</w:t>
            </w:r>
          </w:p>
          <w:p w14:paraId="7FE1C598" w14:textId="77777777" w:rsidR="00B81226" w:rsidRDefault="00B81226">
            <w:pPr>
              <w:spacing w:before="120" w:after="120" w:line="276" w:lineRule="auto"/>
              <w:rPr>
                <w:rFonts w:ascii="Times New Roman" w:hAnsi="Times New Roman"/>
                <w:sz w:val="20"/>
                <w:szCs w:val="20"/>
              </w:rPr>
            </w:pPr>
          </w:p>
        </w:tc>
      </w:tr>
      <w:tr w:rsidR="00B81226" w14:paraId="7FE1C59E" w14:textId="77777777">
        <w:trPr>
          <w:trHeight w:val="450"/>
        </w:trPr>
        <w:tc>
          <w:tcPr>
            <w:tcW w:w="1418" w:type="dxa"/>
            <w:shd w:val="clear" w:color="auto" w:fill="FFFFFF" w:themeFill="background1"/>
          </w:tcPr>
          <w:p w14:paraId="7FE1C59A" w14:textId="77777777" w:rsidR="00B81226" w:rsidRDefault="00B82AC2">
            <w:pPr>
              <w:pStyle w:val="P68B1DB1-Normal62"/>
              <w:spacing w:before="120" w:after="120" w:line="276" w:lineRule="auto"/>
            </w:pPr>
            <w:r>
              <w:t>0030</w:t>
            </w:r>
          </w:p>
        </w:tc>
        <w:tc>
          <w:tcPr>
            <w:tcW w:w="7791" w:type="dxa"/>
            <w:shd w:val="clear" w:color="auto" w:fill="FFFFFF" w:themeFill="background1"/>
          </w:tcPr>
          <w:p w14:paraId="7FE1C59B" w14:textId="77777777" w:rsidR="00B81226" w:rsidRDefault="00B82AC2">
            <w:pPr>
              <w:pStyle w:val="P68B1DB1-Normal61"/>
              <w:spacing w:before="120" w:after="120" w:line="276" w:lineRule="auto"/>
              <w:rPr>
                <w:bCs/>
              </w:rPr>
            </w:pPr>
            <w:r>
              <w:t>Omaisuuserän tunniste</w:t>
            </w:r>
          </w:p>
          <w:p w14:paraId="7FE1C59C" w14:textId="77777777" w:rsidR="00B81226" w:rsidRDefault="00B82AC2">
            <w:pPr>
              <w:pStyle w:val="P68B1DB1-Normal64"/>
              <w:spacing w:line="276" w:lineRule="auto"/>
              <w:jc w:val="both"/>
            </w:pPr>
            <w:r>
              <w:t>Omaisuuserän tunniste viittaa sarakkeessa 0050 ilmoitettuun omaisuuserään.</w:t>
            </w:r>
          </w:p>
          <w:p w14:paraId="7FE1C59D" w14:textId="77777777" w:rsidR="00B81226" w:rsidRDefault="00B81226">
            <w:pPr>
              <w:spacing w:before="120" w:after="120" w:line="276" w:lineRule="auto"/>
              <w:rPr>
                <w:rFonts w:ascii="Times New Roman" w:hAnsi="Times New Roman"/>
                <w:sz w:val="20"/>
                <w:szCs w:val="20"/>
              </w:rPr>
            </w:pPr>
          </w:p>
        </w:tc>
      </w:tr>
      <w:tr w:rsidR="00B81226" w14:paraId="7FE1C5AD" w14:textId="77777777">
        <w:trPr>
          <w:trHeight w:val="450"/>
        </w:trPr>
        <w:tc>
          <w:tcPr>
            <w:tcW w:w="1418" w:type="dxa"/>
            <w:shd w:val="clear" w:color="auto" w:fill="FFFFFF" w:themeFill="background1"/>
          </w:tcPr>
          <w:p w14:paraId="7FE1C59F" w14:textId="77777777" w:rsidR="00B81226" w:rsidRDefault="00B82AC2">
            <w:pPr>
              <w:pStyle w:val="P68B1DB1-Normal62"/>
              <w:spacing w:before="120" w:after="120" w:line="276" w:lineRule="auto"/>
            </w:pPr>
            <w:r>
              <w:t>0040</w:t>
            </w:r>
          </w:p>
        </w:tc>
        <w:tc>
          <w:tcPr>
            <w:tcW w:w="7791" w:type="dxa"/>
            <w:shd w:val="clear" w:color="auto" w:fill="FFFFFF" w:themeFill="background1"/>
          </w:tcPr>
          <w:p w14:paraId="7FE1C5A0" w14:textId="77777777" w:rsidR="00B81226" w:rsidRDefault="00B82AC2">
            <w:pPr>
              <w:pStyle w:val="P68B1DB1-Normal64"/>
              <w:spacing w:line="276" w:lineRule="auto"/>
              <w:jc w:val="both"/>
            </w:pPr>
            <w:r>
              <w:rPr>
                <w:b/>
                <w:szCs w:val="20"/>
              </w:rPr>
              <w:t>Omaisuuserätyyppi:</w:t>
            </w:r>
            <w:r>
              <w:t xml:space="preserve"> </w:t>
            </w:r>
          </w:p>
          <w:p w14:paraId="7FE1C5A1" w14:textId="77777777" w:rsidR="00B81226" w:rsidRDefault="00B82AC2">
            <w:pPr>
              <w:pStyle w:val="P68B1DB1-Normal64"/>
              <w:spacing w:line="276" w:lineRule="auto"/>
              <w:jc w:val="both"/>
            </w:pPr>
            <w:r>
              <w:t xml:space="preserve">— Tieto- ja viestintätekninen laitteisto </w:t>
            </w:r>
          </w:p>
          <w:p w14:paraId="7FE1C5A2" w14:textId="77777777" w:rsidR="00B81226" w:rsidRDefault="00B81226">
            <w:pPr>
              <w:spacing w:line="276" w:lineRule="auto"/>
              <w:rPr>
                <w:rFonts w:ascii="Times New Roman" w:hAnsi="Times New Roman"/>
                <w:sz w:val="20"/>
              </w:rPr>
            </w:pPr>
          </w:p>
          <w:p w14:paraId="7FE1C5A3" w14:textId="77777777" w:rsidR="00B81226" w:rsidRDefault="00B82AC2">
            <w:pPr>
              <w:pStyle w:val="P68B1DB1-Normal64"/>
              <w:spacing w:line="276" w:lineRule="auto"/>
            </w:pPr>
            <w:r>
              <w:t>Muu tietotekninen infrastruktuuri (esimerkiksi työasemat, tietoliikenne, palvelimet, datakeskukset ja niihin liittyvät palvelut)</w:t>
            </w:r>
          </w:p>
          <w:p w14:paraId="7FE1C5A4" w14:textId="77777777" w:rsidR="00B81226" w:rsidRDefault="00B81226">
            <w:pPr>
              <w:spacing w:line="276" w:lineRule="auto"/>
              <w:rPr>
                <w:rFonts w:ascii="Times New Roman" w:hAnsi="Times New Roman"/>
                <w:sz w:val="20"/>
              </w:rPr>
            </w:pPr>
          </w:p>
          <w:p w14:paraId="7FE1C5A5" w14:textId="77777777" w:rsidR="00B81226" w:rsidRDefault="00B82AC2">
            <w:pPr>
              <w:pStyle w:val="P68B1DB1-Normal64"/>
              <w:spacing w:line="276" w:lineRule="auto"/>
            </w:pPr>
            <w:r>
              <w:t xml:space="preserve">— Tilat ja varastot </w:t>
            </w:r>
          </w:p>
          <w:p w14:paraId="7FE1C5A6" w14:textId="77777777" w:rsidR="00B81226" w:rsidRDefault="00B81226">
            <w:pPr>
              <w:spacing w:line="276" w:lineRule="auto"/>
              <w:rPr>
                <w:rFonts w:ascii="Times New Roman" w:hAnsi="Times New Roman"/>
                <w:sz w:val="20"/>
              </w:rPr>
            </w:pPr>
          </w:p>
          <w:p w14:paraId="7FE1C5A7" w14:textId="77777777" w:rsidR="00B81226" w:rsidRDefault="00B82AC2">
            <w:pPr>
              <w:pStyle w:val="P68B1DB1-Normal64"/>
              <w:spacing w:line="276" w:lineRule="auto"/>
            </w:pPr>
            <w:r>
              <w:t>— Teollis- ja tekijänoikeudet (kuten patentit, tavaramerkit jne.)</w:t>
            </w:r>
          </w:p>
          <w:p w14:paraId="7FE1C5A8" w14:textId="77777777" w:rsidR="00B81226" w:rsidRDefault="00B81226">
            <w:pPr>
              <w:spacing w:line="276" w:lineRule="auto"/>
              <w:rPr>
                <w:rFonts w:ascii="Times New Roman" w:hAnsi="Times New Roman"/>
                <w:sz w:val="20"/>
              </w:rPr>
            </w:pPr>
          </w:p>
          <w:p w14:paraId="7FE1C5A9" w14:textId="77777777" w:rsidR="00B81226" w:rsidRDefault="00B82AC2">
            <w:pPr>
              <w:pStyle w:val="P68B1DB1-Normal64"/>
              <w:spacing w:line="276" w:lineRule="auto"/>
            </w:pPr>
            <w:r>
              <w:t xml:space="preserve"> — Itsepalvelulaitteet sivuliikkeissä ja pankkiautomaateissa</w:t>
            </w:r>
          </w:p>
          <w:p w14:paraId="7FE1C5AA" w14:textId="77777777" w:rsidR="00B81226" w:rsidRDefault="00B81226">
            <w:pPr>
              <w:spacing w:line="276" w:lineRule="auto"/>
              <w:rPr>
                <w:rFonts w:ascii="Times New Roman" w:hAnsi="Times New Roman"/>
                <w:sz w:val="20"/>
              </w:rPr>
            </w:pPr>
          </w:p>
          <w:p w14:paraId="7FE1C5AB" w14:textId="07413E54" w:rsidR="00B81226" w:rsidRDefault="00B82AC2">
            <w:pPr>
              <w:pStyle w:val="P68B1DB1-Normal62"/>
              <w:spacing w:line="276" w:lineRule="auto"/>
              <w:jc w:val="both"/>
              <w:rPr>
                <w:b/>
              </w:rPr>
            </w:pPr>
            <w:r>
              <w:t>— Muuntyyppiset omaisuuserät</w:t>
            </w:r>
          </w:p>
          <w:p w14:paraId="7FE1C5AC" w14:textId="77777777" w:rsidR="00B81226" w:rsidRDefault="00B81226">
            <w:pPr>
              <w:spacing w:line="276" w:lineRule="auto"/>
              <w:jc w:val="both"/>
              <w:rPr>
                <w:rFonts w:ascii="Times New Roman" w:hAnsi="Times New Roman"/>
                <w:sz w:val="20"/>
              </w:rPr>
            </w:pPr>
          </w:p>
        </w:tc>
      </w:tr>
      <w:tr w:rsidR="00B81226" w14:paraId="7FE1C5B2" w14:textId="77777777">
        <w:trPr>
          <w:trHeight w:val="450"/>
        </w:trPr>
        <w:tc>
          <w:tcPr>
            <w:tcW w:w="1418" w:type="dxa"/>
            <w:shd w:val="clear" w:color="auto" w:fill="FFFFFF" w:themeFill="background1"/>
          </w:tcPr>
          <w:p w14:paraId="7FE1C5AE" w14:textId="77777777" w:rsidR="00B81226" w:rsidRDefault="00B82AC2">
            <w:pPr>
              <w:pStyle w:val="P68B1DB1-Normal62"/>
              <w:spacing w:before="120" w:after="120" w:line="276" w:lineRule="auto"/>
            </w:pPr>
            <w:r>
              <w:t>0050</w:t>
            </w:r>
          </w:p>
        </w:tc>
        <w:tc>
          <w:tcPr>
            <w:tcW w:w="7791" w:type="dxa"/>
            <w:shd w:val="clear" w:color="auto" w:fill="FFFFFF" w:themeFill="background1"/>
          </w:tcPr>
          <w:p w14:paraId="7FE1C5AF" w14:textId="77777777" w:rsidR="00B81226" w:rsidRDefault="00B82AC2">
            <w:pPr>
              <w:pStyle w:val="P68B1DB1-Normal61"/>
              <w:spacing w:line="276" w:lineRule="auto"/>
              <w:jc w:val="both"/>
            </w:pPr>
            <w:r>
              <w:t xml:space="preserve">Omaisuuserän nimi </w:t>
            </w:r>
          </w:p>
          <w:p w14:paraId="7FE1C5B0" w14:textId="77777777" w:rsidR="00B81226" w:rsidRDefault="00B82AC2">
            <w:pPr>
              <w:pStyle w:val="P68B1DB1-Normal64"/>
              <w:spacing w:line="276" w:lineRule="auto"/>
              <w:jc w:val="both"/>
            </w:pPr>
            <w:r>
              <w:t>Aktiivin kaupallinen tai sisäinen nimi.</w:t>
            </w:r>
          </w:p>
          <w:p w14:paraId="7FE1C5B1" w14:textId="77777777" w:rsidR="00B81226" w:rsidRDefault="00B81226">
            <w:pPr>
              <w:spacing w:line="276" w:lineRule="auto"/>
              <w:jc w:val="both"/>
              <w:rPr>
                <w:rFonts w:ascii="Times New Roman" w:hAnsi="Times New Roman"/>
                <w:sz w:val="20"/>
              </w:rPr>
            </w:pPr>
          </w:p>
        </w:tc>
      </w:tr>
      <w:tr w:rsidR="00B81226" w14:paraId="7FE1C5BA" w14:textId="77777777">
        <w:trPr>
          <w:trHeight w:val="450"/>
        </w:trPr>
        <w:tc>
          <w:tcPr>
            <w:tcW w:w="1418" w:type="dxa"/>
            <w:shd w:val="clear" w:color="auto" w:fill="FFFFFF" w:themeFill="background1"/>
          </w:tcPr>
          <w:p w14:paraId="7FE1C5B3" w14:textId="77777777" w:rsidR="00B81226" w:rsidRDefault="00B82AC2">
            <w:pPr>
              <w:pStyle w:val="P68B1DB1-Normal62"/>
              <w:spacing w:before="120" w:after="120" w:line="276" w:lineRule="auto"/>
            </w:pPr>
            <w:r>
              <w:t>0060</w:t>
            </w:r>
          </w:p>
        </w:tc>
        <w:tc>
          <w:tcPr>
            <w:tcW w:w="7791" w:type="dxa"/>
            <w:shd w:val="clear" w:color="auto" w:fill="FFFFFF" w:themeFill="background1"/>
          </w:tcPr>
          <w:p w14:paraId="7FE1C5B4" w14:textId="77777777" w:rsidR="00B81226" w:rsidRDefault="00B82AC2">
            <w:pPr>
              <w:pStyle w:val="P68B1DB1-Normal65"/>
              <w:spacing w:line="276" w:lineRule="auto"/>
              <w:jc w:val="both"/>
              <w:rPr>
                <w:iCs/>
              </w:rPr>
            </w:pPr>
            <w:r>
              <w:rPr>
                <w:szCs w:val="20"/>
              </w:rPr>
              <w:t>Kriittisyys</w:t>
            </w:r>
            <w:r>
              <w:t xml:space="preserve"> </w:t>
            </w:r>
          </w:p>
          <w:p w14:paraId="7FE1C5B5" w14:textId="77777777" w:rsidR="00B81226" w:rsidRDefault="00B82AC2">
            <w:pPr>
              <w:pStyle w:val="P68B1DB1-Normal64"/>
              <w:spacing w:line="276" w:lineRule="auto"/>
              <w:jc w:val="both"/>
              <w:rPr>
                <w:iCs/>
              </w:rPr>
            </w:pPr>
            <w:r>
              <w:t>Ilmoittamisessa käytetään seuraavia arvoja:</w:t>
            </w:r>
          </w:p>
          <w:p w14:paraId="7FE1C5B6" w14:textId="77777777" w:rsidR="00B81226" w:rsidRDefault="00B82AC2">
            <w:pPr>
              <w:pStyle w:val="P68B1DB1-ListParagraph58"/>
              <w:numPr>
                <w:ilvl w:val="0"/>
                <w:numId w:val="236"/>
              </w:numPr>
              <w:spacing w:line="276" w:lineRule="auto"/>
              <w:contextualSpacing/>
              <w:jc w:val="both"/>
              <w:rPr>
                <w:iCs/>
              </w:rPr>
            </w:pPr>
            <w:r>
              <w:t>Kriittinen: jos palvelu on tarpeen yhden tai useamman kriittisen toiminnon suorittamiseksi, jonka keskeytyminen estäisi tai estäisi vakavasti kyseisten kriittisten toimintojen suorittamisen.</w:t>
            </w:r>
          </w:p>
          <w:p w14:paraId="7FE1C5B7" w14:textId="77777777" w:rsidR="00B81226" w:rsidRDefault="00B82AC2">
            <w:pPr>
              <w:pStyle w:val="P68B1DB1-ListParagraph58"/>
              <w:numPr>
                <w:ilvl w:val="0"/>
                <w:numId w:val="236"/>
              </w:numPr>
              <w:spacing w:line="276" w:lineRule="auto"/>
              <w:contextualSpacing/>
              <w:jc w:val="both"/>
              <w:rPr>
                <w:iCs/>
              </w:rPr>
            </w:pPr>
            <w:r>
              <w:t>Tärkeää: jos palvelu liittyy ydinliiketoiminta-alueisiin, joiden jatkuvuus on tarpeen, jotta kriisinratkaisustrategia ja siitä johtuva uudelleenjärjestely voidaan panna tehokkaasti täytäntöön.</w:t>
            </w:r>
          </w:p>
          <w:p w14:paraId="7FE1C5B8" w14:textId="475A76CC" w:rsidR="00B81226" w:rsidRDefault="00B82AC2">
            <w:pPr>
              <w:pStyle w:val="P68B1DB1-ListParagraph58"/>
              <w:numPr>
                <w:ilvl w:val="0"/>
                <w:numId w:val="236"/>
              </w:numPr>
              <w:spacing w:line="276" w:lineRule="auto"/>
              <w:contextualSpacing/>
              <w:jc w:val="both"/>
              <w:rPr>
                <w:iCs/>
              </w:rPr>
            </w:pPr>
            <w:r>
              <w:t>Kriittinen ja välttämätön</w:t>
            </w:r>
          </w:p>
          <w:p w14:paraId="7FE1C5B9" w14:textId="77777777" w:rsidR="00B81226" w:rsidRDefault="00B81226">
            <w:pPr>
              <w:spacing w:line="276" w:lineRule="auto"/>
              <w:jc w:val="both"/>
              <w:rPr>
                <w:rFonts w:ascii="Times New Roman" w:hAnsi="Times New Roman"/>
                <w:sz w:val="20"/>
              </w:rPr>
            </w:pPr>
          </w:p>
        </w:tc>
      </w:tr>
      <w:tr w:rsidR="00B81226" w14:paraId="7FE1C5C3" w14:textId="77777777">
        <w:trPr>
          <w:trHeight w:val="450"/>
        </w:trPr>
        <w:tc>
          <w:tcPr>
            <w:tcW w:w="1418" w:type="dxa"/>
            <w:shd w:val="clear" w:color="auto" w:fill="FFFFFF" w:themeFill="background1"/>
          </w:tcPr>
          <w:p w14:paraId="7FE1C5BB" w14:textId="77777777" w:rsidR="00B81226" w:rsidRDefault="00B82AC2">
            <w:pPr>
              <w:pStyle w:val="P68B1DB1-Normal62"/>
              <w:spacing w:before="120" w:after="120" w:line="276" w:lineRule="auto"/>
            </w:pPr>
            <w:r>
              <w:t>0070</w:t>
            </w:r>
          </w:p>
        </w:tc>
        <w:tc>
          <w:tcPr>
            <w:tcW w:w="7791" w:type="dxa"/>
            <w:shd w:val="clear" w:color="auto" w:fill="FFFFFF" w:themeFill="background1"/>
          </w:tcPr>
          <w:p w14:paraId="7FE1C5BC" w14:textId="77777777" w:rsidR="00B81226" w:rsidRDefault="00B82AC2">
            <w:pPr>
              <w:pStyle w:val="P68B1DB1-Normal64"/>
              <w:spacing w:line="276" w:lineRule="auto"/>
              <w:jc w:val="both"/>
              <w:rPr>
                <w:iCs/>
              </w:rPr>
            </w:pPr>
            <w:r>
              <w:rPr>
                <w:b/>
                <w:szCs w:val="20"/>
              </w:rPr>
              <w:t>Oikeudellinen/sopimustyyppi</w:t>
            </w:r>
            <w:r>
              <w:t xml:space="preserve"> </w:t>
            </w:r>
          </w:p>
          <w:p w14:paraId="7FE1C5BD" w14:textId="77777777" w:rsidR="00B81226" w:rsidRDefault="00B82AC2">
            <w:pPr>
              <w:pStyle w:val="P68B1DB1-Normal64"/>
              <w:spacing w:line="276" w:lineRule="auto"/>
              <w:jc w:val="both"/>
              <w:rPr>
                <w:iCs/>
              </w:rPr>
            </w:pPr>
            <w:r>
              <w:t>Ilmoittamisessa käytetään seuraavia arvoja:</w:t>
            </w:r>
          </w:p>
          <w:p w14:paraId="7FE1C5BE" w14:textId="77777777" w:rsidR="00B81226" w:rsidRDefault="00B82AC2">
            <w:pPr>
              <w:pStyle w:val="P68B1DB1-Normal66"/>
              <w:numPr>
                <w:ilvl w:val="0"/>
                <w:numId w:val="236"/>
              </w:numPr>
              <w:contextualSpacing/>
              <w:jc w:val="both"/>
            </w:pPr>
            <w:r>
              <w:t>Omistusasunto</w:t>
            </w:r>
          </w:p>
          <w:p w14:paraId="7FE1C5BF" w14:textId="77777777" w:rsidR="00B81226" w:rsidRDefault="00B82AC2">
            <w:pPr>
              <w:pStyle w:val="P68B1DB1-Normal66"/>
              <w:numPr>
                <w:ilvl w:val="0"/>
                <w:numId w:val="236"/>
              </w:numPr>
              <w:contextualSpacing/>
              <w:jc w:val="both"/>
            </w:pPr>
            <w:r>
              <w:t>Leasingkoneita</w:t>
            </w:r>
          </w:p>
          <w:p w14:paraId="7FE1C5C0" w14:textId="77777777" w:rsidR="00B81226" w:rsidRDefault="00B82AC2">
            <w:pPr>
              <w:pStyle w:val="P68B1DB1-Normal66"/>
              <w:numPr>
                <w:ilvl w:val="0"/>
                <w:numId w:val="236"/>
              </w:numPr>
              <w:contextualSpacing/>
              <w:jc w:val="both"/>
            </w:pPr>
            <w:r>
              <w:t>Lisensoitua</w:t>
            </w:r>
          </w:p>
          <w:p w14:paraId="7FE1C5C1" w14:textId="3AFF0D43" w:rsidR="00B81226" w:rsidRDefault="00B82AC2">
            <w:pPr>
              <w:pStyle w:val="P68B1DB1-Normal66"/>
              <w:numPr>
                <w:ilvl w:val="0"/>
                <w:numId w:val="236"/>
              </w:numPr>
              <w:contextualSpacing/>
              <w:jc w:val="both"/>
            </w:pPr>
            <w:r>
              <w:t>Muu oikeudellinen/sopimustyyppi</w:t>
            </w:r>
          </w:p>
          <w:p w14:paraId="7FE1C5C2" w14:textId="77777777" w:rsidR="00B81226" w:rsidRDefault="00B81226">
            <w:pPr>
              <w:spacing w:line="276" w:lineRule="auto"/>
              <w:jc w:val="both"/>
              <w:rPr>
                <w:rFonts w:ascii="Times New Roman" w:hAnsi="Times New Roman"/>
                <w:sz w:val="20"/>
              </w:rPr>
            </w:pPr>
          </w:p>
        </w:tc>
      </w:tr>
      <w:tr w:rsidR="00B81226" w14:paraId="7FE1C5C9" w14:textId="77777777">
        <w:trPr>
          <w:trHeight w:val="450"/>
        </w:trPr>
        <w:tc>
          <w:tcPr>
            <w:tcW w:w="1418" w:type="dxa"/>
            <w:shd w:val="clear" w:color="auto" w:fill="FFFFFF" w:themeFill="background1"/>
          </w:tcPr>
          <w:p w14:paraId="7FE1C5C4" w14:textId="77777777" w:rsidR="00B81226" w:rsidRDefault="00B82AC2">
            <w:pPr>
              <w:pStyle w:val="P68B1DB1-Normal62"/>
              <w:spacing w:before="120" w:after="120" w:line="276" w:lineRule="auto"/>
            </w:pPr>
            <w:r>
              <w:t>0080</w:t>
            </w:r>
          </w:p>
        </w:tc>
        <w:tc>
          <w:tcPr>
            <w:tcW w:w="7791" w:type="dxa"/>
            <w:shd w:val="clear" w:color="auto" w:fill="FFFFFF" w:themeFill="background1"/>
          </w:tcPr>
          <w:p w14:paraId="7FE1C5C5" w14:textId="77777777" w:rsidR="00B81226" w:rsidRDefault="00B82AC2">
            <w:pPr>
              <w:pStyle w:val="P68B1DB1-Normal61"/>
              <w:spacing w:before="120" w:after="120" w:line="276" w:lineRule="auto"/>
              <w:rPr>
                <w:bCs/>
              </w:rPr>
            </w:pPr>
            <w:r>
              <w:t>Sopimuksen tunniste</w:t>
            </w:r>
          </w:p>
          <w:p w14:paraId="7FE1C5C6" w14:textId="77777777" w:rsidR="00B81226" w:rsidRDefault="00B82AC2">
            <w:pPr>
              <w:pStyle w:val="P68B1DB1-Normal64"/>
              <w:spacing w:line="276" w:lineRule="auto"/>
              <w:jc w:val="both"/>
              <w:rPr>
                <w:i/>
              </w:rPr>
            </w:pPr>
            <w:r>
              <w:t>Omaisuuserän perustana olevan sopimuksen yksilöllinen tunniste ryhmän palvelutaksonomian mukaisesti.</w:t>
            </w:r>
          </w:p>
          <w:p w14:paraId="7FE1C5C7" w14:textId="77777777" w:rsidR="00B81226" w:rsidRDefault="00B81226">
            <w:pPr>
              <w:spacing w:line="276" w:lineRule="auto"/>
              <w:jc w:val="both"/>
              <w:rPr>
                <w:rFonts w:ascii="Times New Roman" w:hAnsi="Times New Roman"/>
                <w:i/>
                <w:sz w:val="20"/>
              </w:rPr>
            </w:pPr>
          </w:p>
          <w:p w14:paraId="7FE1C5C8" w14:textId="77777777" w:rsidR="00B81226" w:rsidRDefault="00B81226">
            <w:pPr>
              <w:spacing w:line="276" w:lineRule="auto"/>
              <w:jc w:val="both"/>
              <w:rPr>
                <w:rFonts w:ascii="Times New Roman" w:hAnsi="Times New Roman"/>
                <w:iCs/>
                <w:sz w:val="20"/>
              </w:rPr>
            </w:pPr>
          </w:p>
        </w:tc>
      </w:tr>
      <w:tr w:rsidR="00B81226" w14:paraId="7FE1C5CE" w14:textId="77777777">
        <w:trPr>
          <w:trHeight w:val="450"/>
        </w:trPr>
        <w:tc>
          <w:tcPr>
            <w:tcW w:w="1418" w:type="dxa"/>
            <w:shd w:val="clear" w:color="auto" w:fill="FFFFFF" w:themeFill="background1"/>
          </w:tcPr>
          <w:p w14:paraId="7FE1C5CA" w14:textId="77777777" w:rsidR="00B81226" w:rsidRDefault="00B82AC2">
            <w:pPr>
              <w:pStyle w:val="P68B1DB1-Normal62"/>
              <w:spacing w:before="120" w:after="120" w:line="276" w:lineRule="auto"/>
            </w:pPr>
            <w:r>
              <w:lastRenderedPageBreak/>
              <w:t>0090</w:t>
            </w:r>
          </w:p>
        </w:tc>
        <w:tc>
          <w:tcPr>
            <w:tcW w:w="7791" w:type="dxa"/>
            <w:shd w:val="clear" w:color="auto" w:fill="FFFFFF" w:themeFill="background1"/>
          </w:tcPr>
          <w:p w14:paraId="7FE1C5CB" w14:textId="77777777" w:rsidR="00B81226" w:rsidRDefault="00B82AC2">
            <w:pPr>
              <w:pStyle w:val="P68B1DB1-Normal65"/>
              <w:spacing w:line="276" w:lineRule="auto"/>
              <w:jc w:val="both"/>
            </w:pPr>
            <w:r>
              <w:rPr>
                <w:szCs w:val="20"/>
              </w:rPr>
              <w:t>Sovellettava laki</w:t>
            </w:r>
            <w:r>
              <w:t xml:space="preserve"> </w:t>
            </w:r>
          </w:p>
          <w:p w14:paraId="7FE1C5CC" w14:textId="77777777" w:rsidR="00B81226" w:rsidRDefault="00B82AC2">
            <w:pPr>
              <w:pStyle w:val="P68B1DB1-Normal64"/>
              <w:spacing w:line="276" w:lineRule="auto"/>
              <w:jc w:val="both"/>
            </w:pPr>
            <w:r>
              <w:t>Sen maan ISO-koodi, jonka lakia sopimukseen sovelletaan.</w:t>
            </w:r>
          </w:p>
          <w:p w14:paraId="7FE1C5CD" w14:textId="77777777" w:rsidR="00B81226" w:rsidRDefault="00B81226">
            <w:pPr>
              <w:spacing w:line="276" w:lineRule="auto"/>
              <w:jc w:val="both"/>
              <w:rPr>
                <w:rFonts w:ascii="Times New Roman" w:hAnsi="Times New Roman"/>
                <w:iCs/>
                <w:sz w:val="20"/>
              </w:rPr>
            </w:pPr>
          </w:p>
        </w:tc>
      </w:tr>
      <w:tr w:rsidR="00B81226" w14:paraId="7FE1C5D4" w14:textId="77777777">
        <w:trPr>
          <w:trHeight w:val="463"/>
        </w:trPr>
        <w:tc>
          <w:tcPr>
            <w:tcW w:w="1418" w:type="dxa"/>
            <w:shd w:val="clear" w:color="auto" w:fill="FFFFFF" w:themeFill="background1"/>
          </w:tcPr>
          <w:p w14:paraId="7FE1C5CF" w14:textId="77777777" w:rsidR="00B81226" w:rsidRDefault="00B82AC2">
            <w:pPr>
              <w:pStyle w:val="P68B1DB1-Normal64"/>
              <w:spacing w:line="276" w:lineRule="auto"/>
              <w:jc w:val="both"/>
            </w:pPr>
            <w:r>
              <w:t>0100–0120</w:t>
            </w:r>
          </w:p>
          <w:p w14:paraId="7FE1C5D0" w14:textId="77777777" w:rsidR="00B81226" w:rsidRDefault="00B81226">
            <w:pPr>
              <w:spacing w:before="120" w:after="120" w:line="276" w:lineRule="auto"/>
              <w:rPr>
                <w:rFonts w:ascii="Times New Roman" w:hAnsi="Times New Roman"/>
                <w:sz w:val="20"/>
                <w:szCs w:val="20"/>
              </w:rPr>
            </w:pPr>
          </w:p>
        </w:tc>
        <w:tc>
          <w:tcPr>
            <w:tcW w:w="7791" w:type="dxa"/>
            <w:shd w:val="clear" w:color="auto" w:fill="FFFFFF" w:themeFill="background1"/>
          </w:tcPr>
          <w:p w14:paraId="7FE1C5D1" w14:textId="77777777" w:rsidR="00B81226" w:rsidRDefault="00B82AC2">
            <w:pPr>
              <w:pStyle w:val="P68B1DB1-Normal61"/>
              <w:spacing w:before="120" w:after="120" w:line="276" w:lineRule="auto"/>
              <w:rPr>
                <w:bCs/>
                <w:iCs/>
              </w:rPr>
            </w:pPr>
            <w:r>
              <w:t xml:space="preserve">Kriisinratkaisun häiriönsietokyky </w:t>
            </w:r>
          </w:p>
          <w:p w14:paraId="7FE1C5D2" w14:textId="77777777" w:rsidR="00B81226" w:rsidRDefault="00B82AC2">
            <w:pPr>
              <w:pStyle w:val="P68B1DB1-NormalWeb59"/>
              <w:spacing w:before="0" w:beforeAutospacing="0" w:after="0" w:afterAutospacing="0"/>
              <w:rPr>
                <w:iCs/>
                <w:szCs w:val="20"/>
              </w:rPr>
            </w:pPr>
            <w:r>
              <w:rPr>
                <w:szCs w:val="20"/>
              </w:rPr>
              <w:t xml:space="preserve">Arvio siitä, voitaisiinko sarakkeessa 0030 ilmoitettua omaisuuserää tukevaa sopimusta jatkaa ja siirtää kriisinratkaisustrategian, mukaan lukien liiketoiminnan tervehdyttämissuunnitelma, täytäntöönpanon aikana </w:t>
            </w:r>
            <w:r>
              <w:t>ohjeiden EBA/GL/2022/01 ja asiaa koskevien kansallisten lakien mukaisesti.</w:t>
            </w:r>
          </w:p>
          <w:p w14:paraId="7FE1C5D3" w14:textId="77777777" w:rsidR="00B81226" w:rsidRDefault="00B81226">
            <w:pPr>
              <w:pStyle w:val="NormalWeb"/>
              <w:spacing w:before="0" w:beforeAutospacing="0" w:after="0" w:afterAutospacing="0"/>
              <w:rPr>
                <w:sz w:val="20"/>
              </w:rPr>
            </w:pPr>
          </w:p>
        </w:tc>
      </w:tr>
      <w:tr w:rsidR="00B81226" w14:paraId="7FE1C5E4" w14:textId="77777777">
        <w:trPr>
          <w:trHeight w:val="463"/>
        </w:trPr>
        <w:tc>
          <w:tcPr>
            <w:tcW w:w="1418" w:type="dxa"/>
            <w:shd w:val="clear" w:color="auto" w:fill="FFFFFF" w:themeFill="background1"/>
          </w:tcPr>
          <w:p w14:paraId="7FE1C5D5" w14:textId="77777777" w:rsidR="00B81226" w:rsidRDefault="00B82AC2">
            <w:pPr>
              <w:pStyle w:val="P68B1DB1-Normal64"/>
              <w:spacing w:before="120" w:after="120" w:line="276" w:lineRule="auto"/>
              <w:rPr>
                <w:szCs w:val="20"/>
              </w:rPr>
            </w:pPr>
            <w:r>
              <w:t>0100</w:t>
            </w:r>
          </w:p>
        </w:tc>
        <w:tc>
          <w:tcPr>
            <w:tcW w:w="7791" w:type="dxa"/>
            <w:shd w:val="clear" w:color="auto" w:fill="FFFFFF" w:themeFill="background1"/>
          </w:tcPr>
          <w:p w14:paraId="7FE1C5D6" w14:textId="77777777" w:rsidR="00B81226" w:rsidRDefault="00B82AC2">
            <w:pPr>
              <w:pStyle w:val="P68B1DB1-Normal65"/>
              <w:spacing w:line="276" w:lineRule="auto"/>
              <w:jc w:val="both"/>
              <w:rPr>
                <w:bCs/>
              </w:rPr>
            </w:pPr>
            <w:r>
              <w:rPr>
                <w:szCs w:val="20"/>
              </w:rPr>
              <w:t>Kriisinratkaisun resilienssin piirteet</w:t>
            </w:r>
            <w:r>
              <w:t xml:space="preserve"> </w:t>
            </w:r>
          </w:p>
          <w:p w14:paraId="7FE1C5D7" w14:textId="77777777" w:rsidR="00B81226" w:rsidRDefault="00B82AC2">
            <w:pPr>
              <w:pStyle w:val="P68B1DB1-Normal62"/>
              <w:spacing w:line="276" w:lineRule="auto"/>
              <w:jc w:val="both"/>
              <w:rPr>
                <w:iCs/>
              </w:rPr>
            </w:pPr>
            <w:r>
              <w:t>Kriisinratkaisun kestävät ominaisuudet ovat kiinteistöjä, jotka asiaankuuluvalla sopimuksella odotetaan olevan, jotta niitä voidaan pitää kriisinratkaisun sietokykyisinä. Niihin kuuluvat seuraavat, edellyttäen, että sopimuksen mukaiset aineelliset velvoitteet täytetään edelleen:</w:t>
            </w:r>
          </w:p>
          <w:p w14:paraId="7FE1C5D8" w14:textId="77777777" w:rsidR="00B81226" w:rsidRDefault="00B82AC2">
            <w:pPr>
              <w:pStyle w:val="P68B1DB1-ListParagraph60"/>
              <w:numPr>
                <w:ilvl w:val="0"/>
                <w:numId w:val="263"/>
              </w:numPr>
              <w:spacing w:line="276" w:lineRule="auto"/>
              <w:contextualSpacing/>
              <w:jc w:val="both"/>
              <w:rPr>
                <w:iCs/>
              </w:rPr>
            </w:pPr>
            <w:r>
              <w:t xml:space="preserve">ei purkamista, keskeyttämistä tai muuttamista kriisinratkaisun perusteella (myös liiketoiminnan tervehdyttäminen direktiivin 2014/59/EU 51 artiklan mukaisesti); </w:t>
            </w:r>
          </w:p>
          <w:p w14:paraId="7FE1C5D9" w14:textId="77777777" w:rsidR="00B81226" w:rsidRDefault="00B82AC2">
            <w:pPr>
              <w:pStyle w:val="P68B1DB1-ListParagraph60"/>
              <w:numPr>
                <w:ilvl w:val="0"/>
                <w:numId w:val="263"/>
              </w:numPr>
              <w:spacing w:line="276" w:lineRule="auto"/>
              <w:contextualSpacing/>
              <w:jc w:val="both"/>
              <w:rPr>
                <w:iCs/>
              </w:rPr>
            </w:pPr>
            <w:r>
              <w:t xml:space="preserve">palvelujen tarjoamisen siirrettävyys uudelle vastaanottajalle joko palvelujen vastaanottajan tai kriisinratkaisuviranomaisen taholta kriisinratkaisun vuoksi (myös tervehdyttäminen direktiivin 2014/59/EU 51 artiklan mukaisesti); </w:t>
            </w:r>
          </w:p>
          <w:p w14:paraId="7FE1C5DA" w14:textId="77777777" w:rsidR="00B81226" w:rsidRDefault="00B82AC2">
            <w:pPr>
              <w:pStyle w:val="P68B1DB1-ListParagraph60"/>
              <w:numPr>
                <w:ilvl w:val="0"/>
                <w:numId w:val="263"/>
              </w:numPr>
              <w:spacing w:line="276" w:lineRule="auto"/>
              <w:contextualSpacing/>
              <w:jc w:val="both"/>
              <w:rPr>
                <w:iCs/>
              </w:rPr>
            </w:pPr>
            <w:r>
              <w:t>tuki kriisinratkaisun (myös direktiivin 2014/59/EU 51 artiklan mukaisen tervehdyttämisen) aikana tapahtuvassa siirrossa tai purkamisessa kohtuullisen kauan (esimerkiksi 24 kuukautta) nykyisen palveluntarjoajan taholta ja samoin ehdoin ja edellytyksin; sekä</w:t>
            </w:r>
          </w:p>
          <w:p w14:paraId="7FE1C5DB" w14:textId="77777777" w:rsidR="00B81226" w:rsidRDefault="00B82AC2">
            <w:pPr>
              <w:pStyle w:val="P68B1DB1-ListParagraph60"/>
              <w:numPr>
                <w:ilvl w:val="0"/>
                <w:numId w:val="263"/>
              </w:numPr>
              <w:spacing w:line="276" w:lineRule="auto"/>
              <w:contextualSpacing/>
              <w:jc w:val="both"/>
              <w:rPr>
                <w:iCs/>
              </w:rPr>
            </w:pPr>
            <w:r>
              <w:t>jatkuva palvelujen tarjoaminen luovutetulle konsernin yksikölle kriisinratkaisun (myös direktiivin 2014/59/EU 51 artiklan mukaisen tervehdyttämisen) aikana kohtuullisen kauan luovutuksen jälkeen, esimerkiksi 24 kuukautta.</w:t>
            </w:r>
          </w:p>
          <w:p w14:paraId="7FE1C5DC" w14:textId="77777777" w:rsidR="00B81226" w:rsidRDefault="00B82AC2">
            <w:pPr>
              <w:spacing w:line="276" w:lineRule="auto"/>
              <w:jc w:val="both"/>
              <w:rPr>
                <w:rFonts w:ascii="Times New Roman" w:hAnsi="Times New Roman"/>
                <w:iCs/>
                <w:sz w:val="20"/>
                <w:szCs w:val="20"/>
              </w:rPr>
            </w:pPr>
            <w:r>
              <w:rPr>
                <w:rFonts w:ascii="Times New Roman" w:hAnsi="Times New Roman"/>
                <w:sz w:val="20"/>
                <w:szCs w:val="20"/>
              </w:rPr>
              <w:t>Tämä koskee sopimuksia, joihin sovelletaan EU:n jäsenvaltion lakia ja lainkäyttövaltaa, jäljempänä</w:t>
            </w:r>
            <w:r>
              <w:rPr>
                <w:rStyle w:val="FootnoteReference"/>
                <w:rFonts w:ascii="Times New Roman" w:hAnsi="Times New Roman"/>
                <w:sz w:val="20"/>
                <w:szCs w:val="20"/>
              </w:rPr>
              <w:footnoteReference w:id="28"/>
            </w:r>
            <w:r>
              <w:rPr>
                <w:rFonts w:ascii="Times New Roman" w:hAnsi="Times New Roman"/>
                <w:sz w:val="20"/>
                <w:szCs w:val="20"/>
              </w:rPr>
              <w:t xml:space="preserve"> ’EU-sopimukset’, ja sopimuksiin, joihin sovelletaan kolmannen maan lakia.</w:t>
            </w:r>
          </w:p>
          <w:p w14:paraId="7FE1C5DD" w14:textId="77777777" w:rsidR="00B81226" w:rsidRDefault="00B81226">
            <w:pPr>
              <w:spacing w:line="276" w:lineRule="auto"/>
              <w:jc w:val="both"/>
              <w:rPr>
                <w:rFonts w:ascii="Times New Roman" w:hAnsi="Times New Roman"/>
                <w:sz w:val="20"/>
              </w:rPr>
            </w:pPr>
          </w:p>
          <w:p w14:paraId="7FE1C5DE" w14:textId="77777777" w:rsidR="00B81226" w:rsidRDefault="00B82AC2">
            <w:pPr>
              <w:pStyle w:val="P68B1DB1-Normal64"/>
              <w:spacing w:line="276" w:lineRule="auto"/>
              <w:jc w:val="both"/>
            </w:pPr>
            <w:r>
              <w:t>Ilmoittamisessa käytetään seuraavia arvoja:</w:t>
            </w:r>
          </w:p>
          <w:p w14:paraId="7FE1C5DF" w14:textId="77777777" w:rsidR="00B81226" w:rsidRDefault="00B82AC2">
            <w:pPr>
              <w:pStyle w:val="P68B1DB1-Normal62"/>
              <w:spacing w:line="276" w:lineRule="auto"/>
              <w:jc w:val="both"/>
            </w:pPr>
            <w:r>
              <w:t>”Yes” (Kyllä) – jos sopimus arvioidaan kriisinratkaisun kanssa yhteensopivaksi</w:t>
            </w:r>
          </w:p>
          <w:p w14:paraId="7FE1C5E0" w14:textId="77777777" w:rsidR="00B81226" w:rsidRDefault="00B82AC2">
            <w:pPr>
              <w:pStyle w:val="P68B1DB1-Normal62"/>
              <w:spacing w:line="276" w:lineRule="auto"/>
              <w:jc w:val="both"/>
            </w:pPr>
            <w:r>
              <w:t>”No” (Ei) – jos sopimusta ei arvioida kriisinratkaisun kanssa yhteensopivaksi</w:t>
            </w:r>
          </w:p>
          <w:p w14:paraId="7FE1C5E1" w14:textId="77777777" w:rsidR="00B81226" w:rsidRDefault="00B82AC2">
            <w:pPr>
              <w:pStyle w:val="P68B1DB1-Normal62"/>
              <w:spacing w:line="276" w:lineRule="auto"/>
              <w:jc w:val="both"/>
            </w:pPr>
            <w:r>
              <w:t>”’Not assessed” (Ei arvioitu) – jos arviota ei ole tehty.</w:t>
            </w:r>
          </w:p>
          <w:p w14:paraId="7FE1C5E2" w14:textId="748C3D0F" w:rsidR="00B81226" w:rsidRDefault="00B82AC2">
            <w:pPr>
              <w:pStyle w:val="P68B1DB1-Normal62"/>
              <w:spacing w:line="276" w:lineRule="auto"/>
              <w:jc w:val="both"/>
            </w:pPr>
            <w:r>
              <w:t>”Ei APPLICABLE” – yhteisön sisäiset palvelut</w:t>
            </w:r>
          </w:p>
          <w:p w14:paraId="7FE1C5E3" w14:textId="77777777" w:rsidR="00B81226" w:rsidRDefault="00B81226">
            <w:pPr>
              <w:spacing w:line="276" w:lineRule="auto"/>
              <w:jc w:val="both"/>
              <w:rPr>
                <w:rFonts w:ascii="Times New Roman" w:hAnsi="Times New Roman"/>
                <w:sz w:val="20"/>
              </w:rPr>
            </w:pPr>
          </w:p>
        </w:tc>
      </w:tr>
      <w:tr w:rsidR="00B81226" w14:paraId="7FE1C5EF" w14:textId="77777777">
        <w:trPr>
          <w:trHeight w:val="463"/>
        </w:trPr>
        <w:tc>
          <w:tcPr>
            <w:tcW w:w="1418" w:type="dxa"/>
            <w:shd w:val="clear" w:color="auto" w:fill="FFFFFF" w:themeFill="background1"/>
          </w:tcPr>
          <w:p w14:paraId="7FE1C5E5" w14:textId="77777777" w:rsidR="00B81226" w:rsidRDefault="00B82AC2">
            <w:pPr>
              <w:pStyle w:val="P68B1DB1-Normal64"/>
              <w:spacing w:before="120" w:after="120" w:line="276" w:lineRule="auto"/>
              <w:rPr>
                <w:szCs w:val="20"/>
              </w:rPr>
            </w:pPr>
            <w:r>
              <w:t>0110</w:t>
            </w:r>
          </w:p>
        </w:tc>
        <w:tc>
          <w:tcPr>
            <w:tcW w:w="7791" w:type="dxa"/>
            <w:shd w:val="clear" w:color="auto" w:fill="FFFFFF" w:themeFill="background1"/>
          </w:tcPr>
          <w:p w14:paraId="7FE1C5E6" w14:textId="77777777" w:rsidR="00B81226" w:rsidRDefault="00B82AC2">
            <w:pPr>
              <w:pStyle w:val="P68B1DB1-Normal65"/>
              <w:spacing w:line="276" w:lineRule="auto"/>
              <w:jc w:val="both"/>
              <w:rPr>
                <w:bCs/>
                <w:iCs/>
              </w:rPr>
            </w:pPr>
            <w:r>
              <w:t>Yritysten tervehdyttämissuunnitelma (BRP)</w:t>
            </w:r>
          </w:p>
          <w:p w14:paraId="7FE1C5E7" w14:textId="77777777" w:rsidR="00B81226" w:rsidRDefault="00B82AC2">
            <w:pPr>
              <w:pStyle w:val="P68B1DB1-Normal64"/>
              <w:spacing w:line="276" w:lineRule="auto"/>
              <w:jc w:val="both"/>
              <w:rPr>
                <w:iCs/>
              </w:rPr>
            </w:pPr>
            <w:r>
              <w:t>Jos kriisinratkaisustrategia (joko parhaaksi arvioitu tai muunnelma) edellyttää liiketoiminnan tervehdyttämissuunnitelmaa, EU:n sopimuksiin odotetaan sisältyvän nimenomaisia lausekkeita, joilla varmistetaan niiden kriisinratkaisun sietokyky liiketoiminnan tervehdyttämissuunnitelmien täytäntöönpanossa.</w:t>
            </w:r>
          </w:p>
          <w:p w14:paraId="7FE1C5E8" w14:textId="77777777" w:rsidR="00B81226" w:rsidRDefault="00B81226">
            <w:pPr>
              <w:spacing w:line="276" w:lineRule="auto"/>
              <w:jc w:val="both"/>
              <w:rPr>
                <w:rFonts w:ascii="Times New Roman" w:hAnsi="Times New Roman"/>
                <w:iCs/>
                <w:sz w:val="20"/>
              </w:rPr>
            </w:pPr>
          </w:p>
          <w:p w14:paraId="7FE1C5E9" w14:textId="77777777" w:rsidR="00B81226" w:rsidRDefault="00B82AC2">
            <w:pPr>
              <w:pStyle w:val="P68B1DB1-Normal64"/>
              <w:spacing w:line="276" w:lineRule="auto"/>
              <w:jc w:val="both"/>
              <w:rPr>
                <w:iCs/>
              </w:rPr>
            </w:pPr>
            <w:r>
              <w:t>Ilmoittamisessa käytetään seuraavia arvoja:</w:t>
            </w:r>
          </w:p>
          <w:p w14:paraId="7FE1C5EA" w14:textId="77777777" w:rsidR="00B81226" w:rsidRDefault="00B82AC2">
            <w:pPr>
              <w:pStyle w:val="P68B1DB1-Normal67"/>
              <w:spacing w:line="276" w:lineRule="auto"/>
              <w:jc w:val="both"/>
              <w:rPr>
                <w:iCs/>
                <w:sz w:val="20"/>
              </w:rPr>
            </w:pPr>
            <w:r>
              <w:t>”</w:t>
            </w:r>
            <w:r>
              <w:rPr>
                <w:sz w:val="20"/>
              </w:rPr>
              <w:t>Kyllä” – jos sopimukseen sisältyy nimenomaisia lausekkeita, joilla varmistetaan niiden kriisinratkaisun sietokyky BRP:n täytäntöönpanossa</w:t>
            </w:r>
          </w:p>
          <w:p w14:paraId="7FE1C5EB" w14:textId="77777777" w:rsidR="00B81226" w:rsidRDefault="00B82AC2">
            <w:pPr>
              <w:pStyle w:val="P68B1DB1-Normal67"/>
              <w:spacing w:line="276" w:lineRule="auto"/>
              <w:jc w:val="both"/>
              <w:rPr>
                <w:iCs/>
                <w:sz w:val="20"/>
              </w:rPr>
            </w:pPr>
            <w:r>
              <w:lastRenderedPageBreak/>
              <w:t>”</w:t>
            </w:r>
            <w:r>
              <w:rPr>
                <w:sz w:val="20"/>
              </w:rPr>
              <w:t>Ei” – jos sopimukseen ei sisälly nimenomaisia lausekkeita, joilla varmistetaan niiden kriisinratkaisun sietokyky BRP:n täytäntöönpanossa</w:t>
            </w:r>
          </w:p>
          <w:p w14:paraId="7FE1C5EC" w14:textId="77777777" w:rsidR="00B81226" w:rsidRDefault="00B82AC2">
            <w:pPr>
              <w:pStyle w:val="P68B1DB1-Normal67"/>
              <w:spacing w:line="276" w:lineRule="auto"/>
              <w:jc w:val="both"/>
              <w:rPr>
                <w:iCs/>
                <w:sz w:val="20"/>
              </w:rPr>
            </w:pPr>
            <w:r>
              <w:t>”’</w:t>
            </w:r>
            <w:r>
              <w:rPr>
                <w:sz w:val="20"/>
              </w:rPr>
              <w:t>Not assessed” (Ei arvioitu) – jos arviota ei ole tehty</w:t>
            </w:r>
            <w:r>
              <w:t>.</w:t>
            </w:r>
          </w:p>
          <w:p w14:paraId="7FE1C5ED" w14:textId="430F5732" w:rsidR="00B81226" w:rsidRDefault="00B82AC2">
            <w:pPr>
              <w:pStyle w:val="P68B1DB1-Normal67"/>
              <w:spacing w:line="276" w:lineRule="auto"/>
              <w:jc w:val="both"/>
              <w:rPr>
                <w:iCs/>
                <w:sz w:val="20"/>
              </w:rPr>
            </w:pPr>
            <w:r>
              <w:t>”</w:t>
            </w:r>
            <w:r>
              <w:rPr>
                <w:sz w:val="20"/>
              </w:rPr>
              <w:t xml:space="preserve">Ei APPLICABLE” – yhteisön sisäiset palvelut tai konsernin sisäiset ja ulkoiset palvelut, jos kriisinratkaisustrategia (parhaaksi arvioitu ja muunnelma) ei edellytä liiketoiminnan tervehdyttämissuunnitelmaa </w:t>
            </w:r>
          </w:p>
          <w:p w14:paraId="7FE1C5EE" w14:textId="77777777" w:rsidR="00B81226" w:rsidRDefault="00B81226">
            <w:pPr>
              <w:spacing w:line="276" w:lineRule="auto"/>
              <w:jc w:val="both"/>
              <w:rPr>
                <w:rFonts w:ascii="Times New Roman" w:hAnsi="Times New Roman"/>
                <w:i/>
                <w:sz w:val="20"/>
              </w:rPr>
            </w:pPr>
          </w:p>
        </w:tc>
      </w:tr>
      <w:tr w:rsidR="00B81226" w14:paraId="7FE1C5F9" w14:textId="77777777">
        <w:trPr>
          <w:trHeight w:val="463"/>
        </w:trPr>
        <w:tc>
          <w:tcPr>
            <w:tcW w:w="1418" w:type="dxa"/>
            <w:shd w:val="clear" w:color="auto" w:fill="FFFFFF" w:themeFill="background1"/>
          </w:tcPr>
          <w:p w14:paraId="7FE1C5F0" w14:textId="77777777" w:rsidR="00B81226" w:rsidRDefault="00B82AC2">
            <w:pPr>
              <w:pStyle w:val="P68B1DB1-Normal64"/>
              <w:spacing w:before="120" w:after="120" w:line="276" w:lineRule="auto"/>
              <w:rPr>
                <w:szCs w:val="20"/>
              </w:rPr>
            </w:pPr>
            <w:r>
              <w:lastRenderedPageBreak/>
              <w:t>0120</w:t>
            </w:r>
          </w:p>
        </w:tc>
        <w:tc>
          <w:tcPr>
            <w:tcW w:w="7791" w:type="dxa"/>
            <w:shd w:val="clear" w:color="auto" w:fill="FFFFFF" w:themeFill="background1"/>
          </w:tcPr>
          <w:p w14:paraId="7FE1C5F1" w14:textId="77777777" w:rsidR="00B81226" w:rsidRDefault="00B82AC2">
            <w:pPr>
              <w:pStyle w:val="P68B1DB1-Normal64"/>
              <w:spacing w:line="276" w:lineRule="auto"/>
              <w:jc w:val="both"/>
            </w:pPr>
            <w:r>
              <w:rPr>
                <w:b/>
              </w:rPr>
              <w:t>Vaihtoehtoiset lieventävät toimet</w:t>
            </w:r>
            <w:r>
              <w:t xml:space="preserve"> </w:t>
            </w:r>
          </w:p>
          <w:p w14:paraId="7FE1C5F2" w14:textId="77777777" w:rsidR="00B81226" w:rsidRDefault="00B82AC2">
            <w:pPr>
              <w:pStyle w:val="P68B1DB1-Normal64"/>
              <w:spacing w:line="276" w:lineRule="auto"/>
              <w:jc w:val="both"/>
            </w:pPr>
            <w:r>
              <w:t xml:space="preserve">Jos kriisinratkaisun häiriönsietokykyä odotetaan saavutettavan mutta pankit eivät ole pystyneet siihen, pankkien odotetaan tutkivan vaihtoehtoisia lieventäviä toimia. </w:t>
            </w:r>
          </w:p>
          <w:p w14:paraId="7FE1C5F3" w14:textId="77777777" w:rsidR="00B81226" w:rsidRDefault="00B81226">
            <w:pPr>
              <w:spacing w:line="276" w:lineRule="auto"/>
              <w:jc w:val="both"/>
              <w:rPr>
                <w:rFonts w:ascii="Times New Roman" w:hAnsi="Times New Roman"/>
                <w:sz w:val="20"/>
              </w:rPr>
            </w:pPr>
          </w:p>
          <w:p w14:paraId="7FE1C5F4" w14:textId="77777777" w:rsidR="00B81226" w:rsidRDefault="00B82AC2">
            <w:pPr>
              <w:pStyle w:val="P68B1DB1-Normal64"/>
              <w:spacing w:line="276" w:lineRule="auto"/>
              <w:jc w:val="both"/>
              <w:rPr>
                <w:iCs/>
              </w:rPr>
            </w:pPr>
            <w:r>
              <w:t>Ilmoittamisessa käytetään seuraavia arvoja:</w:t>
            </w:r>
          </w:p>
          <w:p w14:paraId="7FE1C5F5" w14:textId="77777777" w:rsidR="00B81226" w:rsidRDefault="00B82AC2">
            <w:pPr>
              <w:pStyle w:val="P68B1DB1-Normal67"/>
              <w:spacing w:line="276" w:lineRule="auto"/>
              <w:jc w:val="both"/>
              <w:rPr>
                <w:iCs/>
                <w:sz w:val="20"/>
              </w:rPr>
            </w:pPr>
            <w:r>
              <w:t>”</w:t>
            </w:r>
            <w:r>
              <w:rPr>
                <w:sz w:val="20"/>
              </w:rPr>
              <w:t>Kyllä” – jos pankki on toteuttanut vaihtoehtoisia lieventäviä toimia</w:t>
            </w:r>
          </w:p>
          <w:p w14:paraId="7FE1C5F6" w14:textId="77777777" w:rsidR="00B81226" w:rsidRDefault="00B82AC2">
            <w:pPr>
              <w:pStyle w:val="P68B1DB1-Normal67"/>
              <w:spacing w:line="276" w:lineRule="auto"/>
              <w:jc w:val="both"/>
              <w:rPr>
                <w:iCs/>
                <w:sz w:val="20"/>
              </w:rPr>
            </w:pPr>
            <w:r>
              <w:t>”</w:t>
            </w:r>
            <w:r>
              <w:rPr>
                <w:sz w:val="20"/>
              </w:rPr>
              <w:t>Ei” – jos pankki ei ole toteuttanut vaihtoehtoisia lieventäviä toimia</w:t>
            </w:r>
          </w:p>
          <w:p w14:paraId="7FE1C5F7" w14:textId="20F99367" w:rsidR="00B81226" w:rsidRDefault="00B82AC2">
            <w:pPr>
              <w:pStyle w:val="P68B1DB1-Normal67"/>
              <w:spacing w:line="276" w:lineRule="auto"/>
              <w:jc w:val="both"/>
              <w:rPr>
                <w:iCs/>
                <w:sz w:val="20"/>
              </w:rPr>
            </w:pPr>
            <w:r>
              <w:t>”</w:t>
            </w:r>
            <w:r>
              <w:rPr>
                <w:sz w:val="20"/>
              </w:rPr>
              <w:t>Ei HYVÄKSYI” – tapauksissa, joissa johonkin sarakkeista 0150 tai 0160 on merkitty ”Kyllä” tai ”EI TÄYTÄNTÖÖN”</w:t>
            </w:r>
          </w:p>
          <w:p w14:paraId="7FE1C5F8" w14:textId="77777777" w:rsidR="00B81226" w:rsidRDefault="00B81226">
            <w:pPr>
              <w:spacing w:line="276" w:lineRule="auto"/>
              <w:jc w:val="both"/>
              <w:rPr>
                <w:rFonts w:ascii="Times New Roman" w:hAnsi="Times New Roman"/>
                <w:sz w:val="20"/>
              </w:rPr>
            </w:pPr>
          </w:p>
        </w:tc>
      </w:tr>
    </w:tbl>
    <w:p w14:paraId="7FE1C5FA" w14:textId="77777777" w:rsidR="00B81226" w:rsidRDefault="00B81226">
      <w:pPr>
        <w:rPr>
          <w:rFonts w:ascii="Times New Roman" w:eastAsia="Times New Roman" w:hAnsi="Times New Roman" w:cs="Times New Roman"/>
          <w:sz w:val="20"/>
          <w:szCs w:val="20"/>
          <w:u w:val="single"/>
        </w:rPr>
      </w:pPr>
    </w:p>
    <w:p w14:paraId="7FE1C5FB" w14:textId="77777777" w:rsidR="00B81226" w:rsidRDefault="00B81226">
      <w:pPr>
        <w:rPr>
          <w:rFonts w:ascii="Times New Roman" w:hAnsi="Times New Roman" w:cs="Times New Roman"/>
        </w:rPr>
      </w:pPr>
    </w:p>
    <w:p w14:paraId="7FE1C5FC" w14:textId="77777777" w:rsidR="00B81226" w:rsidRDefault="00B82AC2">
      <w:pPr>
        <w:pStyle w:val="P68B1DB1-Instructionsberschrift25"/>
        <w:numPr>
          <w:ilvl w:val="1"/>
          <w:numId w:val="49"/>
        </w:numPr>
        <w:ind w:left="357" w:hanging="357"/>
        <w:rPr>
          <w:rFonts w:eastAsia="Calibri"/>
          <w:szCs w:val="20"/>
        </w:rPr>
      </w:pPr>
      <w:bookmarkStart w:id="130" w:name="_Toc208245456"/>
      <w:r>
        <w:t>Z 08.03 – Asiaan liittyvät palvelut – roolien kartoitus (SERV 3)</w:t>
      </w:r>
      <w:bookmarkEnd w:id="130"/>
    </w:p>
    <w:p w14:paraId="7FE1C5FD" w14:textId="77777777" w:rsidR="00B81226" w:rsidRDefault="00B82AC2">
      <w:pPr>
        <w:pStyle w:val="P68B1DB1-Normal50"/>
        <w:spacing w:line="276" w:lineRule="auto"/>
        <w:jc w:val="both"/>
      </w:pPr>
      <w:r>
        <w:t>Yleiset ohjeet</w:t>
      </w:r>
    </w:p>
    <w:p w14:paraId="7FE1C5FE" w14:textId="77777777" w:rsidR="00B81226" w:rsidRDefault="00B82AC2">
      <w:pPr>
        <w:pStyle w:val="P68B1DB1-Instructionsberschrift346"/>
        <w:numPr>
          <w:ilvl w:val="2"/>
          <w:numId w:val="211"/>
        </w:numPr>
        <w:ind w:left="993"/>
        <w:contextualSpacing/>
        <w:jc w:val="both"/>
      </w:pPr>
      <w:r>
        <w:rPr>
          <w:color w:val="auto"/>
          <w:szCs w:val="24"/>
        </w:rPr>
        <w:t>Tähän lomakkeeseen sisällytettävät tiedot ilmoitetaan kerran koko konsernista, ja lomakkeessa luetellaan konserniyhteisön mahdollisesti vastaanottamat kriittiset palvelut ja yhdistetään ne konsernin tarjoamiin kriittisiin toimintoihin</w:t>
      </w:r>
      <w:r>
        <w:t>.</w:t>
      </w:r>
    </w:p>
    <w:p w14:paraId="7FE1C5FF" w14:textId="77777777" w:rsidR="00B81226" w:rsidRDefault="00B82AC2">
      <w:pPr>
        <w:pStyle w:val="P68B1DB1-Instructionsberschrift368"/>
        <w:numPr>
          <w:ilvl w:val="2"/>
          <w:numId w:val="211"/>
        </w:numPr>
        <w:ind w:left="993"/>
        <w:contextualSpacing/>
        <w:jc w:val="both"/>
      </w:pPr>
      <w:r>
        <w:t>Tämän lomakkeen sarakkeissa 0010, 0020 ja 0030 ilmoitetut arvot muodostavat ensisijaisen avaimen, jonka on oltava yksilöllinen lomakkeen jokaiselle riville.</w:t>
      </w:r>
    </w:p>
    <w:p w14:paraId="7FE1C604" w14:textId="77777777" w:rsidR="00B81226" w:rsidRDefault="00B81226">
      <w:pPr>
        <w:spacing w:line="276" w:lineRule="auto"/>
        <w:jc w:val="both"/>
        <w:rPr>
          <w:rFonts w:ascii="Times New Roman" w:eastAsia="Calibri" w:hAnsi="Times New Roman" w:cs="Times New Roman"/>
          <w:color w:val="0070C0"/>
          <w:sz w:val="20"/>
        </w:rPr>
      </w:pPr>
    </w:p>
    <w:tbl>
      <w:tblPr>
        <w:tblStyle w:val="TableGrid1"/>
        <w:tblW w:w="9067" w:type="dxa"/>
        <w:tblLook w:val="04A0" w:firstRow="1" w:lastRow="0" w:firstColumn="1" w:lastColumn="0" w:noHBand="0" w:noVBand="1"/>
      </w:tblPr>
      <w:tblGrid>
        <w:gridCol w:w="1418"/>
        <w:gridCol w:w="7649"/>
      </w:tblGrid>
      <w:tr w:rsidR="00B81226" w14:paraId="7FE1C607" w14:textId="77777777">
        <w:trPr>
          <w:trHeight w:val="519"/>
          <w:tblHeader/>
        </w:trPr>
        <w:tc>
          <w:tcPr>
            <w:tcW w:w="1418" w:type="dxa"/>
            <w:shd w:val="clear" w:color="auto" w:fill="D9D9D9" w:themeFill="background1" w:themeFillShade="D9"/>
          </w:tcPr>
          <w:p w14:paraId="7FE1C605" w14:textId="77777777" w:rsidR="00B81226" w:rsidRDefault="00B82AC2">
            <w:pPr>
              <w:pStyle w:val="P68B1DB1-Normal61"/>
              <w:spacing w:before="120" w:after="120" w:line="276" w:lineRule="auto"/>
            </w:pPr>
            <w:r>
              <w:t>Sarakkeet</w:t>
            </w:r>
          </w:p>
        </w:tc>
        <w:tc>
          <w:tcPr>
            <w:tcW w:w="7649" w:type="dxa"/>
            <w:shd w:val="clear" w:color="auto" w:fill="D9D9D9" w:themeFill="background1" w:themeFillShade="D9"/>
          </w:tcPr>
          <w:p w14:paraId="7FE1C606" w14:textId="77777777" w:rsidR="00B81226" w:rsidRDefault="00B82AC2">
            <w:pPr>
              <w:pStyle w:val="P68B1DB1-Normal61"/>
              <w:spacing w:before="120" w:after="120" w:line="276" w:lineRule="auto"/>
            </w:pPr>
            <w:r>
              <w:t>Ohjeet</w:t>
            </w:r>
          </w:p>
        </w:tc>
      </w:tr>
      <w:tr w:rsidR="00B81226" w14:paraId="7FE1C60C" w14:textId="77777777">
        <w:trPr>
          <w:trHeight w:val="450"/>
        </w:trPr>
        <w:tc>
          <w:tcPr>
            <w:tcW w:w="1418" w:type="dxa"/>
          </w:tcPr>
          <w:p w14:paraId="7FE1C608" w14:textId="77777777" w:rsidR="00B81226" w:rsidRDefault="00B82AC2">
            <w:pPr>
              <w:pStyle w:val="P68B1DB1-Normal62"/>
              <w:spacing w:before="120" w:after="120" w:line="276" w:lineRule="auto"/>
            </w:pPr>
            <w:r>
              <w:t>0005</w:t>
            </w:r>
          </w:p>
        </w:tc>
        <w:tc>
          <w:tcPr>
            <w:tcW w:w="7649" w:type="dxa"/>
          </w:tcPr>
          <w:p w14:paraId="7FE1C609" w14:textId="77777777" w:rsidR="00B81226" w:rsidRDefault="00B82AC2">
            <w:pPr>
              <w:pStyle w:val="P68B1DB1-Normal61"/>
              <w:spacing w:before="120" w:after="120" w:line="276" w:lineRule="auto"/>
              <w:rPr>
                <w:bCs/>
              </w:rPr>
            </w:pPr>
            <w:r>
              <w:t xml:space="preserve">(Service Identifier) Palvelun tunniste </w:t>
            </w:r>
          </w:p>
          <w:p w14:paraId="7FE1C60A" w14:textId="77777777" w:rsidR="00B81226" w:rsidRDefault="00B82AC2">
            <w:pPr>
              <w:pStyle w:val="P68B1DB1-Normal62"/>
              <w:spacing w:before="120" w:after="120" w:line="276" w:lineRule="auto"/>
            </w:pPr>
            <w:r>
              <w:t>Käytetään lomakkeessa Z 08.01 (SERV 1) ilmoitettua palvelun tunnistetta.</w:t>
            </w:r>
          </w:p>
          <w:p w14:paraId="7FE1C60B" w14:textId="77777777" w:rsidR="00B81226" w:rsidRDefault="00B82AC2">
            <w:pPr>
              <w:pStyle w:val="P68B1DB1-Normal62"/>
              <w:spacing w:before="120" w:after="120" w:line="276" w:lineRule="auto"/>
              <w:rPr>
                <w:iCs/>
              </w:rPr>
            </w:pPr>
            <w:r>
              <w:t>Palvelun tunniste viittaa sarakkeessa 0020 ilmoitettuun palveluun.</w:t>
            </w:r>
          </w:p>
        </w:tc>
      </w:tr>
      <w:tr w:rsidR="00B81226" w14:paraId="7FE1C650" w14:textId="77777777">
        <w:trPr>
          <w:trHeight w:val="450"/>
        </w:trPr>
        <w:tc>
          <w:tcPr>
            <w:tcW w:w="1418" w:type="dxa"/>
          </w:tcPr>
          <w:p w14:paraId="7FE1C60D" w14:textId="77777777" w:rsidR="00B81226" w:rsidRDefault="00B82AC2">
            <w:pPr>
              <w:pStyle w:val="P68B1DB1-Normal62"/>
              <w:spacing w:before="120" w:after="120" w:line="276" w:lineRule="auto"/>
            </w:pPr>
            <w:r>
              <w:t>0010</w:t>
            </w:r>
          </w:p>
        </w:tc>
        <w:tc>
          <w:tcPr>
            <w:tcW w:w="7649" w:type="dxa"/>
          </w:tcPr>
          <w:p w14:paraId="7FE1C60E" w14:textId="77777777" w:rsidR="00B81226" w:rsidRDefault="00B82AC2">
            <w:pPr>
              <w:pStyle w:val="P68B1DB1-Normal61"/>
              <w:autoSpaceDE w:val="0"/>
              <w:autoSpaceDN w:val="0"/>
              <w:adjustRightInd w:val="0"/>
              <w:rPr>
                <w:rFonts w:eastAsia="MS Mincho"/>
                <w:bCs/>
              </w:rPr>
            </w:pPr>
            <w:r>
              <w:t xml:space="preserve">Palvelutyyppi </w:t>
            </w:r>
          </w:p>
          <w:p w14:paraId="7FE1C645" w14:textId="21F3184E" w:rsidR="00B81226" w:rsidRDefault="00B82AC2">
            <w:pPr>
              <w:pStyle w:val="P68B1DB1-Normal63"/>
              <w:autoSpaceDE w:val="0"/>
              <w:autoSpaceDN w:val="0"/>
              <w:adjustRightInd w:val="0"/>
            </w:pPr>
            <w:r>
              <w:t xml:space="preserve">Palvelutyypin on oltava jokin edellä kohdassa Z 08.01 0010 luetelluista palvelutyypeistä. </w:t>
            </w:r>
          </w:p>
          <w:p w14:paraId="7FE1C64F" w14:textId="2C039B1C" w:rsidR="00B81226" w:rsidRDefault="00B81226">
            <w:pPr>
              <w:spacing w:before="120" w:after="120" w:line="276" w:lineRule="auto"/>
              <w:rPr>
                <w:rFonts w:ascii="Times New Roman" w:hAnsi="Times New Roman"/>
                <w:sz w:val="20"/>
                <w:szCs w:val="20"/>
              </w:rPr>
            </w:pPr>
          </w:p>
        </w:tc>
      </w:tr>
      <w:tr w:rsidR="00B81226" w14:paraId="7FE1C655" w14:textId="77777777">
        <w:trPr>
          <w:trHeight w:val="450"/>
        </w:trPr>
        <w:tc>
          <w:tcPr>
            <w:tcW w:w="1418" w:type="dxa"/>
          </w:tcPr>
          <w:p w14:paraId="7FE1C651" w14:textId="77777777" w:rsidR="00B81226" w:rsidRDefault="00B82AC2">
            <w:pPr>
              <w:pStyle w:val="P68B1DB1-Normal62"/>
              <w:spacing w:before="120" w:after="120" w:line="276" w:lineRule="auto"/>
            </w:pPr>
            <w:r>
              <w:t>0020</w:t>
            </w:r>
          </w:p>
        </w:tc>
        <w:tc>
          <w:tcPr>
            <w:tcW w:w="7649" w:type="dxa"/>
          </w:tcPr>
          <w:p w14:paraId="7FE1C652" w14:textId="77777777" w:rsidR="00B81226" w:rsidRDefault="00B82AC2">
            <w:pPr>
              <w:pStyle w:val="P68B1DB1-Normal65"/>
              <w:spacing w:line="276" w:lineRule="auto"/>
              <w:jc w:val="both"/>
            </w:pPr>
            <w:r>
              <w:rPr>
                <w:szCs w:val="20"/>
              </w:rPr>
              <w:t>Pankkitaksonomian mukainen yksilöllinen palvelunimike</w:t>
            </w:r>
            <w:r>
              <w:t xml:space="preserve"> </w:t>
            </w:r>
          </w:p>
          <w:p w14:paraId="7FE1C653" w14:textId="61186926" w:rsidR="00B81226" w:rsidRDefault="00B82AC2">
            <w:pPr>
              <w:pStyle w:val="P68B1DB1-Normal64"/>
              <w:rPr>
                <w:rFonts w:eastAsiaTheme="minorHAnsi"/>
                <w:sz w:val="24"/>
              </w:rPr>
            </w:pPr>
            <w:r>
              <w:t>Palvelun nimi/lyhyt kuvaus pankin oman porrastetun taksonomian (taso 3) mukaisesti, sellaisena kuin se on ilmoitettu lomakkeessa Z 08.01 (SERV 1) sarakkeessa 0020. Pankin odotetaan ilmoittavan palvelut yksityiskohtaisemmalla tasolla kuin tason 2 raportointi (c0010) siten, että kukin palvelu määritellään täsmällisesti ja kohdennetusti.</w:t>
            </w:r>
          </w:p>
          <w:p w14:paraId="7FE1C654" w14:textId="77777777" w:rsidR="00B81226" w:rsidRDefault="00B81226">
            <w:pPr>
              <w:spacing w:before="120" w:after="120" w:line="276" w:lineRule="auto"/>
              <w:rPr>
                <w:rFonts w:ascii="Times New Roman" w:hAnsi="Times New Roman"/>
                <w:sz w:val="20"/>
                <w:szCs w:val="20"/>
              </w:rPr>
            </w:pPr>
          </w:p>
        </w:tc>
      </w:tr>
      <w:tr w:rsidR="00B81226" w14:paraId="7FE1C65A" w14:textId="77777777">
        <w:trPr>
          <w:trHeight w:val="450"/>
        </w:trPr>
        <w:tc>
          <w:tcPr>
            <w:tcW w:w="1418" w:type="dxa"/>
          </w:tcPr>
          <w:p w14:paraId="7FE1C656" w14:textId="77777777" w:rsidR="00B81226" w:rsidRDefault="00B82AC2">
            <w:pPr>
              <w:pStyle w:val="P68B1DB1-Normal62"/>
              <w:spacing w:before="120" w:after="120" w:line="276" w:lineRule="auto"/>
              <w:rPr>
                <w:b/>
              </w:rPr>
            </w:pPr>
            <w:r>
              <w:lastRenderedPageBreak/>
              <w:t>0030</w:t>
            </w:r>
          </w:p>
        </w:tc>
        <w:tc>
          <w:tcPr>
            <w:tcW w:w="7649" w:type="dxa"/>
          </w:tcPr>
          <w:p w14:paraId="7FE1C657" w14:textId="77777777" w:rsidR="00B81226" w:rsidRDefault="00B82AC2">
            <w:pPr>
              <w:pStyle w:val="P68B1DB1-Normal65"/>
              <w:spacing w:before="120" w:after="120" w:line="276" w:lineRule="auto"/>
              <w:rPr>
                <w:bCs/>
              </w:rPr>
            </w:pPr>
            <w:r>
              <w:rPr>
                <w:szCs w:val="20"/>
              </w:rPr>
              <w:t>Roolitunnus</w:t>
            </w:r>
            <w:r>
              <w:t xml:space="preserve"> </w:t>
            </w:r>
          </w:p>
          <w:p w14:paraId="7FE1C658" w14:textId="77777777" w:rsidR="00B81226" w:rsidRDefault="00B82AC2">
            <w:pPr>
              <w:pStyle w:val="P68B1DB1-Normal64"/>
              <w:spacing w:before="120" w:after="120" w:line="276" w:lineRule="auto"/>
            </w:pPr>
            <w:r>
              <w:t>Roolin tunniste viittaa sarakkeessa 0040 ilmoitettuun rooliin.</w:t>
            </w:r>
          </w:p>
          <w:p w14:paraId="7FE1C659" w14:textId="77777777" w:rsidR="00B81226" w:rsidRDefault="00B81226">
            <w:pPr>
              <w:spacing w:before="120" w:after="120" w:line="276" w:lineRule="auto"/>
              <w:rPr>
                <w:rFonts w:ascii="Times New Roman" w:hAnsi="Times New Roman"/>
                <w:sz w:val="20"/>
                <w:szCs w:val="20"/>
              </w:rPr>
            </w:pPr>
          </w:p>
        </w:tc>
      </w:tr>
      <w:tr w:rsidR="00B81226" w14:paraId="7FE1C65F" w14:textId="77777777">
        <w:trPr>
          <w:trHeight w:val="450"/>
        </w:trPr>
        <w:tc>
          <w:tcPr>
            <w:tcW w:w="1418" w:type="dxa"/>
          </w:tcPr>
          <w:p w14:paraId="7FE1C65B" w14:textId="77777777" w:rsidR="00B81226" w:rsidRDefault="00B82AC2">
            <w:pPr>
              <w:pStyle w:val="P68B1DB1-Normal62"/>
              <w:spacing w:before="120" w:after="120" w:line="276" w:lineRule="auto"/>
            </w:pPr>
            <w:r>
              <w:t>0040</w:t>
            </w:r>
          </w:p>
        </w:tc>
        <w:tc>
          <w:tcPr>
            <w:tcW w:w="7649" w:type="dxa"/>
          </w:tcPr>
          <w:p w14:paraId="7FE1C65C" w14:textId="77777777" w:rsidR="00B81226" w:rsidRDefault="00B82AC2">
            <w:pPr>
              <w:pStyle w:val="P68B1DB1-Normal61"/>
              <w:spacing w:before="120" w:after="120" w:line="276" w:lineRule="auto"/>
              <w:rPr>
                <w:bCs/>
              </w:rPr>
            </w:pPr>
            <w:r>
              <w:t>Rooli</w:t>
            </w:r>
          </w:p>
          <w:p w14:paraId="7FE1C65D" w14:textId="77777777" w:rsidR="00B81226" w:rsidRDefault="00B82AC2">
            <w:pPr>
              <w:pStyle w:val="P68B1DB1-Normal64"/>
              <w:spacing w:line="276" w:lineRule="auto"/>
              <w:jc w:val="both"/>
            </w:pPr>
            <w:r>
              <w:t>Tietyssä roolissa käytetty sisäinen nimi.</w:t>
            </w:r>
          </w:p>
          <w:p w14:paraId="7FE1C65E" w14:textId="77777777" w:rsidR="00B81226" w:rsidRDefault="00B81226">
            <w:pPr>
              <w:spacing w:before="120" w:after="120" w:line="276" w:lineRule="auto"/>
              <w:rPr>
                <w:rFonts w:ascii="Times New Roman" w:hAnsi="Times New Roman"/>
                <w:sz w:val="20"/>
                <w:szCs w:val="20"/>
              </w:rPr>
            </w:pPr>
          </w:p>
        </w:tc>
      </w:tr>
      <w:tr w:rsidR="00B81226" w14:paraId="7FE1C664" w14:textId="77777777">
        <w:trPr>
          <w:trHeight w:val="450"/>
        </w:trPr>
        <w:tc>
          <w:tcPr>
            <w:tcW w:w="1418" w:type="dxa"/>
          </w:tcPr>
          <w:p w14:paraId="7FE1C660" w14:textId="77777777" w:rsidR="00B81226" w:rsidRDefault="00B82AC2">
            <w:pPr>
              <w:pStyle w:val="P68B1DB1-Normal62"/>
              <w:spacing w:before="120" w:after="120" w:line="276" w:lineRule="auto"/>
            </w:pPr>
            <w:r>
              <w:t>0050</w:t>
            </w:r>
          </w:p>
        </w:tc>
        <w:tc>
          <w:tcPr>
            <w:tcW w:w="7649" w:type="dxa"/>
          </w:tcPr>
          <w:p w14:paraId="7FE1C661" w14:textId="77777777" w:rsidR="00B81226" w:rsidRDefault="00B82AC2">
            <w:pPr>
              <w:pStyle w:val="P68B1DB1-Normal61"/>
              <w:spacing w:before="120" w:after="120" w:line="276" w:lineRule="auto"/>
              <w:rPr>
                <w:bCs/>
              </w:rPr>
            </w:pPr>
            <w:r>
              <w:t>Osasto</w:t>
            </w:r>
          </w:p>
          <w:p w14:paraId="7FE1C662" w14:textId="77777777" w:rsidR="00B81226" w:rsidRDefault="00B82AC2">
            <w:pPr>
              <w:pStyle w:val="P68B1DB1-Normal64"/>
              <w:spacing w:line="276" w:lineRule="auto"/>
              <w:jc w:val="both"/>
            </w:pPr>
            <w:r>
              <w:t>Sen yksikön sisäinen nimi, johon sarakkeessa 0040 merkitty roolinimi kuuluu.</w:t>
            </w:r>
          </w:p>
          <w:p w14:paraId="7FE1C663" w14:textId="77777777" w:rsidR="00B81226" w:rsidRDefault="00B81226">
            <w:pPr>
              <w:spacing w:line="276" w:lineRule="auto"/>
              <w:jc w:val="both"/>
              <w:rPr>
                <w:rFonts w:ascii="Times New Roman" w:hAnsi="Times New Roman"/>
                <w:iCs/>
                <w:sz w:val="20"/>
              </w:rPr>
            </w:pPr>
          </w:p>
        </w:tc>
      </w:tr>
      <w:tr w:rsidR="00B81226" w14:paraId="7FE1C66C" w14:textId="77777777">
        <w:trPr>
          <w:trHeight w:val="450"/>
        </w:trPr>
        <w:tc>
          <w:tcPr>
            <w:tcW w:w="1418" w:type="dxa"/>
          </w:tcPr>
          <w:p w14:paraId="7FE1C665" w14:textId="77777777" w:rsidR="00B81226" w:rsidRDefault="00B82AC2">
            <w:pPr>
              <w:pStyle w:val="P68B1DB1-Normal62"/>
              <w:spacing w:before="120" w:after="120" w:line="276" w:lineRule="auto"/>
            </w:pPr>
            <w:r>
              <w:t>0060</w:t>
            </w:r>
          </w:p>
        </w:tc>
        <w:tc>
          <w:tcPr>
            <w:tcW w:w="7649" w:type="dxa"/>
          </w:tcPr>
          <w:p w14:paraId="7FE1C666" w14:textId="77777777" w:rsidR="00B81226" w:rsidRDefault="00B82AC2">
            <w:pPr>
              <w:pStyle w:val="P68B1DB1-Normal61"/>
              <w:spacing w:before="120" w:after="120" w:line="276" w:lineRule="auto"/>
              <w:rPr>
                <w:bCs/>
              </w:rPr>
            </w:pPr>
            <w:r>
              <w:t>Kriittisyys</w:t>
            </w:r>
          </w:p>
          <w:p w14:paraId="7FE1C667" w14:textId="77777777" w:rsidR="00B81226" w:rsidRDefault="00B82AC2">
            <w:pPr>
              <w:pStyle w:val="P68B1DB1-Normal64"/>
              <w:spacing w:line="276" w:lineRule="auto"/>
              <w:jc w:val="both"/>
              <w:rPr>
                <w:iCs/>
              </w:rPr>
            </w:pPr>
            <w:r>
              <w:t>Ilmoittamisessa käytetään seuraavia arvoja:</w:t>
            </w:r>
          </w:p>
          <w:p w14:paraId="7FE1C668" w14:textId="77777777" w:rsidR="00B81226" w:rsidRDefault="00B82AC2">
            <w:pPr>
              <w:pStyle w:val="P68B1DB1-ListParagraph58"/>
              <w:numPr>
                <w:ilvl w:val="0"/>
                <w:numId w:val="236"/>
              </w:numPr>
              <w:spacing w:line="276" w:lineRule="auto"/>
              <w:contextualSpacing/>
              <w:jc w:val="both"/>
              <w:rPr>
                <w:iCs/>
              </w:rPr>
            </w:pPr>
            <w:r>
              <w:t>Kriittinen: jos palvelu on tarpeen yhden tai useamman kriittisen toiminnon suorittamiseksi, jonka keskeytyminen estäisi tai estäisi vakavasti kyseisten kriittisten toimintojen suorittamisen.</w:t>
            </w:r>
          </w:p>
          <w:p w14:paraId="7FE1C669" w14:textId="77777777" w:rsidR="00B81226" w:rsidRDefault="00B82AC2">
            <w:pPr>
              <w:pStyle w:val="P68B1DB1-ListParagraph58"/>
              <w:numPr>
                <w:ilvl w:val="0"/>
                <w:numId w:val="236"/>
              </w:numPr>
              <w:spacing w:line="276" w:lineRule="auto"/>
              <w:contextualSpacing/>
              <w:jc w:val="both"/>
              <w:rPr>
                <w:iCs/>
              </w:rPr>
            </w:pPr>
            <w:r>
              <w:t>Tärkeää: jos palvelu liittyy ydinliiketoiminta-alueisiin, joiden jatkuvuus on tarpeen, jotta kriisinratkaisustrategia ja siitä johtuva uudelleenjärjestely voidaan panna tehokkaasti täytäntöön.</w:t>
            </w:r>
          </w:p>
          <w:p w14:paraId="7FE1C66A" w14:textId="21623EFD" w:rsidR="00B81226" w:rsidRDefault="00B82AC2">
            <w:pPr>
              <w:pStyle w:val="P68B1DB1-ListParagraph58"/>
              <w:numPr>
                <w:ilvl w:val="0"/>
                <w:numId w:val="236"/>
              </w:numPr>
              <w:spacing w:line="276" w:lineRule="auto"/>
              <w:contextualSpacing/>
              <w:jc w:val="both"/>
              <w:rPr>
                <w:iCs/>
              </w:rPr>
            </w:pPr>
            <w:r>
              <w:t>Kriittinen ja välttämätön</w:t>
            </w:r>
          </w:p>
          <w:p w14:paraId="7FE1C66B" w14:textId="77777777" w:rsidR="00B81226" w:rsidRDefault="00B81226">
            <w:pPr>
              <w:spacing w:before="120" w:after="120" w:line="276" w:lineRule="auto"/>
              <w:rPr>
                <w:rFonts w:ascii="Times New Roman" w:hAnsi="Times New Roman"/>
                <w:sz w:val="20"/>
                <w:szCs w:val="20"/>
              </w:rPr>
            </w:pPr>
          </w:p>
        </w:tc>
      </w:tr>
    </w:tbl>
    <w:p w14:paraId="7FE1C6D5" w14:textId="77777777" w:rsidR="00B81226" w:rsidRDefault="00B81226">
      <w:pPr>
        <w:rPr>
          <w:rFonts w:ascii="Times New Roman" w:hAnsi="Times New Roman" w:cs="Times New Roman"/>
        </w:rPr>
      </w:pPr>
    </w:p>
    <w:p w14:paraId="7FE1C6D6" w14:textId="77777777" w:rsidR="00B81226" w:rsidRDefault="00B82AC2">
      <w:pPr>
        <w:pStyle w:val="P68B1DB1-Instructionsberschrift25"/>
        <w:numPr>
          <w:ilvl w:val="1"/>
          <w:numId w:val="49"/>
        </w:numPr>
        <w:ind w:left="357" w:hanging="357"/>
        <w:rPr>
          <w:rFonts w:eastAsia="Calibri"/>
          <w:szCs w:val="20"/>
        </w:rPr>
      </w:pPr>
      <w:bookmarkStart w:id="131" w:name="_Toc208245457"/>
      <w:r>
        <w:t>Z 08.04 – Kriittiset palvelut – kartoitus kriittisiin toimintoihin (SERV 4)</w:t>
      </w:r>
      <w:bookmarkEnd w:id="131"/>
    </w:p>
    <w:p w14:paraId="7FE1C6D7" w14:textId="77777777" w:rsidR="00B81226" w:rsidRDefault="00B82AC2">
      <w:pPr>
        <w:pStyle w:val="P68B1DB1-Instructionsberschrift269"/>
        <w:ind w:left="357"/>
      </w:pPr>
      <w:bookmarkStart w:id="132" w:name="_Toc164263859"/>
      <w:bookmarkStart w:id="133" w:name="_Toc208245458"/>
      <w:r>
        <w:t>Yleiset ohjeet</w:t>
      </w:r>
      <w:bookmarkEnd w:id="132"/>
      <w:bookmarkEnd w:id="133"/>
    </w:p>
    <w:p w14:paraId="7FE1C6D8" w14:textId="77777777" w:rsidR="00B81226" w:rsidRDefault="00B81226">
      <w:pPr>
        <w:spacing w:line="276" w:lineRule="auto"/>
        <w:jc w:val="both"/>
        <w:rPr>
          <w:rFonts w:ascii="Times New Roman" w:eastAsia="Calibri" w:hAnsi="Times New Roman" w:cs="Times New Roman"/>
          <w:sz w:val="20"/>
          <w:szCs w:val="20"/>
        </w:rPr>
      </w:pPr>
    </w:p>
    <w:p w14:paraId="7FE1C6D9" w14:textId="77777777" w:rsidR="00B81226" w:rsidRDefault="00B82AC2">
      <w:pPr>
        <w:pStyle w:val="P68B1DB1-ListParagraph53"/>
        <w:numPr>
          <w:ilvl w:val="0"/>
          <w:numId w:val="267"/>
        </w:numPr>
        <w:ind w:left="1418"/>
        <w:contextualSpacing/>
        <w:jc w:val="both"/>
      </w:pPr>
      <w:r>
        <w:t>Tähän lomakkeeseen sisällytettävät tiedot ilmoitetaan kerran koko konsernista, ja lomakkeessa luetellaan konserniyhteisön mahdollisesti vastaanottamat kriittiset palvelut ja yhdistetään ne konsernin tarjoamiin kriittisiin toimintoihin.</w:t>
      </w:r>
    </w:p>
    <w:p w14:paraId="7FE1C6DA" w14:textId="77777777" w:rsidR="00B81226" w:rsidRDefault="00B82AC2">
      <w:pPr>
        <w:pStyle w:val="P68B1DB1-ListParagraph53"/>
        <w:numPr>
          <w:ilvl w:val="0"/>
          <w:numId w:val="267"/>
        </w:numPr>
        <w:ind w:left="1418"/>
        <w:contextualSpacing/>
        <w:jc w:val="both"/>
      </w:pPr>
      <w:r>
        <w:t>Tämän lomakkeen sarakkeissa 0010, 0020, 0030 ja 0040 ilmoitetut arvot muodostavat ensisijaisen avaimen, jonka on oltava yksilöllinen lomakkeen jokaiselle riville.</w:t>
      </w:r>
    </w:p>
    <w:p w14:paraId="7FE1C6DB" w14:textId="77777777" w:rsidR="00B81226" w:rsidRDefault="00B81226">
      <w:pPr>
        <w:rPr>
          <w:rFonts w:ascii="Times New Roman" w:hAnsi="Times New Roman" w:cs="Times New Roman"/>
        </w:rPr>
      </w:pPr>
    </w:p>
    <w:tbl>
      <w:tblPr>
        <w:tblStyle w:val="TableGrid12"/>
        <w:tblW w:w="8926" w:type="dxa"/>
        <w:tblLook w:val="04A0" w:firstRow="1" w:lastRow="0" w:firstColumn="1" w:lastColumn="0" w:noHBand="0" w:noVBand="1"/>
      </w:tblPr>
      <w:tblGrid>
        <w:gridCol w:w="1418"/>
        <w:gridCol w:w="7508"/>
      </w:tblGrid>
      <w:tr w:rsidR="00B81226" w14:paraId="7FE1C6DE" w14:textId="77777777">
        <w:trPr>
          <w:trHeight w:val="445"/>
          <w:tblHeader/>
        </w:trPr>
        <w:tc>
          <w:tcPr>
            <w:tcW w:w="1418" w:type="dxa"/>
            <w:shd w:val="clear" w:color="auto" w:fill="E7E6E6"/>
          </w:tcPr>
          <w:p w14:paraId="7FE1C6DC" w14:textId="77777777" w:rsidR="00B81226" w:rsidRDefault="00B82AC2">
            <w:pPr>
              <w:pStyle w:val="P68B1DB1-Normal61"/>
              <w:spacing w:before="120" w:after="120" w:line="276" w:lineRule="auto"/>
            </w:pPr>
            <w:r>
              <w:t>Sarakkeet</w:t>
            </w:r>
          </w:p>
        </w:tc>
        <w:tc>
          <w:tcPr>
            <w:tcW w:w="7508" w:type="dxa"/>
            <w:shd w:val="clear" w:color="auto" w:fill="E7E6E6"/>
          </w:tcPr>
          <w:p w14:paraId="7FE1C6DD" w14:textId="77777777" w:rsidR="00B81226" w:rsidRDefault="00B82AC2">
            <w:pPr>
              <w:pStyle w:val="P68B1DB1-Normal61"/>
              <w:spacing w:before="120" w:after="120" w:line="276" w:lineRule="auto"/>
            </w:pPr>
            <w:r>
              <w:t>Ohjeet</w:t>
            </w:r>
          </w:p>
        </w:tc>
      </w:tr>
      <w:tr w:rsidR="00B81226" w14:paraId="7FE1C6E3" w14:textId="77777777">
        <w:trPr>
          <w:trHeight w:val="450"/>
        </w:trPr>
        <w:tc>
          <w:tcPr>
            <w:tcW w:w="1418" w:type="dxa"/>
            <w:shd w:val="clear" w:color="auto" w:fill="FFFFFF"/>
          </w:tcPr>
          <w:p w14:paraId="7FE1C6DF" w14:textId="77777777" w:rsidR="00B81226" w:rsidRDefault="00B82AC2">
            <w:pPr>
              <w:pStyle w:val="P68B1DB1-Normal62"/>
              <w:spacing w:before="120" w:after="120" w:line="276" w:lineRule="auto"/>
            </w:pPr>
            <w:r>
              <w:t>0005</w:t>
            </w:r>
          </w:p>
        </w:tc>
        <w:tc>
          <w:tcPr>
            <w:tcW w:w="7508" w:type="dxa"/>
            <w:shd w:val="clear" w:color="auto" w:fill="FFFFFF"/>
          </w:tcPr>
          <w:p w14:paraId="7FE1C6E0" w14:textId="77777777" w:rsidR="00B81226" w:rsidRDefault="00B82AC2">
            <w:pPr>
              <w:pStyle w:val="P68B1DB1-Normal61"/>
              <w:spacing w:before="120" w:after="120" w:line="276" w:lineRule="auto"/>
            </w:pPr>
            <w:r>
              <w:t xml:space="preserve">(Service Identifier) Palvelun tunniste </w:t>
            </w:r>
          </w:p>
          <w:p w14:paraId="7FE1C6E1" w14:textId="77777777" w:rsidR="00B81226" w:rsidRDefault="00B82AC2">
            <w:pPr>
              <w:pStyle w:val="P68B1DB1-Normal62"/>
              <w:spacing w:before="120" w:after="120" w:line="276" w:lineRule="auto"/>
            </w:pPr>
            <w:r>
              <w:t>Käytetään lomakkeessa Z 08.01 (SERV 1) ilmoitettua palvelun tunnistetta.</w:t>
            </w:r>
          </w:p>
          <w:p w14:paraId="7FE1C6E2" w14:textId="77777777" w:rsidR="00B81226" w:rsidRDefault="00B82AC2">
            <w:pPr>
              <w:pStyle w:val="P68B1DB1-Normal62"/>
              <w:spacing w:before="120" w:after="120" w:line="276" w:lineRule="auto"/>
              <w:rPr>
                <w:i/>
              </w:rPr>
            </w:pPr>
            <w:r>
              <w:t>Palvelun tunniste viittaa sarakkeessa 0020 ilmoitettuun palveluun.</w:t>
            </w:r>
          </w:p>
        </w:tc>
      </w:tr>
      <w:tr w:rsidR="00B81226" w14:paraId="7FE1C727" w14:textId="77777777">
        <w:trPr>
          <w:trHeight w:val="450"/>
        </w:trPr>
        <w:tc>
          <w:tcPr>
            <w:tcW w:w="1418" w:type="dxa"/>
            <w:shd w:val="clear" w:color="auto" w:fill="FFFFFF"/>
          </w:tcPr>
          <w:p w14:paraId="7FE1C6E4" w14:textId="77777777" w:rsidR="00B81226" w:rsidRDefault="00B82AC2">
            <w:pPr>
              <w:pStyle w:val="P68B1DB1-Normal62"/>
              <w:spacing w:before="120" w:after="120" w:line="276" w:lineRule="auto"/>
            </w:pPr>
            <w:r>
              <w:t>0010</w:t>
            </w:r>
          </w:p>
        </w:tc>
        <w:tc>
          <w:tcPr>
            <w:tcW w:w="7508" w:type="dxa"/>
            <w:shd w:val="clear" w:color="auto" w:fill="FFFFFF"/>
          </w:tcPr>
          <w:p w14:paraId="7FE1C6E5" w14:textId="77777777" w:rsidR="00B81226" w:rsidRDefault="00B82AC2">
            <w:pPr>
              <w:pStyle w:val="P68B1DB1-Normal61"/>
              <w:autoSpaceDE w:val="0"/>
              <w:autoSpaceDN w:val="0"/>
              <w:adjustRightInd w:val="0"/>
              <w:rPr>
                <w:rFonts w:eastAsia="MS Mincho"/>
                <w:bCs/>
              </w:rPr>
            </w:pPr>
            <w:r>
              <w:t xml:space="preserve">Palvelutyyppi </w:t>
            </w:r>
          </w:p>
          <w:p w14:paraId="7FE1C6E6" w14:textId="328A5068" w:rsidR="00B81226" w:rsidRDefault="00B82AC2">
            <w:pPr>
              <w:pStyle w:val="P68B1DB1-Normal63"/>
              <w:autoSpaceDE w:val="0"/>
              <w:autoSpaceDN w:val="0"/>
              <w:adjustRightInd w:val="0"/>
            </w:pPr>
            <w:r>
              <w:t xml:space="preserve">Palvelutyypin on oltava jokin edellä kohdassa Z 08.01 0010 luetelluista palvelutyypeistä. </w:t>
            </w:r>
          </w:p>
          <w:p w14:paraId="7FE1C726" w14:textId="7C7FFCB5" w:rsidR="00B81226" w:rsidRDefault="00B81226">
            <w:pPr>
              <w:spacing w:before="120" w:after="120" w:line="276" w:lineRule="auto"/>
              <w:rPr>
                <w:rFonts w:ascii="Times New Roman" w:hAnsi="Times New Roman"/>
                <w:sz w:val="20"/>
                <w:szCs w:val="20"/>
              </w:rPr>
            </w:pPr>
          </w:p>
        </w:tc>
      </w:tr>
      <w:tr w:rsidR="00B81226" w14:paraId="7FE1C72C" w14:textId="77777777">
        <w:trPr>
          <w:trHeight w:val="450"/>
        </w:trPr>
        <w:tc>
          <w:tcPr>
            <w:tcW w:w="1418" w:type="dxa"/>
            <w:shd w:val="clear" w:color="auto" w:fill="FFFFFF"/>
          </w:tcPr>
          <w:p w14:paraId="7FE1C728" w14:textId="77777777" w:rsidR="00B81226" w:rsidRDefault="00B82AC2">
            <w:pPr>
              <w:pStyle w:val="P68B1DB1-Normal62"/>
              <w:spacing w:before="120" w:after="120" w:line="276" w:lineRule="auto"/>
            </w:pPr>
            <w:r>
              <w:t>0020</w:t>
            </w:r>
          </w:p>
        </w:tc>
        <w:tc>
          <w:tcPr>
            <w:tcW w:w="7508" w:type="dxa"/>
            <w:shd w:val="clear" w:color="auto" w:fill="FFFFFF"/>
          </w:tcPr>
          <w:p w14:paraId="7FE1C729" w14:textId="77777777" w:rsidR="00B81226" w:rsidRDefault="00B82AC2">
            <w:pPr>
              <w:pStyle w:val="P68B1DB1-Normal65"/>
              <w:spacing w:line="276" w:lineRule="auto"/>
              <w:jc w:val="both"/>
            </w:pPr>
            <w:r>
              <w:rPr>
                <w:szCs w:val="20"/>
              </w:rPr>
              <w:t>Pankkitaksonomian mukainen yksilöllinen palvelunimike</w:t>
            </w:r>
            <w:r>
              <w:t xml:space="preserve"> </w:t>
            </w:r>
          </w:p>
          <w:p w14:paraId="7FE1C72A" w14:textId="14809522" w:rsidR="00B81226" w:rsidRDefault="00B82AC2">
            <w:pPr>
              <w:pStyle w:val="P68B1DB1-Normal64"/>
            </w:pPr>
            <w:r>
              <w:lastRenderedPageBreak/>
              <w:t>Palvelun nimi/lyhyt kuvaus pankin oman porrastetun taksonomian (taso 3) mukaisesti, sellaisena kuin se on ilmoitettu lomakkeessa Z 08.01 (SERV 1) sarakkeessa 0020. Pankin odotetaan ilmoittavan palvelut yksityiskohtaisemmalla tasolla kuin tason 2 raportointi (c0010) siten, että kukin palvelu määritellään täsmällisesti ja kohdennetusti.</w:t>
            </w:r>
          </w:p>
          <w:p w14:paraId="7FE1C72B" w14:textId="77777777" w:rsidR="00B81226" w:rsidRDefault="00B81226">
            <w:pPr>
              <w:spacing w:before="120" w:after="120" w:line="276" w:lineRule="auto"/>
              <w:rPr>
                <w:rFonts w:ascii="Times New Roman" w:hAnsi="Times New Roman"/>
                <w:sz w:val="20"/>
                <w:szCs w:val="20"/>
              </w:rPr>
            </w:pPr>
          </w:p>
        </w:tc>
      </w:tr>
      <w:tr w:rsidR="00B81226" w14:paraId="7FE1C731" w14:textId="77777777">
        <w:trPr>
          <w:trHeight w:val="450"/>
        </w:trPr>
        <w:tc>
          <w:tcPr>
            <w:tcW w:w="1418" w:type="dxa"/>
            <w:shd w:val="clear" w:color="auto" w:fill="FFFFFF"/>
          </w:tcPr>
          <w:p w14:paraId="7FE1C72D" w14:textId="77777777" w:rsidR="00B81226" w:rsidRDefault="00B82AC2">
            <w:pPr>
              <w:pStyle w:val="P68B1DB1-Normal62"/>
              <w:spacing w:before="120" w:after="120" w:line="276" w:lineRule="auto"/>
            </w:pPr>
            <w:r>
              <w:lastRenderedPageBreak/>
              <w:t>0030–0040</w:t>
            </w:r>
          </w:p>
        </w:tc>
        <w:tc>
          <w:tcPr>
            <w:tcW w:w="7508" w:type="dxa"/>
            <w:shd w:val="clear" w:color="auto" w:fill="FFFFFF"/>
          </w:tcPr>
          <w:p w14:paraId="7FE1C72E" w14:textId="77777777" w:rsidR="00B81226" w:rsidRDefault="00B82AC2">
            <w:pPr>
              <w:pStyle w:val="P68B1DB1-Normal65"/>
              <w:spacing w:line="276" w:lineRule="auto"/>
              <w:jc w:val="both"/>
              <w:rPr>
                <w:bCs/>
              </w:rPr>
            </w:pPr>
            <w:r>
              <w:rPr>
                <w:szCs w:val="20"/>
              </w:rPr>
              <w:t>Kriittinen toiminto</w:t>
            </w:r>
            <w:r>
              <w:t xml:space="preserve"> </w:t>
            </w:r>
          </w:p>
          <w:p w14:paraId="7FE1C72F" w14:textId="77777777" w:rsidR="00B81226" w:rsidRDefault="00B82AC2">
            <w:pPr>
              <w:pStyle w:val="P68B1DB1-Normal64"/>
              <w:spacing w:line="276" w:lineRule="auto"/>
              <w:jc w:val="both"/>
            </w:pPr>
            <w:r>
              <w:t>Kriittinen toiminto, jonka suorittaminen häiriintyisi vakavasti tai estyisi kokonaan kriittisen palvelun katkoksen vuoksi. Jokin lomakkeessa Z 07.01 (FUNC 1) kriittiseksi arvioiduista toiminnoista.</w:t>
            </w:r>
          </w:p>
          <w:p w14:paraId="7FE1C730" w14:textId="77777777" w:rsidR="00B81226" w:rsidRDefault="00B81226">
            <w:pPr>
              <w:spacing w:line="276" w:lineRule="auto"/>
              <w:jc w:val="both"/>
              <w:rPr>
                <w:rFonts w:ascii="Times New Roman" w:hAnsi="Times New Roman"/>
                <w:sz w:val="20"/>
              </w:rPr>
            </w:pPr>
          </w:p>
        </w:tc>
      </w:tr>
      <w:tr w:rsidR="00B81226" w14:paraId="7FE1C736" w14:textId="77777777">
        <w:trPr>
          <w:trHeight w:val="450"/>
        </w:trPr>
        <w:tc>
          <w:tcPr>
            <w:tcW w:w="1418" w:type="dxa"/>
            <w:shd w:val="clear" w:color="auto" w:fill="FFFFFF"/>
          </w:tcPr>
          <w:p w14:paraId="7FE1C732" w14:textId="77777777" w:rsidR="00B81226" w:rsidRDefault="00B82AC2">
            <w:pPr>
              <w:pStyle w:val="P68B1DB1-Normal64"/>
              <w:spacing w:before="120" w:after="120" w:line="276" w:lineRule="auto"/>
              <w:rPr>
                <w:szCs w:val="20"/>
              </w:rPr>
            </w:pPr>
            <w:r>
              <w:t>0030</w:t>
            </w:r>
          </w:p>
        </w:tc>
        <w:tc>
          <w:tcPr>
            <w:tcW w:w="7508" w:type="dxa"/>
            <w:shd w:val="clear" w:color="auto" w:fill="FFFFFF"/>
          </w:tcPr>
          <w:p w14:paraId="7FE1C733" w14:textId="77777777" w:rsidR="00B81226" w:rsidRDefault="00B82AC2">
            <w:pPr>
              <w:pStyle w:val="P68B1DB1-Normal65"/>
              <w:spacing w:line="276" w:lineRule="auto"/>
              <w:jc w:val="both"/>
              <w:rPr>
                <w:bCs/>
              </w:rPr>
            </w:pPr>
            <w:r>
              <w:t>Maa</w:t>
            </w:r>
          </w:p>
          <w:p w14:paraId="7FE1C734" w14:textId="77777777" w:rsidR="00B81226" w:rsidRDefault="00B82AC2">
            <w:pPr>
              <w:pStyle w:val="P68B1DB1-Normal64"/>
              <w:spacing w:line="276" w:lineRule="auto"/>
              <w:jc w:val="both"/>
            </w:pPr>
            <w:r>
              <w:t>Lomakkeessa Z 07.01 (FUNC 1) ilmoitettu jäsenvaltio, jonka kannalta toiminto on kriittinen.</w:t>
            </w:r>
          </w:p>
          <w:p w14:paraId="7FE1C735" w14:textId="77777777" w:rsidR="00B81226" w:rsidRDefault="00B81226">
            <w:pPr>
              <w:spacing w:line="276" w:lineRule="auto"/>
              <w:jc w:val="both"/>
              <w:rPr>
                <w:rFonts w:ascii="Times New Roman" w:hAnsi="Times New Roman"/>
                <w:sz w:val="20"/>
              </w:rPr>
            </w:pPr>
          </w:p>
        </w:tc>
      </w:tr>
      <w:tr w:rsidR="00B81226" w14:paraId="7FE1C73B" w14:textId="77777777">
        <w:trPr>
          <w:trHeight w:val="450"/>
        </w:trPr>
        <w:tc>
          <w:tcPr>
            <w:tcW w:w="1418" w:type="dxa"/>
            <w:shd w:val="clear" w:color="auto" w:fill="FFFFFF"/>
          </w:tcPr>
          <w:p w14:paraId="7FE1C737" w14:textId="77777777" w:rsidR="00B81226" w:rsidRDefault="00B82AC2">
            <w:pPr>
              <w:pStyle w:val="P68B1DB1-Normal64"/>
              <w:spacing w:before="120" w:after="120" w:line="276" w:lineRule="auto"/>
              <w:rPr>
                <w:szCs w:val="20"/>
              </w:rPr>
            </w:pPr>
            <w:r>
              <w:t>0040</w:t>
            </w:r>
          </w:p>
        </w:tc>
        <w:tc>
          <w:tcPr>
            <w:tcW w:w="7508" w:type="dxa"/>
            <w:shd w:val="clear" w:color="auto" w:fill="FFFFFF"/>
          </w:tcPr>
          <w:p w14:paraId="7FE1C738" w14:textId="77777777" w:rsidR="00B81226" w:rsidRDefault="00B82AC2">
            <w:pPr>
              <w:pStyle w:val="P68B1DB1-Normal65"/>
              <w:spacing w:line="276" w:lineRule="auto"/>
              <w:jc w:val="both"/>
              <w:rPr>
                <w:bCs/>
              </w:rPr>
            </w:pPr>
            <w:r>
              <w:t>TUNNISTE</w:t>
            </w:r>
          </w:p>
          <w:p w14:paraId="7FE1C739" w14:textId="77777777" w:rsidR="00B81226" w:rsidRDefault="00B82AC2">
            <w:pPr>
              <w:pStyle w:val="P68B1DB1-Normal64"/>
              <w:spacing w:line="276" w:lineRule="auto"/>
              <w:jc w:val="both"/>
            </w:pPr>
            <w:r>
              <w:t>Edellä 2.7.1.4 kohdassa määritellyn kriittisen toiminnon tunnus, joka mainitaan lomakkeessa Z 07.01 (FUNC 1).</w:t>
            </w:r>
          </w:p>
          <w:p w14:paraId="7FE1C73A" w14:textId="77777777" w:rsidR="00B81226" w:rsidRDefault="00B81226">
            <w:pPr>
              <w:spacing w:line="276" w:lineRule="auto"/>
              <w:jc w:val="both"/>
              <w:rPr>
                <w:rFonts w:ascii="Times New Roman" w:hAnsi="Times New Roman"/>
                <w:sz w:val="20"/>
              </w:rPr>
            </w:pPr>
          </w:p>
        </w:tc>
      </w:tr>
    </w:tbl>
    <w:p w14:paraId="7FE1C746" w14:textId="77777777" w:rsidR="00B81226" w:rsidRDefault="00B81226">
      <w:pPr>
        <w:rPr>
          <w:rFonts w:ascii="Times New Roman" w:hAnsi="Times New Roman" w:cs="Times New Roman"/>
        </w:rPr>
      </w:pPr>
    </w:p>
    <w:p w14:paraId="7FE1C747" w14:textId="77777777" w:rsidR="00B81226" w:rsidRDefault="00B81226">
      <w:pPr>
        <w:pStyle w:val="Instructionsberschrift2"/>
        <w:rPr>
          <w:rFonts w:ascii="Times New Roman" w:eastAsia="Calibri" w:hAnsi="Times New Roman" w:cs="Times New Roman"/>
          <w:szCs w:val="20"/>
        </w:rPr>
      </w:pPr>
    </w:p>
    <w:p w14:paraId="7FE1C748" w14:textId="77777777" w:rsidR="00B81226" w:rsidRDefault="00B82AC2">
      <w:pPr>
        <w:pStyle w:val="P68B1DB1-Instructionsberschrift25"/>
        <w:numPr>
          <w:ilvl w:val="1"/>
          <w:numId w:val="49"/>
        </w:numPr>
        <w:ind w:left="357" w:hanging="357"/>
        <w:rPr>
          <w:rFonts w:eastAsia="Calibri"/>
          <w:szCs w:val="20"/>
        </w:rPr>
      </w:pPr>
      <w:bookmarkStart w:id="134" w:name="_Toc208245459"/>
      <w:r>
        <w:t>Z 08.05 – Olennaiset palvelut – ydinliiketoiminta-alueiden kartoitus (SERV 5)</w:t>
      </w:r>
      <w:bookmarkEnd w:id="134"/>
    </w:p>
    <w:p w14:paraId="7FE1C749" w14:textId="77777777" w:rsidR="00B81226" w:rsidRDefault="00B82AC2">
      <w:pPr>
        <w:pStyle w:val="P68B1DB1-Normal70"/>
        <w:spacing w:line="276" w:lineRule="auto"/>
        <w:jc w:val="both"/>
        <w:rPr>
          <w:sz w:val="20"/>
          <w:szCs w:val="20"/>
        </w:rPr>
      </w:pPr>
      <w:r>
        <w:t>Tiettyjä kohtia koskevat ohjeet</w:t>
      </w:r>
    </w:p>
    <w:p w14:paraId="7FE1C74A" w14:textId="77777777" w:rsidR="00B81226" w:rsidRDefault="00B82AC2">
      <w:pPr>
        <w:pStyle w:val="P68B1DB1-Instructionsberschrift368"/>
        <w:numPr>
          <w:ilvl w:val="2"/>
          <w:numId w:val="210"/>
        </w:numPr>
        <w:ind w:left="1418"/>
        <w:contextualSpacing/>
        <w:jc w:val="both"/>
      </w:pPr>
      <w:r>
        <w:t>Tähän lomakkeeseen sisällytettävät tiedot ilmoitetaan kerran koko konsernista, ja lomakkeessa luetellaan konserniyhteisön mahdollisesti vastaanottamat kriittiset palvelut ja yhdistetään ne konsernin tarjoamiin kriittisiin toimintoihin.</w:t>
      </w:r>
    </w:p>
    <w:p w14:paraId="7FE1C74B" w14:textId="77777777" w:rsidR="00B81226" w:rsidRDefault="00B82AC2">
      <w:pPr>
        <w:pStyle w:val="P68B1DB1-Instructionsberschrift368"/>
        <w:numPr>
          <w:ilvl w:val="2"/>
          <w:numId w:val="210"/>
        </w:numPr>
        <w:ind w:left="1418"/>
        <w:contextualSpacing/>
        <w:jc w:val="both"/>
      </w:pPr>
      <w:r>
        <w:t>Tämän lomakkeen sarakkeissa 0010, 0020 ja 0040 ilmoitetut arvot muodostavat ensisijaisen avaimen, jonka on oltava yksilöllinen lomakkeen jokaiselle riville.</w:t>
      </w:r>
    </w:p>
    <w:p w14:paraId="7FE1C74C" w14:textId="77777777" w:rsidR="00B81226" w:rsidRDefault="00B81226">
      <w:pPr>
        <w:rPr>
          <w:rFonts w:ascii="Times New Roman" w:hAnsi="Times New Roman" w:cs="Times New Roman"/>
        </w:rPr>
      </w:pPr>
    </w:p>
    <w:tbl>
      <w:tblPr>
        <w:tblStyle w:val="TableGrid13"/>
        <w:tblW w:w="9067" w:type="dxa"/>
        <w:tblLook w:val="04A0" w:firstRow="1" w:lastRow="0" w:firstColumn="1" w:lastColumn="0" w:noHBand="0" w:noVBand="1"/>
      </w:tblPr>
      <w:tblGrid>
        <w:gridCol w:w="1418"/>
        <w:gridCol w:w="7649"/>
      </w:tblGrid>
      <w:tr w:rsidR="00B81226" w14:paraId="7FE1C74F" w14:textId="77777777">
        <w:trPr>
          <w:trHeight w:val="644"/>
          <w:tblHeader/>
        </w:trPr>
        <w:tc>
          <w:tcPr>
            <w:tcW w:w="1418" w:type="dxa"/>
            <w:shd w:val="clear" w:color="auto" w:fill="E7E6E6"/>
          </w:tcPr>
          <w:p w14:paraId="7FE1C74D" w14:textId="77777777" w:rsidR="00B81226" w:rsidRDefault="00B82AC2">
            <w:pPr>
              <w:pStyle w:val="P68B1DB1-Normal61"/>
              <w:spacing w:before="120" w:after="120" w:line="276" w:lineRule="auto"/>
            </w:pPr>
            <w:r>
              <w:t>Sarakkeet</w:t>
            </w:r>
          </w:p>
        </w:tc>
        <w:tc>
          <w:tcPr>
            <w:tcW w:w="7649" w:type="dxa"/>
            <w:shd w:val="clear" w:color="auto" w:fill="E7E6E6"/>
          </w:tcPr>
          <w:p w14:paraId="7FE1C74E" w14:textId="77777777" w:rsidR="00B81226" w:rsidRDefault="00B82AC2">
            <w:pPr>
              <w:pStyle w:val="P68B1DB1-Normal61"/>
              <w:spacing w:before="120" w:after="120" w:line="276" w:lineRule="auto"/>
            </w:pPr>
            <w:r>
              <w:t>Ohjeet</w:t>
            </w:r>
          </w:p>
        </w:tc>
      </w:tr>
      <w:tr w:rsidR="00B81226" w14:paraId="7FE1C754" w14:textId="77777777">
        <w:trPr>
          <w:trHeight w:val="450"/>
        </w:trPr>
        <w:tc>
          <w:tcPr>
            <w:tcW w:w="1418" w:type="dxa"/>
            <w:shd w:val="clear" w:color="auto" w:fill="FFFFFF"/>
          </w:tcPr>
          <w:p w14:paraId="7FE1C750" w14:textId="77777777" w:rsidR="00B81226" w:rsidRDefault="00B82AC2">
            <w:pPr>
              <w:pStyle w:val="P68B1DB1-Normal62"/>
              <w:spacing w:before="120" w:after="120" w:line="276" w:lineRule="auto"/>
            </w:pPr>
            <w:r>
              <w:t>0005</w:t>
            </w:r>
          </w:p>
        </w:tc>
        <w:tc>
          <w:tcPr>
            <w:tcW w:w="7649" w:type="dxa"/>
            <w:shd w:val="clear" w:color="auto" w:fill="FFFFFF"/>
          </w:tcPr>
          <w:p w14:paraId="7FE1C751" w14:textId="77777777" w:rsidR="00B81226" w:rsidRDefault="00B82AC2">
            <w:pPr>
              <w:pStyle w:val="P68B1DB1-Normal61"/>
              <w:spacing w:before="120" w:after="120" w:line="276" w:lineRule="auto"/>
            </w:pPr>
            <w:r>
              <w:t xml:space="preserve">(Service Identifier) Palvelun tunniste </w:t>
            </w:r>
          </w:p>
          <w:p w14:paraId="7FE1C752" w14:textId="77777777" w:rsidR="00B81226" w:rsidRDefault="00B82AC2">
            <w:pPr>
              <w:pStyle w:val="P68B1DB1-Normal62"/>
              <w:spacing w:before="120" w:after="120" w:line="276" w:lineRule="auto"/>
            </w:pPr>
            <w:r>
              <w:t>Käytetään lomakkeessa Z 08.01 (SERV 1) ilmoitettua palvelun tunnistetta.</w:t>
            </w:r>
          </w:p>
          <w:p w14:paraId="7FE1C753" w14:textId="77777777" w:rsidR="00B81226" w:rsidRDefault="00B82AC2">
            <w:pPr>
              <w:pStyle w:val="P68B1DB1-Normal62"/>
              <w:spacing w:before="120" w:after="120" w:line="276" w:lineRule="auto"/>
              <w:rPr>
                <w:i/>
              </w:rPr>
            </w:pPr>
            <w:r>
              <w:t>Palvelun tunniste viittaa sarakkeessa 0020 ilmoitettuun palveluun.</w:t>
            </w:r>
          </w:p>
        </w:tc>
      </w:tr>
      <w:tr w:rsidR="00B81226" w14:paraId="7FE1C798" w14:textId="77777777">
        <w:trPr>
          <w:trHeight w:val="450"/>
        </w:trPr>
        <w:tc>
          <w:tcPr>
            <w:tcW w:w="1418" w:type="dxa"/>
            <w:shd w:val="clear" w:color="auto" w:fill="FFFFFF"/>
          </w:tcPr>
          <w:p w14:paraId="7FE1C755" w14:textId="77777777" w:rsidR="00B81226" w:rsidRDefault="00B82AC2">
            <w:pPr>
              <w:pStyle w:val="P68B1DB1-Normal62"/>
              <w:spacing w:before="120" w:after="120" w:line="276" w:lineRule="auto"/>
            </w:pPr>
            <w:r>
              <w:t>0010</w:t>
            </w:r>
          </w:p>
        </w:tc>
        <w:tc>
          <w:tcPr>
            <w:tcW w:w="7649" w:type="dxa"/>
            <w:shd w:val="clear" w:color="auto" w:fill="FFFFFF"/>
          </w:tcPr>
          <w:p w14:paraId="7FE1C756" w14:textId="77777777" w:rsidR="00B81226" w:rsidRDefault="00B82AC2">
            <w:pPr>
              <w:pStyle w:val="P68B1DB1-Normal61"/>
              <w:autoSpaceDE w:val="0"/>
              <w:autoSpaceDN w:val="0"/>
              <w:adjustRightInd w:val="0"/>
              <w:rPr>
                <w:rFonts w:eastAsia="MS Mincho"/>
                <w:bCs/>
              </w:rPr>
            </w:pPr>
            <w:r>
              <w:t xml:space="preserve">Palvelutyyppi </w:t>
            </w:r>
          </w:p>
          <w:p w14:paraId="7FE1C757" w14:textId="15BF69BF" w:rsidR="00B81226" w:rsidRDefault="00B82AC2">
            <w:pPr>
              <w:pStyle w:val="P68B1DB1-Normal63"/>
              <w:autoSpaceDE w:val="0"/>
              <w:autoSpaceDN w:val="0"/>
              <w:adjustRightInd w:val="0"/>
            </w:pPr>
            <w:r>
              <w:t xml:space="preserve">Palvelutyypin on oltava jokin edellä kohdassa Z 08.01 0010 luetelluista palvelutyypeistä. </w:t>
            </w:r>
          </w:p>
          <w:p w14:paraId="7FE1C797" w14:textId="77777777" w:rsidR="00B81226" w:rsidRDefault="00B81226">
            <w:pPr>
              <w:autoSpaceDE w:val="0"/>
              <w:autoSpaceDN w:val="0"/>
              <w:adjustRightInd w:val="0"/>
              <w:rPr>
                <w:rFonts w:ascii="Times New Roman" w:hAnsi="Times New Roman"/>
                <w:sz w:val="20"/>
                <w:szCs w:val="20"/>
              </w:rPr>
            </w:pPr>
          </w:p>
        </w:tc>
      </w:tr>
      <w:tr w:rsidR="00B81226" w14:paraId="7FE1C79D" w14:textId="77777777">
        <w:trPr>
          <w:trHeight w:val="450"/>
        </w:trPr>
        <w:tc>
          <w:tcPr>
            <w:tcW w:w="1418" w:type="dxa"/>
            <w:shd w:val="clear" w:color="auto" w:fill="FFFFFF"/>
          </w:tcPr>
          <w:p w14:paraId="7FE1C799" w14:textId="77777777" w:rsidR="00B81226" w:rsidRDefault="00B82AC2">
            <w:pPr>
              <w:pStyle w:val="P68B1DB1-Normal62"/>
              <w:spacing w:before="120" w:after="120" w:line="276" w:lineRule="auto"/>
            </w:pPr>
            <w:r>
              <w:t>0020</w:t>
            </w:r>
          </w:p>
        </w:tc>
        <w:tc>
          <w:tcPr>
            <w:tcW w:w="7649" w:type="dxa"/>
            <w:shd w:val="clear" w:color="auto" w:fill="FFFFFF"/>
          </w:tcPr>
          <w:p w14:paraId="7FE1C79A" w14:textId="77777777" w:rsidR="00B81226" w:rsidRDefault="00B82AC2">
            <w:pPr>
              <w:pStyle w:val="P68B1DB1-Normal65"/>
              <w:spacing w:line="276" w:lineRule="auto"/>
              <w:jc w:val="both"/>
            </w:pPr>
            <w:r>
              <w:rPr>
                <w:szCs w:val="20"/>
              </w:rPr>
              <w:t>Pankkitaksonomian mukainen yksilöllinen palvelunimike</w:t>
            </w:r>
            <w:r>
              <w:t xml:space="preserve"> </w:t>
            </w:r>
          </w:p>
          <w:p w14:paraId="7FE1C79B" w14:textId="18F1A227" w:rsidR="00B81226" w:rsidRDefault="00B82AC2">
            <w:pPr>
              <w:pStyle w:val="P68B1DB1-Normal64"/>
            </w:pPr>
            <w:r>
              <w:t>Palvelun nimi/lyhyt kuvaus pankin oman porrastetun taksonomian (taso 3) mukaisesti, sellaisena kuin se on ilmoitettu lomakkeessa Z 08.01 (SERV 1) sarakkeessa 0020. Pankin odotetaan ilmoittavan palvelut yksityiskohtaisemmalla tasolla kuin tason 2 raportointi (c0010) siten, että kukin palvelu määritellään täsmällisesti ja kohdennetusti.</w:t>
            </w:r>
          </w:p>
          <w:p w14:paraId="7FE1C79C" w14:textId="77777777" w:rsidR="00B81226" w:rsidRDefault="00B81226">
            <w:pPr>
              <w:spacing w:before="120" w:after="120" w:line="276" w:lineRule="auto"/>
              <w:rPr>
                <w:rFonts w:ascii="Times New Roman" w:hAnsi="Times New Roman"/>
                <w:sz w:val="20"/>
                <w:szCs w:val="20"/>
              </w:rPr>
            </w:pPr>
          </w:p>
        </w:tc>
      </w:tr>
      <w:tr w:rsidR="00B81226" w14:paraId="7FE1C7A2" w14:textId="77777777">
        <w:trPr>
          <w:trHeight w:val="450"/>
        </w:trPr>
        <w:tc>
          <w:tcPr>
            <w:tcW w:w="1418" w:type="dxa"/>
            <w:shd w:val="clear" w:color="auto" w:fill="FFFFFF"/>
          </w:tcPr>
          <w:p w14:paraId="7FE1C79E" w14:textId="77777777" w:rsidR="00B81226" w:rsidRDefault="00B82AC2">
            <w:pPr>
              <w:pStyle w:val="P68B1DB1-Normal64"/>
              <w:spacing w:before="120" w:after="120" w:line="276" w:lineRule="auto"/>
              <w:rPr>
                <w:szCs w:val="20"/>
              </w:rPr>
            </w:pPr>
            <w:r>
              <w:lastRenderedPageBreak/>
              <w:t>0030–0040</w:t>
            </w:r>
          </w:p>
        </w:tc>
        <w:tc>
          <w:tcPr>
            <w:tcW w:w="7649" w:type="dxa"/>
            <w:shd w:val="clear" w:color="auto" w:fill="FFFFFF"/>
          </w:tcPr>
          <w:p w14:paraId="7FE1C79F" w14:textId="77777777" w:rsidR="00B81226" w:rsidRDefault="00B82AC2">
            <w:pPr>
              <w:pStyle w:val="P68B1DB1-Normal65"/>
              <w:spacing w:line="276" w:lineRule="auto"/>
              <w:jc w:val="both"/>
            </w:pPr>
            <w:r>
              <w:rPr>
                <w:szCs w:val="20"/>
              </w:rPr>
              <w:t>Ydinliiketoiminta-alue</w:t>
            </w:r>
            <w:r>
              <w:t xml:space="preserve"> </w:t>
            </w:r>
          </w:p>
          <w:p w14:paraId="7FE1C7A0" w14:textId="69CF44DD" w:rsidR="00B81226" w:rsidRDefault="00B82AC2">
            <w:pPr>
              <w:pStyle w:val="P68B1DB1-Normal67"/>
              <w:spacing w:line="276" w:lineRule="auto"/>
              <w:jc w:val="both"/>
              <w:rPr>
                <w:sz w:val="20"/>
              </w:rPr>
            </w:pPr>
            <w:r>
              <w:rPr>
                <w:sz w:val="20"/>
              </w:rPr>
              <w:t>Direktiivin 2016/778 2 artiklan 1 kohdan 36 alakohdassa ja 2 artiklan 2 kohdassa tarkoitettu ydinliiketoiminta-alue.</w:t>
            </w:r>
            <w:r>
              <w:t xml:space="preserve"> </w:t>
            </w:r>
          </w:p>
          <w:p w14:paraId="7FE1C7A1" w14:textId="77777777" w:rsidR="00B81226" w:rsidRDefault="00B81226">
            <w:pPr>
              <w:spacing w:line="276" w:lineRule="auto"/>
              <w:jc w:val="both"/>
              <w:rPr>
                <w:rFonts w:ascii="Times New Roman" w:hAnsi="Times New Roman"/>
                <w:sz w:val="20"/>
              </w:rPr>
            </w:pPr>
          </w:p>
        </w:tc>
      </w:tr>
      <w:tr w:rsidR="00B81226" w14:paraId="7FE1C7A7" w14:textId="77777777">
        <w:trPr>
          <w:trHeight w:val="450"/>
        </w:trPr>
        <w:tc>
          <w:tcPr>
            <w:tcW w:w="1418" w:type="dxa"/>
            <w:shd w:val="clear" w:color="auto" w:fill="FFFFFF"/>
          </w:tcPr>
          <w:p w14:paraId="7FE1C7A3" w14:textId="77777777" w:rsidR="00B81226" w:rsidRDefault="00B82AC2">
            <w:pPr>
              <w:pStyle w:val="P68B1DB1-Normal64"/>
              <w:spacing w:before="120" w:after="120" w:line="276" w:lineRule="auto"/>
              <w:rPr>
                <w:szCs w:val="20"/>
              </w:rPr>
            </w:pPr>
            <w:r>
              <w:t>0030</w:t>
            </w:r>
          </w:p>
        </w:tc>
        <w:tc>
          <w:tcPr>
            <w:tcW w:w="7649" w:type="dxa"/>
            <w:shd w:val="clear" w:color="auto" w:fill="FFFFFF"/>
          </w:tcPr>
          <w:p w14:paraId="7FE1C7A4" w14:textId="77777777" w:rsidR="00B81226" w:rsidRDefault="00B82AC2">
            <w:pPr>
              <w:pStyle w:val="P68B1DB1-Normal65"/>
              <w:spacing w:line="276" w:lineRule="auto"/>
              <w:jc w:val="both"/>
              <w:rPr>
                <w:bCs/>
              </w:rPr>
            </w:pPr>
            <w:r>
              <w:t>Nimi</w:t>
            </w:r>
          </w:p>
          <w:p w14:paraId="7FE1C7A5" w14:textId="77777777" w:rsidR="00B81226" w:rsidRDefault="00B82AC2">
            <w:pPr>
              <w:pStyle w:val="P68B1DB1-Normal64"/>
              <w:jc w:val="both"/>
            </w:pPr>
            <w:r>
              <w:t>Se on yksi lomakkeessa Z 07.03 0010 ilmoitetuista ydinliiketoiminta-alueista.</w:t>
            </w:r>
          </w:p>
          <w:p w14:paraId="7FE1C7A6" w14:textId="77777777" w:rsidR="00B81226" w:rsidRDefault="00B81226">
            <w:pPr>
              <w:spacing w:line="276" w:lineRule="auto"/>
              <w:jc w:val="both"/>
              <w:rPr>
                <w:rFonts w:ascii="Times New Roman" w:hAnsi="Times New Roman"/>
                <w:sz w:val="20"/>
              </w:rPr>
            </w:pPr>
          </w:p>
        </w:tc>
      </w:tr>
      <w:tr w:rsidR="00B81226" w14:paraId="7FE1C7AD" w14:textId="77777777">
        <w:trPr>
          <w:trHeight w:val="450"/>
        </w:trPr>
        <w:tc>
          <w:tcPr>
            <w:tcW w:w="1418" w:type="dxa"/>
            <w:shd w:val="clear" w:color="auto" w:fill="FFFFFF"/>
          </w:tcPr>
          <w:p w14:paraId="7FE1C7A8" w14:textId="77777777" w:rsidR="00B81226" w:rsidRDefault="00B82AC2">
            <w:pPr>
              <w:pStyle w:val="P68B1DB1-Normal64"/>
              <w:spacing w:before="120" w:after="120" w:line="276" w:lineRule="auto"/>
              <w:rPr>
                <w:szCs w:val="20"/>
              </w:rPr>
            </w:pPr>
            <w:r>
              <w:t>0040</w:t>
            </w:r>
          </w:p>
        </w:tc>
        <w:tc>
          <w:tcPr>
            <w:tcW w:w="7649" w:type="dxa"/>
            <w:shd w:val="clear" w:color="auto" w:fill="FFFFFF"/>
          </w:tcPr>
          <w:p w14:paraId="7FE1C7A9" w14:textId="77777777" w:rsidR="00B81226" w:rsidRDefault="00B82AC2">
            <w:pPr>
              <w:pStyle w:val="P68B1DB1-Normal65"/>
              <w:spacing w:line="276" w:lineRule="auto"/>
              <w:jc w:val="both"/>
              <w:rPr>
                <w:bCs/>
              </w:rPr>
            </w:pPr>
            <w:r>
              <w:t>TUNNISTE</w:t>
            </w:r>
          </w:p>
          <w:p w14:paraId="7FE1C7AA" w14:textId="77777777" w:rsidR="00B81226" w:rsidRDefault="00B82AC2">
            <w:pPr>
              <w:pStyle w:val="P68B1DB1-Normal64"/>
              <w:spacing w:line="276" w:lineRule="auto"/>
              <w:jc w:val="both"/>
            </w:pPr>
            <w:r>
              <w:t xml:space="preserve">Niiden ydinliiketoiminta-alueiden tunnistetiedot, joiden jatkuvuus on tarpeen kriisinratkaisustrategian tehokkaan täytäntöönpanon ja siitä mahdollisesti seuraavan rakenneuudistuksen kannalta. Se on yksi lomakkeessa Z 07.03 0020 ilmoitetuista tunnisteista. </w:t>
            </w:r>
          </w:p>
          <w:p w14:paraId="7FE1C7AB" w14:textId="77777777" w:rsidR="00B81226" w:rsidRDefault="00B81226">
            <w:pPr>
              <w:spacing w:line="276" w:lineRule="auto"/>
              <w:jc w:val="both"/>
              <w:rPr>
                <w:rFonts w:ascii="Times New Roman" w:hAnsi="Times New Roman"/>
                <w:sz w:val="20"/>
              </w:rPr>
            </w:pPr>
          </w:p>
          <w:p w14:paraId="7FE1C7AC" w14:textId="77777777" w:rsidR="00B81226" w:rsidRDefault="00B81226">
            <w:pPr>
              <w:spacing w:line="276" w:lineRule="auto"/>
              <w:jc w:val="both"/>
              <w:rPr>
                <w:rFonts w:ascii="Times New Roman" w:hAnsi="Times New Roman"/>
                <w:sz w:val="20"/>
              </w:rPr>
            </w:pPr>
          </w:p>
        </w:tc>
      </w:tr>
    </w:tbl>
    <w:p w14:paraId="7FE1C7B8" w14:textId="77777777" w:rsidR="00B81226" w:rsidRDefault="00B81226">
      <w:pPr>
        <w:rPr>
          <w:rFonts w:ascii="Times New Roman" w:hAnsi="Times New Roman" w:cs="Times New Roman"/>
        </w:rPr>
      </w:pPr>
    </w:p>
    <w:p w14:paraId="7FE1C7B9" w14:textId="77777777" w:rsidR="00B81226" w:rsidRDefault="00B81226">
      <w:pPr>
        <w:pStyle w:val="Instructionsberschrift2"/>
        <w:rPr>
          <w:rFonts w:ascii="Times New Roman" w:eastAsia="Calibri" w:hAnsi="Times New Roman" w:cs="Times New Roman"/>
          <w:szCs w:val="20"/>
        </w:rPr>
      </w:pPr>
    </w:p>
    <w:p w14:paraId="7FE1C7BA" w14:textId="77777777" w:rsidR="00B81226" w:rsidRDefault="00B82AC2">
      <w:pPr>
        <w:pStyle w:val="P68B1DB1-Instructionsberschrift271"/>
        <w:numPr>
          <w:ilvl w:val="1"/>
          <w:numId w:val="49"/>
        </w:numPr>
        <w:ind w:left="357" w:hanging="357"/>
      </w:pPr>
      <w:bookmarkStart w:id="135" w:name="_Toc208245460"/>
      <w:r>
        <w:t>FMI-palvelut</w:t>
      </w:r>
      <w:bookmarkEnd w:id="135"/>
    </w:p>
    <w:p w14:paraId="7FE1C7BC" w14:textId="227D5127" w:rsidR="00B81226" w:rsidRDefault="00B82AC2">
      <w:pPr>
        <w:pStyle w:val="P68B1DB1-Numberedtitlelevel372"/>
      </w:pPr>
      <w:r>
        <w:t>Yleiset huomautukset</w:t>
      </w:r>
    </w:p>
    <w:p w14:paraId="7FE1C7BD" w14:textId="77777777" w:rsidR="00B81226" w:rsidRDefault="00B82AC2">
      <w:pPr>
        <w:pStyle w:val="P68B1DB1-InstructionsText26"/>
        <w:numPr>
          <w:ilvl w:val="2"/>
          <w:numId w:val="209"/>
        </w:numPr>
        <w:spacing w:before="0"/>
        <w:ind w:left="1276"/>
      </w:pPr>
      <w:r>
        <w:t>Ilmoitetaan kaikki suora ja epäsuora pääsy jäljempänä sarakkeessa 0040 tarkoitettuihin rahoitusmarkkinoiden infrastruktuureihin ja järjestelmiin. Tässä lomakkeessa tiedot ilmoitetaan kerran koko laitoksesta tai konsernista.</w:t>
      </w:r>
    </w:p>
    <w:p w14:paraId="7FE1C7BE" w14:textId="77777777" w:rsidR="00B81226" w:rsidRDefault="00B82AC2">
      <w:pPr>
        <w:pStyle w:val="P68B1DB1-InstructionsText26"/>
        <w:numPr>
          <w:ilvl w:val="2"/>
          <w:numId w:val="209"/>
        </w:numPr>
        <w:spacing w:before="0"/>
        <w:ind w:left="1276"/>
      </w:pPr>
      <w:r>
        <w:t>Tässä lomakkeessa tiedot ilmoitetaan kerran koko laitoksesta tai konsernista. Jokainen asianomainen oikeussubjekti, joka käyttää rahoitusmarkkinoiden infrastruktuuria joko suoraan tai välillisesti, ilmoitetaan selkeästi käyttäjänä. Ilmoitetaan sekä konsernin sisäinen että kolmannen osapuolen suhde.</w:t>
      </w:r>
    </w:p>
    <w:p w14:paraId="7FE1C7BF" w14:textId="5CCDA51A" w:rsidR="00B81226" w:rsidRDefault="00B82AC2">
      <w:pPr>
        <w:pStyle w:val="P68B1DB1-ListParagraph32"/>
        <w:numPr>
          <w:ilvl w:val="2"/>
          <w:numId w:val="209"/>
        </w:numPr>
        <w:ind w:left="1276"/>
      </w:pPr>
      <w:r>
        <w:t>Tämän lomakkeen sarakkeissa 0030, 0040, 0070 ja 0110 ilmoitetut arvot yhdessä muodostavat ensisijaisen avaimen, jonka on oltava yksilöllinen lomakkeen jokaiselle riville ja joka ilmoitetaan lomakkeen ensimmäisenä sarakkeena.</w:t>
      </w:r>
    </w:p>
    <w:p w14:paraId="7FE1C7C0" w14:textId="77777777" w:rsidR="00B81226" w:rsidRDefault="00B81226">
      <w:pPr>
        <w:pStyle w:val="ListParagraph"/>
        <w:ind w:left="1276"/>
        <w:rPr>
          <w:rFonts w:ascii="Times New Roman" w:eastAsia="Times New Roman" w:hAnsi="Times New Roman"/>
          <w:sz w:val="20"/>
          <w:szCs w:val="20"/>
        </w:rPr>
      </w:pPr>
    </w:p>
    <w:p w14:paraId="7FE1C7C1" w14:textId="77777777" w:rsidR="00B81226" w:rsidRDefault="00B82AC2">
      <w:pPr>
        <w:pStyle w:val="P68B1DB1-InstructionsText26"/>
        <w:numPr>
          <w:ilvl w:val="2"/>
          <w:numId w:val="209"/>
        </w:numPr>
        <w:spacing w:before="0"/>
        <w:ind w:left="1276"/>
      </w:pPr>
      <w:r>
        <w:t>Jos vapaamuotoisissa kentissä on ilmoitettava useampi kuin yksi erä, kukin erä on erotettava puolipisteellä (;).</w:t>
      </w:r>
    </w:p>
    <w:p w14:paraId="7FE1C7C2" w14:textId="77777777" w:rsidR="00B81226" w:rsidRDefault="00B81226">
      <w:pPr>
        <w:pStyle w:val="Instructionsberschrift2"/>
        <w:ind w:left="357"/>
        <w:rPr>
          <w:rFonts w:ascii="Times New Roman" w:eastAsia="Calibri" w:hAnsi="Times New Roman" w:cs="Times New Roman"/>
          <w:szCs w:val="20"/>
        </w:rPr>
      </w:pPr>
    </w:p>
    <w:p w14:paraId="7FE1C7C3" w14:textId="77777777" w:rsidR="00B81226" w:rsidRDefault="00B82AC2">
      <w:pPr>
        <w:pStyle w:val="P68B1DB1-Instructionsberschrift271"/>
        <w:numPr>
          <w:ilvl w:val="1"/>
          <w:numId w:val="49"/>
        </w:numPr>
        <w:ind w:left="357" w:hanging="357"/>
      </w:pPr>
      <w:bookmarkStart w:id="136" w:name="_Toc208245461"/>
      <w:r>
        <w:t>Z 09.01 – FMI-palvelut – Palveluntarjoajat ja käyttäjät (FMI 1)</w:t>
      </w:r>
      <w:bookmarkEnd w:id="136"/>
    </w:p>
    <w:p w14:paraId="7FE1C7C5" w14:textId="6BE08ACD" w:rsidR="00B81226" w:rsidRDefault="00B81226">
      <w:pPr>
        <w:pStyle w:val="Numberedtitlelevel3"/>
        <w:rPr>
          <w:rFonts w:ascii="Times New Roman" w:hAnsi="Times New Roman" w:cs="Times New Roman"/>
          <w:color w:val="000000" w:themeColor="text1"/>
          <w:szCs w:val="20"/>
        </w:rPr>
      </w:pPr>
    </w:p>
    <w:tbl>
      <w:tblPr>
        <w:tblW w:w="9015" w:type="dxa"/>
        <w:tblInd w:w="135" w:type="dxa"/>
        <w:tblLayout w:type="fixed"/>
        <w:tblLook w:val="04A0" w:firstRow="1" w:lastRow="0" w:firstColumn="1" w:lastColumn="0" w:noHBand="0" w:noVBand="1"/>
      </w:tblPr>
      <w:tblGrid>
        <w:gridCol w:w="1183"/>
        <w:gridCol w:w="7832"/>
      </w:tblGrid>
      <w:tr w:rsidR="00B81226" w14:paraId="7FE1C7C8" w14:textId="77777777">
        <w:trPr>
          <w:tblHeader/>
        </w:trPr>
        <w:tc>
          <w:tcPr>
            <w:tcW w:w="1183" w:type="dxa"/>
            <w:tcBorders>
              <w:top w:val="single" w:sz="8" w:space="0" w:color="1A171C"/>
              <w:left w:val="nil"/>
              <w:bottom w:val="single" w:sz="4" w:space="0" w:color="auto"/>
              <w:right w:val="single" w:sz="8" w:space="0" w:color="1A171C"/>
            </w:tcBorders>
            <w:shd w:val="clear" w:color="auto" w:fill="D9D9D9" w:themeFill="background1" w:themeFillShade="D9"/>
          </w:tcPr>
          <w:p w14:paraId="7FE1C7C6" w14:textId="77777777" w:rsidR="00B81226" w:rsidRDefault="00B82AC2">
            <w:pPr>
              <w:pStyle w:val="P68B1DB1-TableParagraph17"/>
              <w:spacing w:before="108"/>
              <w:ind w:left="85"/>
            </w:pPr>
            <w:r>
              <w:t xml:space="preserve">Sarakkeet </w:t>
            </w:r>
          </w:p>
        </w:tc>
        <w:tc>
          <w:tcPr>
            <w:tcW w:w="7832" w:type="dxa"/>
            <w:tcBorders>
              <w:top w:val="single" w:sz="8" w:space="0" w:color="1A171C"/>
              <w:left w:val="single" w:sz="8" w:space="0" w:color="1A171C"/>
              <w:bottom w:val="single" w:sz="8" w:space="0" w:color="auto"/>
              <w:right w:val="nil"/>
            </w:tcBorders>
            <w:shd w:val="clear" w:color="auto" w:fill="D9D9D9" w:themeFill="background1" w:themeFillShade="D9"/>
          </w:tcPr>
          <w:p w14:paraId="7FE1C7C7" w14:textId="77777777" w:rsidR="00B81226" w:rsidRDefault="00B82AC2">
            <w:pPr>
              <w:pStyle w:val="P68B1DB1-TableParagraph17"/>
              <w:spacing w:before="108"/>
              <w:ind w:left="85"/>
            </w:pPr>
            <w:r>
              <w:t xml:space="preserve">Ohjeet </w:t>
            </w:r>
          </w:p>
        </w:tc>
      </w:tr>
      <w:tr w:rsidR="00B81226" w14:paraId="7FE1C7CD" w14:textId="77777777">
        <w:tc>
          <w:tcPr>
            <w:tcW w:w="1183" w:type="dxa"/>
            <w:tcBorders>
              <w:top w:val="single" w:sz="4" w:space="0" w:color="auto"/>
              <w:bottom w:val="single" w:sz="4" w:space="0" w:color="auto"/>
              <w:right w:val="single" w:sz="4" w:space="0" w:color="auto"/>
            </w:tcBorders>
            <w:vAlign w:val="center"/>
          </w:tcPr>
          <w:p w14:paraId="7FE1C7C9" w14:textId="77777777" w:rsidR="00B81226" w:rsidRDefault="00B82AC2">
            <w:pPr>
              <w:pStyle w:val="P68B1DB1-Normal31"/>
            </w:pPr>
            <w:r>
              <w:t>0010</w:t>
            </w:r>
          </w:p>
        </w:tc>
        <w:tc>
          <w:tcPr>
            <w:tcW w:w="7832" w:type="dxa"/>
            <w:tcBorders>
              <w:top w:val="single" w:sz="8" w:space="0" w:color="auto"/>
              <w:left w:val="single" w:sz="4" w:space="0" w:color="auto"/>
              <w:bottom w:val="single" w:sz="8" w:space="0" w:color="auto"/>
            </w:tcBorders>
            <w:vAlign w:val="bottom"/>
          </w:tcPr>
          <w:p w14:paraId="7FE1C7CA" w14:textId="77777777" w:rsidR="00B81226" w:rsidRDefault="00B82AC2">
            <w:pPr>
              <w:pStyle w:val="P68B1DB1-TableParagraph73"/>
              <w:spacing w:before="108"/>
              <w:jc w:val="both"/>
            </w:pPr>
            <w:r>
              <w:t>Käyttäjän, rahoitusmarkkinoiden infrastruktuurin, järjestelmän tyypin ja välittäjän yhdistelmää edustava tunnus</w:t>
            </w:r>
          </w:p>
          <w:p w14:paraId="7FE1C7CB" w14:textId="2039C9E5" w:rsidR="00B81226" w:rsidRDefault="00B82AC2">
            <w:pPr>
              <w:pStyle w:val="P68B1DB1-Normal31"/>
            </w:pPr>
            <w:r>
              <w:t xml:space="preserve">Riviä kohti käytetään yhtä tunnistetta, jonka on vastattava käyttäjän, rahoitusmarkkinoiden infrastruktuurin, järjestelmän tyypin ja välittäjän yksilöllistä yhdistelmää. Taulukoissa Z 09.01–Z 09.04 on käytettävä samaa tunnistetta, joka vastaa samaa yhdistelmää. </w:t>
            </w:r>
          </w:p>
          <w:p w14:paraId="7FE1C7CC" w14:textId="77777777" w:rsidR="00B81226" w:rsidRDefault="00B81226">
            <w:pPr>
              <w:rPr>
                <w:rFonts w:ascii="Times New Roman" w:eastAsia="Times New Roman" w:hAnsi="Times New Roman" w:cs="Times New Roman"/>
                <w:sz w:val="20"/>
                <w:szCs w:val="20"/>
              </w:rPr>
            </w:pPr>
          </w:p>
        </w:tc>
      </w:tr>
      <w:tr w:rsidR="00B81226" w14:paraId="7FE1C7D0" w14:textId="77777777">
        <w:tc>
          <w:tcPr>
            <w:tcW w:w="1183" w:type="dxa"/>
            <w:tcBorders>
              <w:top w:val="single" w:sz="4" w:space="0" w:color="auto"/>
              <w:bottom w:val="single" w:sz="8" w:space="0" w:color="auto"/>
              <w:right w:val="single" w:sz="8" w:space="0" w:color="auto"/>
            </w:tcBorders>
            <w:vAlign w:val="center"/>
          </w:tcPr>
          <w:p w14:paraId="7FE1C7CE" w14:textId="77777777" w:rsidR="00B81226" w:rsidRDefault="00B82AC2">
            <w:pPr>
              <w:pStyle w:val="P68B1DB1-Normal74"/>
            </w:pPr>
            <w:r>
              <w:t>0020–0030</w:t>
            </w:r>
          </w:p>
        </w:tc>
        <w:tc>
          <w:tcPr>
            <w:tcW w:w="7832" w:type="dxa"/>
            <w:tcBorders>
              <w:top w:val="single" w:sz="8" w:space="0" w:color="auto"/>
              <w:left w:val="single" w:sz="8" w:space="0" w:color="auto"/>
              <w:bottom w:val="single" w:sz="8" w:space="0" w:color="auto"/>
            </w:tcBorders>
            <w:vAlign w:val="bottom"/>
          </w:tcPr>
          <w:p w14:paraId="7FE1C7CF" w14:textId="77777777" w:rsidR="00B81226" w:rsidRDefault="00B82AC2">
            <w:pPr>
              <w:pStyle w:val="P68B1DB1-TableParagraph75"/>
              <w:spacing w:before="108"/>
              <w:ind w:left="85"/>
              <w:jc w:val="both"/>
              <w:rPr>
                <w:color w:val="D13438"/>
                <w:u w:val="single"/>
              </w:rPr>
            </w:pPr>
            <w:r>
              <w:t>Käyttäjät</w:t>
            </w:r>
          </w:p>
        </w:tc>
      </w:tr>
      <w:tr w:rsidR="00B81226" w14:paraId="7FE1C7D4" w14:textId="77777777">
        <w:tc>
          <w:tcPr>
            <w:tcW w:w="1183" w:type="dxa"/>
            <w:tcBorders>
              <w:top w:val="single" w:sz="4" w:space="0" w:color="auto"/>
              <w:bottom w:val="single" w:sz="8" w:space="0" w:color="auto"/>
              <w:right w:val="single" w:sz="8" w:space="0" w:color="auto"/>
            </w:tcBorders>
            <w:vAlign w:val="center"/>
          </w:tcPr>
          <w:p w14:paraId="7FE1C7D1" w14:textId="77777777" w:rsidR="00B81226" w:rsidRDefault="00B82AC2">
            <w:pPr>
              <w:pStyle w:val="P68B1DB1-Normal31"/>
            </w:pPr>
            <w:r>
              <w:lastRenderedPageBreak/>
              <w:t>0020</w:t>
            </w:r>
          </w:p>
        </w:tc>
        <w:tc>
          <w:tcPr>
            <w:tcW w:w="7832" w:type="dxa"/>
            <w:tcBorders>
              <w:top w:val="single" w:sz="8" w:space="0" w:color="auto"/>
              <w:left w:val="single" w:sz="8" w:space="0" w:color="auto"/>
              <w:bottom w:val="single" w:sz="8" w:space="0" w:color="auto"/>
            </w:tcBorders>
            <w:vAlign w:val="bottom"/>
          </w:tcPr>
          <w:p w14:paraId="7FE1C7D2" w14:textId="77777777" w:rsidR="00B81226" w:rsidRDefault="00B82AC2">
            <w:pPr>
              <w:pStyle w:val="P68B1DB1-TableParagraph73"/>
              <w:spacing w:before="108" w:after="120"/>
              <w:jc w:val="both"/>
            </w:pPr>
            <w:r>
              <w:t>Yhteisön nimi</w:t>
            </w:r>
          </w:p>
          <w:p w14:paraId="7FE1C7D3" w14:textId="1C1A6E42" w:rsidR="00B81226" w:rsidRDefault="00B82AC2">
            <w:pPr>
              <w:pStyle w:val="P68B1DB1-TableParagraph40"/>
              <w:spacing w:before="108"/>
              <w:ind w:left="85"/>
              <w:jc w:val="both"/>
              <w:rPr>
                <w:b/>
                <w:bCs/>
                <w:i/>
                <w:iCs/>
                <w:color w:val="D13438"/>
                <w:u w:val="single"/>
              </w:rPr>
            </w:pPr>
            <w:r>
              <w:t xml:space="preserve">Maksu-, säilytys-, toimitus-, määritys- tai kauppatietorekisteripalveluja käyttävän oikeushenkilön nimi, sellaisena kuin se on ilmoitettu lomakkeessa Z 01.01 – Oikeushenkilöt (ORG 1): Yhteisön asiakirjoihin merkitty virallinen nimi, myös maininta oikeudellisesta muodosta. </w:t>
            </w:r>
          </w:p>
        </w:tc>
      </w:tr>
      <w:tr w:rsidR="00B81226" w14:paraId="7FE1C7D9" w14:textId="77777777">
        <w:tc>
          <w:tcPr>
            <w:tcW w:w="1183" w:type="dxa"/>
            <w:tcBorders>
              <w:top w:val="single" w:sz="8" w:space="0" w:color="auto"/>
              <w:bottom w:val="single" w:sz="8" w:space="0" w:color="auto"/>
              <w:right w:val="single" w:sz="8" w:space="0" w:color="auto"/>
            </w:tcBorders>
            <w:vAlign w:val="center"/>
          </w:tcPr>
          <w:p w14:paraId="7FE1C7D5" w14:textId="77777777" w:rsidR="00B81226" w:rsidRDefault="00B82AC2">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7D6" w14:textId="77777777" w:rsidR="00B81226" w:rsidRDefault="00B82AC2">
            <w:pPr>
              <w:pStyle w:val="P68B1DB1-TableParagraph73"/>
              <w:spacing w:before="108"/>
              <w:jc w:val="both"/>
            </w:pPr>
            <w:r>
              <w:t>Yhteisön koodi</w:t>
            </w:r>
          </w:p>
          <w:p w14:paraId="7FE1C7D7" w14:textId="6DA7FBC1" w:rsidR="00B81226" w:rsidRDefault="00B82AC2">
            <w:pPr>
              <w:pStyle w:val="P68B1DB1-TableParagraph40"/>
              <w:spacing w:before="108"/>
              <w:jc w:val="both"/>
            </w:pPr>
            <w:r>
              <w:t xml:space="preserve">Maksu-, säilytys-, toimitus-, selvitys- tai kauppatietorekisteripalveluja käyttävän oikeushenkilön 20-numeroinen aakkosnumeerinen LEI-koodi, sellaisena kuin se on ilmoitettu lomakkeessa Z 01.01 – Oikeusyhteisöt (ORG 1). </w:t>
            </w:r>
          </w:p>
          <w:p w14:paraId="7FE1C7D8" w14:textId="77777777" w:rsidR="00B81226" w:rsidRDefault="00B82AC2">
            <w:pPr>
              <w:pStyle w:val="P68B1DB1-Normal31"/>
            </w:pPr>
            <w:r>
              <w:t xml:space="preserve">Jos LEI-tunnusta ei ole, on käytettävä yhteisön yksilöllistä EKP:n rahalaitostunnusta (MFI ID), jota käytetään RIAD-tietokannassa. </w:t>
            </w:r>
          </w:p>
        </w:tc>
      </w:tr>
      <w:tr w:rsidR="00B81226" w14:paraId="7FE1C7DC" w14:textId="77777777">
        <w:tc>
          <w:tcPr>
            <w:tcW w:w="1183" w:type="dxa"/>
            <w:tcBorders>
              <w:top w:val="single" w:sz="8" w:space="0" w:color="auto"/>
              <w:bottom w:val="single" w:sz="8" w:space="0" w:color="auto"/>
              <w:right w:val="single" w:sz="8" w:space="0" w:color="auto"/>
            </w:tcBorders>
            <w:vAlign w:val="center"/>
          </w:tcPr>
          <w:p w14:paraId="7FE1C7DA" w14:textId="77777777" w:rsidR="00B81226" w:rsidRDefault="00B82AC2">
            <w:pPr>
              <w:pStyle w:val="P68B1DB1-Normal74"/>
            </w:pPr>
            <w:r>
              <w:t>0040–0270</w:t>
            </w:r>
          </w:p>
        </w:tc>
        <w:tc>
          <w:tcPr>
            <w:tcW w:w="7832" w:type="dxa"/>
            <w:tcBorders>
              <w:top w:val="single" w:sz="8" w:space="0" w:color="auto"/>
              <w:left w:val="single" w:sz="8" w:space="0" w:color="auto"/>
              <w:bottom w:val="single" w:sz="8" w:space="0" w:color="auto"/>
            </w:tcBorders>
            <w:vAlign w:val="bottom"/>
          </w:tcPr>
          <w:p w14:paraId="7FE1C7DB" w14:textId="77777777" w:rsidR="00B81226" w:rsidRDefault="00B82AC2">
            <w:pPr>
              <w:pStyle w:val="P68B1DB1-TableParagraph75"/>
              <w:spacing w:before="108"/>
              <w:ind w:left="85"/>
              <w:jc w:val="both"/>
            </w:pPr>
            <w:r>
              <w:t>Palveluntarjoaja</w:t>
            </w:r>
          </w:p>
        </w:tc>
      </w:tr>
      <w:tr w:rsidR="00B81226" w14:paraId="7FE1C7DF" w14:textId="77777777">
        <w:tc>
          <w:tcPr>
            <w:tcW w:w="1183" w:type="dxa"/>
            <w:tcBorders>
              <w:top w:val="single" w:sz="8" w:space="0" w:color="auto"/>
              <w:bottom w:val="single" w:sz="8" w:space="0" w:color="auto"/>
              <w:right w:val="single" w:sz="8" w:space="0" w:color="auto"/>
            </w:tcBorders>
            <w:vAlign w:val="center"/>
          </w:tcPr>
          <w:p w14:paraId="7FE1C7DD" w14:textId="77777777" w:rsidR="00B81226" w:rsidRDefault="00B82AC2">
            <w:pPr>
              <w:pStyle w:val="P68B1DB1-Normal74"/>
            </w:pPr>
            <w:r>
              <w:t>0040–0090</w:t>
            </w:r>
          </w:p>
        </w:tc>
        <w:tc>
          <w:tcPr>
            <w:tcW w:w="7832" w:type="dxa"/>
            <w:tcBorders>
              <w:top w:val="single" w:sz="8" w:space="0" w:color="auto"/>
              <w:left w:val="single" w:sz="8" w:space="0" w:color="auto"/>
              <w:bottom w:val="single" w:sz="8" w:space="0" w:color="auto"/>
            </w:tcBorders>
            <w:vAlign w:val="bottom"/>
          </w:tcPr>
          <w:p w14:paraId="7FE1C7DE" w14:textId="77777777" w:rsidR="00B81226" w:rsidRDefault="00B82AC2">
            <w:pPr>
              <w:pStyle w:val="P68B1DB1-TableParagraph75"/>
              <w:spacing w:before="108"/>
              <w:ind w:left="85"/>
              <w:jc w:val="both"/>
            </w:pPr>
            <w:r>
              <w:t>FMI</w:t>
            </w:r>
          </w:p>
        </w:tc>
      </w:tr>
      <w:tr w:rsidR="00B81226" w14:paraId="7FE1C7ED" w14:textId="77777777">
        <w:tc>
          <w:tcPr>
            <w:tcW w:w="1183" w:type="dxa"/>
            <w:tcBorders>
              <w:top w:val="single" w:sz="8" w:space="0" w:color="auto"/>
              <w:bottom w:val="single" w:sz="8" w:space="0" w:color="auto"/>
              <w:right w:val="single" w:sz="8" w:space="0" w:color="auto"/>
            </w:tcBorders>
            <w:vAlign w:val="center"/>
          </w:tcPr>
          <w:p w14:paraId="7FE1C7E0" w14:textId="77777777" w:rsidR="00B81226" w:rsidRDefault="00B82AC2">
            <w:pPr>
              <w:pStyle w:val="P68B1DB1-Normal31"/>
            </w:pPr>
            <w:r>
              <w:t>0040</w:t>
            </w:r>
          </w:p>
        </w:tc>
        <w:tc>
          <w:tcPr>
            <w:tcW w:w="7832" w:type="dxa"/>
            <w:tcBorders>
              <w:top w:val="single" w:sz="8" w:space="0" w:color="auto"/>
              <w:left w:val="single" w:sz="8" w:space="0" w:color="auto"/>
              <w:bottom w:val="single" w:sz="8" w:space="0" w:color="auto"/>
            </w:tcBorders>
            <w:vAlign w:val="bottom"/>
          </w:tcPr>
          <w:p w14:paraId="7FE1C7E1" w14:textId="77777777" w:rsidR="00B81226" w:rsidRDefault="00B82AC2">
            <w:pPr>
              <w:pStyle w:val="P68B1DB1-TableParagraph73"/>
              <w:spacing w:before="108"/>
              <w:ind w:left="85"/>
              <w:jc w:val="both"/>
            </w:pPr>
            <w:r>
              <w:t>Järjestelmän tyyppi</w:t>
            </w:r>
          </w:p>
          <w:p w14:paraId="7FE1C7E2" w14:textId="77777777" w:rsidR="00B81226" w:rsidRDefault="00B82AC2">
            <w:pPr>
              <w:pStyle w:val="P68B1DB1-TableParagraph40"/>
              <w:spacing w:before="108"/>
              <w:ind w:left="85"/>
              <w:jc w:val="both"/>
            </w:pPr>
            <w:r>
              <w:t>Käyttäjälle palveluja tarjoavan järjestelmän tyyppi. Valitaan jokin seuraavista:</w:t>
            </w:r>
          </w:p>
          <w:p w14:paraId="7FE1C7E3" w14:textId="64030D90" w:rsidR="00B81226" w:rsidRDefault="00B82AC2">
            <w:pPr>
              <w:pStyle w:val="P68B1DB1-TableParagraph40"/>
              <w:spacing w:before="108"/>
              <w:ind w:left="85"/>
              <w:jc w:val="both"/>
            </w:pPr>
            <w:r>
              <w:t xml:space="preserve">Maksujärjestelmät </w:t>
            </w:r>
          </w:p>
          <w:p w14:paraId="7FE1C7E4" w14:textId="642C3011" w:rsidR="00B81226" w:rsidRDefault="00B82AC2">
            <w:pPr>
              <w:pStyle w:val="P68B1DB1-TableParagraph40"/>
              <w:spacing w:before="108"/>
              <w:ind w:left="85"/>
              <w:jc w:val="both"/>
            </w:pPr>
            <w:r>
              <w:t>”CSD ja ICSD”</w:t>
            </w:r>
          </w:p>
          <w:p w14:paraId="7FE1C7E5" w14:textId="513B4E7C" w:rsidR="00B81226" w:rsidRDefault="00B82AC2">
            <w:pPr>
              <w:pStyle w:val="P68B1DB1-TableParagraph40"/>
              <w:spacing w:before="108"/>
              <w:ind w:left="85"/>
              <w:jc w:val="both"/>
            </w:pPr>
            <w:r>
              <w:t>’Arvopaperien selvitysjärjestelmällä’</w:t>
            </w:r>
          </w:p>
          <w:p w14:paraId="7FE1C7E6" w14:textId="61451372" w:rsidR="00B81226" w:rsidRDefault="00B82AC2">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”Arvopaperiselvityksen keskusvastapuolet”</w:t>
            </w:r>
            <w:r>
              <w:rPr>
                <w:rStyle w:val="FootnoteReference"/>
                <w:rFonts w:ascii="Times New Roman" w:eastAsia="Times New Roman" w:hAnsi="Times New Roman" w:cs="Times New Roman"/>
              </w:rPr>
              <w:footnoteReference w:id="29"/>
            </w:r>
          </w:p>
          <w:p w14:paraId="7FE1C7E7" w14:textId="75E09D2C" w:rsidR="00B81226" w:rsidRDefault="00B82AC2">
            <w:pPr>
              <w:pStyle w:val="P68B1DB1-TableParagraph40"/>
              <w:spacing w:before="108"/>
              <w:ind w:left="85"/>
              <w:jc w:val="both"/>
            </w:pPr>
            <w:r>
              <w:t>”Johdannaisten määrityksen keskusvastapuolet”</w:t>
            </w:r>
          </w:p>
          <w:p w14:paraId="7FE1C7E8" w14:textId="44FAA23C" w:rsidR="00B81226" w:rsidRDefault="00B82AC2">
            <w:pPr>
              <w:pStyle w:val="P68B1DB1-TableParagraph40"/>
              <w:spacing w:before="108"/>
              <w:ind w:left="85"/>
              <w:jc w:val="both"/>
            </w:pPr>
            <w:r>
              <w:t>”Rekisteröidyt kauppatietorekisterit”.</w:t>
            </w:r>
          </w:p>
          <w:p w14:paraId="7FE1C7E9" w14:textId="424A35E7" w:rsidR="00B81226" w:rsidRDefault="00B82AC2">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”Monenkeskiset kaupankäyntijärjestelmät”</w:t>
            </w:r>
            <w:r>
              <w:rPr>
                <w:rStyle w:val="FootnoteReference"/>
                <w:rFonts w:ascii="Times New Roman" w:eastAsia="Times New Roman" w:hAnsi="Times New Roman" w:cs="Times New Roman"/>
                <w:sz w:val="20"/>
                <w:szCs w:val="20"/>
              </w:rPr>
              <w:footnoteReference w:id="30"/>
            </w:r>
          </w:p>
          <w:p w14:paraId="7FE1C7EB" w14:textId="51093740" w:rsidR="00B81226" w:rsidRDefault="00B82AC2">
            <w:pPr>
              <w:pStyle w:val="P68B1DB1-TableParagraph40"/>
              <w:spacing w:before="108"/>
              <w:ind w:left="85"/>
              <w:jc w:val="both"/>
            </w:pPr>
            <w:r>
              <w:t>”Vähittäismaksuihin käytettävät korttijärjestelmät”</w:t>
            </w:r>
          </w:p>
          <w:p w14:paraId="7FE1C7EC" w14:textId="69997621" w:rsidR="00B81226" w:rsidRDefault="00B82AC2">
            <w:pPr>
              <w:pStyle w:val="P68B1DB1-TableParagraph40"/>
              <w:spacing w:before="108"/>
              <w:ind w:left="85"/>
              <w:jc w:val="both"/>
            </w:pPr>
            <w:r>
              <w:t>”Ei sovelleta” – Muut maksu-, selvitys- tai säilytyspalvelut, joita tarjoaa yhteisö, joka ei kuulu mihinkään edellä mainituista luokista, kuten kirjeenvaihtajapankit ja/tai säilytyspankit, joiden osalta laitos ei pysty yksilöimään lopullisia rahoitusmarkkinoiden infrastruktuureja. Sarakkeessa 0110 ilmoitetaan tarjottu palvelu.</w:t>
            </w:r>
          </w:p>
        </w:tc>
      </w:tr>
      <w:tr w:rsidR="00B81226" w14:paraId="7FE1C7F4" w14:textId="77777777">
        <w:tc>
          <w:tcPr>
            <w:tcW w:w="1183" w:type="dxa"/>
            <w:tcBorders>
              <w:top w:val="single" w:sz="8" w:space="0" w:color="auto"/>
              <w:bottom w:val="single" w:sz="8" w:space="0" w:color="auto"/>
              <w:right w:val="single" w:sz="8" w:space="0" w:color="auto"/>
            </w:tcBorders>
            <w:vAlign w:val="center"/>
          </w:tcPr>
          <w:p w14:paraId="7FE1C7EE" w14:textId="77777777" w:rsidR="00B81226" w:rsidRDefault="00B82AC2">
            <w:pPr>
              <w:pStyle w:val="P68B1DB1-Normal31"/>
            </w:pPr>
            <w:r>
              <w:t>0050–0060</w:t>
            </w:r>
          </w:p>
        </w:tc>
        <w:tc>
          <w:tcPr>
            <w:tcW w:w="7832" w:type="dxa"/>
            <w:tcBorders>
              <w:top w:val="single" w:sz="8" w:space="0" w:color="auto"/>
              <w:left w:val="single" w:sz="8" w:space="0" w:color="auto"/>
              <w:bottom w:val="single" w:sz="8" w:space="0" w:color="auto"/>
            </w:tcBorders>
            <w:vAlign w:val="bottom"/>
          </w:tcPr>
          <w:p w14:paraId="7FE1C7EF" w14:textId="77777777" w:rsidR="00B81226" w:rsidRDefault="00B82AC2">
            <w:pPr>
              <w:pStyle w:val="P68B1DB1-TableParagraph73"/>
              <w:spacing w:before="108"/>
              <w:ind w:left="85"/>
              <w:jc w:val="both"/>
            </w:pPr>
            <w:r>
              <w:t>FMI:n nimi</w:t>
            </w:r>
          </w:p>
          <w:p w14:paraId="7FE1C7F0" w14:textId="77777777" w:rsidR="00B81226" w:rsidRDefault="00B82AC2">
            <w:pPr>
              <w:pStyle w:val="P68B1DB1-TableParagraph40"/>
              <w:spacing w:before="108"/>
              <w:ind w:left="85"/>
              <w:jc w:val="both"/>
            </w:pPr>
            <w:r>
              <w:t xml:space="preserve">Rahoitusmarkkinoiden infrastruktuurin toiminimi </w:t>
            </w:r>
          </w:p>
          <w:p w14:paraId="7FE1C7F1" w14:textId="6A71A5BE" w:rsidR="00B81226" w:rsidRDefault="00B82AC2">
            <w:pPr>
              <w:pStyle w:val="P68B1DB1-TableParagraph40"/>
              <w:numPr>
                <w:ilvl w:val="0"/>
                <w:numId w:val="246"/>
              </w:numPr>
              <w:spacing w:before="108"/>
              <w:jc w:val="both"/>
            </w:pPr>
            <w:r>
              <w:t>Näiden ohjeiden liitteessä I mainittu ennalta määritelty FMI-nimi, jos se on sarakkeessa 0050;</w:t>
            </w:r>
          </w:p>
          <w:p w14:paraId="7FE1C7F2" w14:textId="77777777" w:rsidR="00B81226" w:rsidRDefault="00B82AC2">
            <w:pPr>
              <w:pStyle w:val="P68B1DB1-TableParagraph40"/>
              <w:numPr>
                <w:ilvl w:val="0"/>
                <w:numId w:val="246"/>
              </w:numPr>
              <w:spacing w:before="108" w:after="120"/>
              <w:ind w:left="442" w:hanging="357"/>
              <w:jc w:val="both"/>
            </w:pPr>
            <w:r>
              <w:t xml:space="preserve">Jos niitä ei ole sarakkeessa 0050, nimi vapaamuotoisessa sarakkeessa 0060. </w:t>
            </w:r>
          </w:p>
          <w:p w14:paraId="7FE1C7F3" w14:textId="77777777" w:rsidR="00B81226" w:rsidRDefault="00B82AC2">
            <w:pPr>
              <w:pStyle w:val="P68B1DB1-Normal31"/>
            </w:pPr>
            <w:r>
              <w:t xml:space="preserve">Kun sarakkeessa 0040 ilmoitetaan ”Ei sovelleta”, nämä sarakkeet on jätettävä tyhjiksi. </w:t>
            </w:r>
          </w:p>
        </w:tc>
      </w:tr>
      <w:tr w:rsidR="00B81226" w14:paraId="7FE1C7FB" w14:textId="77777777">
        <w:tc>
          <w:tcPr>
            <w:tcW w:w="1183" w:type="dxa"/>
            <w:tcBorders>
              <w:top w:val="single" w:sz="8" w:space="0" w:color="auto"/>
              <w:bottom w:val="single" w:sz="8" w:space="0" w:color="auto"/>
              <w:right w:val="single" w:sz="8" w:space="0" w:color="auto"/>
            </w:tcBorders>
            <w:vAlign w:val="center"/>
          </w:tcPr>
          <w:p w14:paraId="7FE1C7F5" w14:textId="77777777" w:rsidR="00B81226" w:rsidRDefault="00B82AC2">
            <w:pPr>
              <w:pStyle w:val="P68B1DB1-Normal31"/>
            </w:pPr>
            <w:r>
              <w:t>0070</w:t>
            </w:r>
          </w:p>
        </w:tc>
        <w:tc>
          <w:tcPr>
            <w:tcW w:w="7832" w:type="dxa"/>
            <w:tcBorders>
              <w:top w:val="single" w:sz="8" w:space="0" w:color="auto"/>
              <w:left w:val="single" w:sz="8" w:space="0" w:color="auto"/>
              <w:bottom w:val="single" w:sz="8" w:space="0" w:color="auto"/>
            </w:tcBorders>
            <w:vAlign w:val="bottom"/>
          </w:tcPr>
          <w:p w14:paraId="7FE1C7F6" w14:textId="77777777" w:rsidR="00B81226" w:rsidRDefault="00B82AC2">
            <w:pPr>
              <w:pStyle w:val="P68B1DB1-TableParagraph73"/>
              <w:spacing w:before="108"/>
              <w:ind w:left="85"/>
              <w:jc w:val="both"/>
            </w:pPr>
            <w:r>
              <w:t>FMI-koodi</w:t>
            </w:r>
          </w:p>
          <w:p w14:paraId="7FE1C7F7" w14:textId="77777777" w:rsidR="00B81226" w:rsidRDefault="00B82AC2">
            <w:pPr>
              <w:pStyle w:val="P68B1DB1-TableParagraph40"/>
              <w:spacing w:before="108"/>
              <w:ind w:left="85"/>
              <w:jc w:val="both"/>
            </w:pPr>
            <w:r>
              <w:t xml:space="preserve">FMI:n 20-merkkinen, aakkosnumeerinen LEI-koodi. </w:t>
            </w:r>
          </w:p>
          <w:p w14:paraId="7FE1C7F8" w14:textId="77777777" w:rsidR="00B81226" w:rsidRDefault="00B82AC2">
            <w:pPr>
              <w:pStyle w:val="P68B1DB1-TableParagraph40"/>
              <w:spacing w:before="108"/>
              <w:ind w:left="85"/>
              <w:jc w:val="both"/>
            </w:pPr>
            <w:r>
              <w:t xml:space="preserve">Jos FMI:llä ei ole LEI-tunnusta, käytä toiminnanharjoittajan LEI-tunnusta. </w:t>
            </w:r>
          </w:p>
          <w:p w14:paraId="7FE1C7F9" w14:textId="77777777" w:rsidR="00B81226" w:rsidRDefault="00B82AC2">
            <w:pPr>
              <w:pStyle w:val="P68B1DB1-TableParagraph40"/>
              <w:spacing w:before="108"/>
              <w:ind w:left="85"/>
              <w:jc w:val="both"/>
            </w:pPr>
            <w:r>
              <w:t xml:space="preserve">Kun sarakkeessa 0040 ilmoitetaan ”Ei sovelleta (FMI-järjestelmän tyyppi)”, tai kun FMI:lla ei </w:t>
            </w:r>
            <w:r>
              <w:lastRenderedPageBreak/>
              <w:t>ole koodia, tässä sarakkeessa on oltava ”Ei sovelleta”.</w:t>
            </w:r>
          </w:p>
          <w:p w14:paraId="7FE1C7FA" w14:textId="77777777" w:rsidR="00B81226" w:rsidRDefault="00B81226">
            <w:pPr>
              <w:rPr>
                <w:rFonts w:ascii="Times New Roman" w:eastAsia="Times New Roman" w:hAnsi="Times New Roman" w:cs="Times New Roman"/>
                <w:color w:val="D13438"/>
                <w:sz w:val="20"/>
                <w:szCs w:val="20"/>
                <w:u w:val="single"/>
              </w:rPr>
            </w:pPr>
          </w:p>
        </w:tc>
      </w:tr>
      <w:tr w:rsidR="00B81226" w14:paraId="7FE1C800" w14:textId="77777777">
        <w:tc>
          <w:tcPr>
            <w:tcW w:w="1183" w:type="dxa"/>
            <w:tcBorders>
              <w:top w:val="single" w:sz="8" w:space="0" w:color="auto"/>
              <w:bottom w:val="single" w:sz="8" w:space="0" w:color="auto"/>
              <w:right w:val="single" w:sz="8" w:space="0" w:color="auto"/>
            </w:tcBorders>
            <w:vAlign w:val="center"/>
          </w:tcPr>
          <w:p w14:paraId="7FE1C7FC" w14:textId="77777777" w:rsidR="00B81226" w:rsidRDefault="00B82AC2">
            <w:pPr>
              <w:pStyle w:val="P68B1DB1-Normal31"/>
            </w:pPr>
            <w:r>
              <w:lastRenderedPageBreak/>
              <w:t>0080</w:t>
            </w:r>
          </w:p>
        </w:tc>
        <w:tc>
          <w:tcPr>
            <w:tcW w:w="7832" w:type="dxa"/>
            <w:tcBorders>
              <w:top w:val="single" w:sz="8" w:space="0" w:color="auto"/>
              <w:left w:val="single" w:sz="8" w:space="0" w:color="auto"/>
              <w:bottom w:val="single" w:sz="8" w:space="0" w:color="auto"/>
            </w:tcBorders>
            <w:vAlign w:val="bottom"/>
          </w:tcPr>
          <w:p w14:paraId="7FE1C7FD" w14:textId="77777777" w:rsidR="00B81226" w:rsidRDefault="00B82AC2">
            <w:pPr>
              <w:pStyle w:val="P68B1DB1-Normal76"/>
              <w:spacing w:after="120"/>
            </w:pPr>
            <w:r>
              <w:t>FMI:n toiminnanharjoittaja</w:t>
            </w:r>
          </w:p>
          <w:p w14:paraId="7FE1C7FE" w14:textId="77777777" w:rsidR="00B81226" w:rsidRDefault="00B82AC2">
            <w:pPr>
              <w:pStyle w:val="P68B1DB1-Normal31"/>
              <w:rPr>
                <w:b/>
              </w:rPr>
            </w:pPr>
            <w:r>
              <w:t xml:space="preserve">FMI:n toiminnanharjoittajan nimi. </w:t>
            </w:r>
          </w:p>
          <w:p w14:paraId="7FE1C7FF" w14:textId="77777777" w:rsidR="00B81226" w:rsidRDefault="00B81226">
            <w:pPr>
              <w:rPr>
                <w:rFonts w:ascii="Times New Roman" w:hAnsi="Times New Roman" w:cs="Times New Roman"/>
                <w:color w:val="D13438"/>
                <w:sz w:val="20"/>
                <w:szCs w:val="20"/>
                <w:highlight w:val="yellow"/>
                <w:u w:val="single"/>
              </w:rPr>
            </w:pPr>
          </w:p>
        </w:tc>
      </w:tr>
      <w:tr w:rsidR="00B81226" w14:paraId="7FE1C808" w14:textId="77777777">
        <w:tc>
          <w:tcPr>
            <w:tcW w:w="1183" w:type="dxa"/>
            <w:tcBorders>
              <w:top w:val="single" w:sz="8" w:space="0" w:color="auto"/>
              <w:bottom w:val="single" w:sz="8" w:space="0" w:color="auto"/>
              <w:right w:val="single" w:sz="8" w:space="0" w:color="auto"/>
            </w:tcBorders>
            <w:vAlign w:val="center"/>
          </w:tcPr>
          <w:p w14:paraId="7FE1C801" w14:textId="77777777" w:rsidR="00B81226" w:rsidRDefault="00B82AC2">
            <w:pPr>
              <w:pStyle w:val="P68B1DB1-Normal31"/>
            </w:pPr>
            <w:r>
              <w:t>0090</w:t>
            </w:r>
          </w:p>
        </w:tc>
        <w:tc>
          <w:tcPr>
            <w:tcW w:w="7832" w:type="dxa"/>
            <w:tcBorders>
              <w:top w:val="single" w:sz="8" w:space="0" w:color="auto"/>
              <w:left w:val="single" w:sz="8" w:space="0" w:color="auto"/>
              <w:bottom w:val="single" w:sz="8" w:space="0" w:color="auto"/>
            </w:tcBorders>
            <w:vAlign w:val="bottom"/>
          </w:tcPr>
          <w:p w14:paraId="7FE1C802" w14:textId="77777777" w:rsidR="00B81226" w:rsidRDefault="00B82AC2">
            <w:pPr>
              <w:pStyle w:val="P68B1DB1-Normal76"/>
            </w:pPr>
            <w:r>
              <w:t>Osallistumismuoto</w:t>
            </w:r>
          </w:p>
          <w:p w14:paraId="7FE1C803" w14:textId="77777777" w:rsidR="00B81226" w:rsidRDefault="00B82AC2">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Ilmoittamisessa käytetään seuraavia arvoja</w:t>
            </w:r>
            <w:r>
              <w:rPr>
                <w:rStyle w:val="FootnoteReference"/>
                <w:rFonts w:ascii="Times New Roman" w:eastAsia="Times New Roman" w:hAnsi="Times New Roman" w:cs="Times New Roman"/>
              </w:rPr>
              <w:footnoteReference w:id="31"/>
            </w:r>
            <w:r>
              <w:rPr>
                <w:rFonts w:ascii="Times New Roman" w:eastAsia="Times New Roman" w:hAnsi="Times New Roman" w:cs="Times New Roman"/>
                <w:sz w:val="20"/>
                <w:szCs w:val="20"/>
              </w:rPr>
              <w:t>:</w:t>
            </w:r>
          </w:p>
          <w:p w14:paraId="7FE1C804" w14:textId="77777777" w:rsidR="00B81226" w:rsidRDefault="00B82AC2">
            <w:pPr>
              <w:pStyle w:val="P68B1DB1-TableParagraph40"/>
              <w:numPr>
                <w:ilvl w:val="0"/>
                <w:numId w:val="181"/>
              </w:numPr>
              <w:spacing w:before="108"/>
              <w:jc w:val="both"/>
            </w:pPr>
            <w:r>
              <w:t xml:space="preserve">”Suora”, kun kyseessä on suora jäsenyys tai suora osallistuminen. </w:t>
            </w:r>
          </w:p>
          <w:p w14:paraId="7FE1C805" w14:textId="77777777" w:rsidR="00B81226" w:rsidRDefault="00B82AC2">
            <w:pPr>
              <w:pStyle w:val="P68B1DB1-TableParagraph40"/>
              <w:numPr>
                <w:ilvl w:val="0"/>
                <w:numId w:val="181"/>
              </w:numPr>
              <w:spacing w:before="108"/>
              <w:jc w:val="both"/>
            </w:pPr>
            <w:r>
              <w:t xml:space="preserve">”Välillinen”, kun kyseessä on välillinen jäsenyys tai välillinen osallistuminen. </w:t>
            </w:r>
          </w:p>
          <w:p w14:paraId="7FE1C806" w14:textId="77777777" w:rsidR="00B81226" w:rsidRDefault="00B82AC2">
            <w:pPr>
              <w:pStyle w:val="P68B1DB1-TableParagraph40"/>
              <w:numPr>
                <w:ilvl w:val="0"/>
                <w:numId w:val="181"/>
              </w:numPr>
              <w:spacing w:before="108"/>
              <w:jc w:val="both"/>
              <w:rPr>
                <w:b/>
              </w:rPr>
            </w:pPr>
            <w:r>
              <w:t>”Ei sovelleta (FMI:hen osallistumistapa)”, kun sarakkeessa 0040 ilmoitetaan ”Ei sovelleta (FMI-järjestelmän tyyppi)”.</w:t>
            </w:r>
          </w:p>
          <w:p w14:paraId="7FE1C807" w14:textId="77777777" w:rsidR="00B81226" w:rsidRDefault="00B81226">
            <w:pPr>
              <w:pStyle w:val="TableParagraph"/>
              <w:spacing w:before="108"/>
              <w:ind w:left="85"/>
              <w:jc w:val="both"/>
              <w:rPr>
                <w:rFonts w:ascii="Times New Roman" w:eastAsia="Times New Roman" w:hAnsi="Times New Roman" w:cs="Times New Roman"/>
                <w:b/>
                <w:sz w:val="20"/>
                <w:szCs w:val="20"/>
              </w:rPr>
            </w:pPr>
          </w:p>
        </w:tc>
      </w:tr>
      <w:tr w:rsidR="00B81226" w14:paraId="7FE1C80B" w14:textId="77777777">
        <w:tc>
          <w:tcPr>
            <w:tcW w:w="1183" w:type="dxa"/>
            <w:tcBorders>
              <w:top w:val="single" w:sz="8" w:space="0" w:color="auto"/>
              <w:bottom w:val="single" w:sz="8" w:space="0" w:color="auto"/>
              <w:right w:val="single" w:sz="8" w:space="0" w:color="auto"/>
            </w:tcBorders>
            <w:vAlign w:val="center"/>
          </w:tcPr>
          <w:p w14:paraId="7FE1C809" w14:textId="77777777" w:rsidR="00B81226" w:rsidRDefault="00B82AC2">
            <w:pPr>
              <w:pStyle w:val="P68B1DB1-Normal74"/>
            </w:pPr>
            <w:r>
              <w:t>0100–0110</w:t>
            </w:r>
          </w:p>
        </w:tc>
        <w:tc>
          <w:tcPr>
            <w:tcW w:w="7832" w:type="dxa"/>
            <w:tcBorders>
              <w:top w:val="single" w:sz="8" w:space="0" w:color="auto"/>
              <w:left w:val="single" w:sz="8" w:space="0" w:color="auto"/>
              <w:bottom w:val="single" w:sz="8" w:space="0" w:color="auto"/>
            </w:tcBorders>
            <w:vAlign w:val="bottom"/>
          </w:tcPr>
          <w:p w14:paraId="7FE1C80A" w14:textId="77777777" w:rsidR="00B81226" w:rsidRDefault="00B82AC2">
            <w:pPr>
              <w:pStyle w:val="P68B1DB1-TableParagraph75"/>
              <w:spacing w:before="108"/>
              <w:ind w:left="85"/>
              <w:jc w:val="both"/>
            </w:pPr>
            <w:r>
              <w:t>Välikäsi</w:t>
            </w:r>
          </w:p>
        </w:tc>
      </w:tr>
      <w:tr w:rsidR="00B81226" w14:paraId="7FE1C811" w14:textId="77777777">
        <w:tc>
          <w:tcPr>
            <w:tcW w:w="1183" w:type="dxa"/>
            <w:tcBorders>
              <w:top w:val="single" w:sz="8" w:space="0" w:color="auto"/>
              <w:bottom w:val="single" w:sz="8" w:space="0" w:color="auto"/>
              <w:right w:val="single" w:sz="8" w:space="0" w:color="auto"/>
            </w:tcBorders>
            <w:vAlign w:val="center"/>
          </w:tcPr>
          <w:p w14:paraId="7FE1C80C" w14:textId="77777777" w:rsidR="00B81226" w:rsidRDefault="00B82AC2">
            <w:pPr>
              <w:pStyle w:val="P68B1DB1-Normal31"/>
            </w:pPr>
            <w:r>
              <w:t>0100</w:t>
            </w:r>
          </w:p>
        </w:tc>
        <w:tc>
          <w:tcPr>
            <w:tcW w:w="7832" w:type="dxa"/>
            <w:tcBorders>
              <w:top w:val="single" w:sz="8" w:space="0" w:color="auto"/>
              <w:left w:val="single" w:sz="8" w:space="0" w:color="auto"/>
              <w:bottom w:val="single" w:sz="8" w:space="0" w:color="auto"/>
            </w:tcBorders>
            <w:vAlign w:val="bottom"/>
          </w:tcPr>
          <w:p w14:paraId="7FE1C80D" w14:textId="77777777" w:rsidR="00B81226" w:rsidRDefault="00B82AC2">
            <w:pPr>
              <w:pStyle w:val="P68B1DB1-Normal76"/>
            </w:pPr>
            <w:r>
              <w:t>Välikäden nimi</w:t>
            </w:r>
          </w:p>
          <w:p w14:paraId="7FE1C80E" w14:textId="77777777" w:rsidR="00B81226" w:rsidRDefault="00B82AC2">
            <w:pPr>
              <w:pStyle w:val="P68B1DB1-TableParagraph40"/>
              <w:spacing w:before="108"/>
              <w:ind w:left="85"/>
              <w:jc w:val="both"/>
            </w:pPr>
            <w:r>
              <w:t xml:space="preserve">Sen välittäjän toiminimi, johon käyttäjä on sopimussuhteessa, ja joka tarjoaa pääsyn FMI:hen. Ilmoitetaan silloin, kun sarakkeessa 0100 ”Osallistumismuoto” on ilmoitettu ”Välillinen” tai ”Ei sovelleta” (FMI:hin osallistumisen muoto). </w:t>
            </w:r>
          </w:p>
          <w:p w14:paraId="7FE1C80F" w14:textId="77777777" w:rsidR="00B81226" w:rsidRDefault="00B82AC2">
            <w:pPr>
              <w:pStyle w:val="P68B1DB1-TableParagraph40"/>
              <w:spacing w:before="108"/>
              <w:ind w:left="85"/>
              <w:jc w:val="both"/>
            </w:pPr>
            <w:r>
              <w:t>Jos välittäjä tarjoaa välillisen pääsyn useisiin rahoitusmarkkinoiden infrastruktuureihin, täytetään yksi rivi kutakin sellaista rahoitusmarkkinoiden infrastruktuuria kohti, johon välittäjä tarjoaa välillisen pääsyn.</w:t>
            </w:r>
          </w:p>
          <w:p w14:paraId="7FE1C810" w14:textId="77777777" w:rsidR="00B81226" w:rsidRDefault="00B82AC2">
            <w:pPr>
              <w:pStyle w:val="P68B1DB1-TableParagraph40"/>
              <w:spacing w:before="108"/>
              <w:ind w:left="85"/>
              <w:jc w:val="both"/>
              <w:rPr>
                <w:b/>
              </w:rPr>
            </w:pPr>
            <w:r>
              <w:t>Jos sarakkeessa 0090 on ilmoitettu ”Suora”, tämä sarake jätetään tyhjäksi.</w:t>
            </w:r>
          </w:p>
        </w:tc>
      </w:tr>
      <w:tr w:rsidR="00B81226" w14:paraId="7FE1C819" w14:textId="77777777">
        <w:tc>
          <w:tcPr>
            <w:tcW w:w="1183" w:type="dxa"/>
            <w:tcBorders>
              <w:top w:val="single" w:sz="8" w:space="0" w:color="auto"/>
              <w:bottom w:val="single" w:sz="8" w:space="0" w:color="auto"/>
              <w:right w:val="single" w:sz="8" w:space="0" w:color="auto"/>
            </w:tcBorders>
            <w:vAlign w:val="center"/>
          </w:tcPr>
          <w:p w14:paraId="7FE1C812" w14:textId="77777777" w:rsidR="00B81226" w:rsidRDefault="00B82AC2">
            <w:pPr>
              <w:pStyle w:val="P68B1DB1-Normal31"/>
            </w:pPr>
            <w:r>
              <w:t>0110</w:t>
            </w:r>
          </w:p>
        </w:tc>
        <w:tc>
          <w:tcPr>
            <w:tcW w:w="7832" w:type="dxa"/>
            <w:tcBorders>
              <w:top w:val="single" w:sz="8" w:space="0" w:color="auto"/>
              <w:left w:val="single" w:sz="8" w:space="0" w:color="auto"/>
              <w:bottom w:val="single" w:sz="8" w:space="0" w:color="auto"/>
            </w:tcBorders>
            <w:vAlign w:val="bottom"/>
          </w:tcPr>
          <w:p w14:paraId="7FE1C813" w14:textId="77777777" w:rsidR="00B81226" w:rsidRDefault="00B82AC2">
            <w:pPr>
              <w:pStyle w:val="P68B1DB1-Normal76"/>
            </w:pPr>
            <w:r>
              <w:t>Välittäjän koodi</w:t>
            </w:r>
          </w:p>
          <w:p w14:paraId="7FE1C814" w14:textId="77777777" w:rsidR="00B81226" w:rsidRDefault="00B82AC2">
            <w:pPr>
              <w:pStyle w:val="P68B1DB1-TableParagraph40"/>
              <w:spacing w:before="108"/>
              <w:ind w:left="85"/>
              <w:jc w:val="both"/>
            </w:pPr>
            <w:r>
              <w:t xml:space="preserve">Välittäjän 20-numeroinen LEI-tunnus. </w:t>
            </w:r>
          </w:p>
          <w:p w14:paraId="7FE1C815" w14:textId="77777777" w:rsidR="00B81226" w:rsidRDefault="00B82AC2">
            <w:pPr>
              <w:pStyle w:val="P68B1DB1-TableParagraph13"/>
              <w:spacing w:before="108"/>
              <w:ind w:left="85"/>
              <w:jc w:val="both"/>
              <w:rPr>
                <w:rFonts w:eastAsia="Cambria"/>
              </w:rPr>
            </w:pPr>
            <w:r>
              <w:t>Koodin tyyppi on mieluiten LEI-tunnus.</w:t>
            </w:r>
          </w:p>
          <w:p w14:paraId="7FE1C816" w14:textId="77777777" w:rsidR="00B81226" w:rsidRDefault="00B82AC2">
            <w:pPr>
              <w:pStyle w:val="P68B1DB1-TableParagraph17"/>
              <w:spacing w:before="108"/>
            </w:pPr>
            <w:r>
              <w:t xml:space="preserve">  Jos oikeushenkilötunnusta ei ole saatavilla, ilmoita rahalaitoksen tunniste tai, jos sellaista ei ole, kansallinen koodi.</w:t>
            </w:r>
          </w:p>
          <w:p w14:paraId="7FE1C817" w14:textId="3F55AEB3" w:rsidR="00B81226" w:rsidRDefault="00B82AC2">
            <w:pPr>
              <w:pStyle w:val="P68B1DB1-TableParagraph41"/>
              <w:spacing w:before="108"/>
              <w:ind w:left="85"/>
              <w:jc w:val="both"/>
              <w:rPr>
                <w:rFonts w:ascii="Times New Roman" w:eastAsia="Times New Roman" w:hAnsi="Times New Roman" w:cs="Times New Roman"/>
              </w:rPr>
            </w:pPr>
            <w:r>
              <w:rPr>
                <w:rFonts w:ascii="Times New Roman" w:hAnsi="Times New Roman" w:cs="Times New Roman"/>
                <w:color w:val="000000" w:themeColor="text1"/>
              </w:rPr>
              <w:t>Yhteisöt on tunnistettava johdonmukaisesti lomakkeissa Z 09.01–Z 09.05 soveltuvin osin.</w:t>
            </w:r>
            <w:r>
              <w:rPr>
                <w:rFonts w:ascii="Times New Roman" w:eastAsia="Times New Roman" w:hAnsi="Times New Roman" w:cs="Times New Roman"/>
              </w:rPr>
              <w:t xml:space="preserve"> </w:t>
            </w:r>
          </w:p>
          <w:p w14:paraId="7FE1C818" w14:textId="77777777" w:rsidR="00B81226" w:rsidRDefault="00B82AC2">
            <w:pPr>
              <w:pStyle w:val="P68B1DB1-TableParagraph40"/>
              <w:spacing w:before="108"/>
              <w:ind w:left="85"/>
              <w:jc w:val="both"/>
              <w:rPr>
                <w:b/>
              </w:rPr>
            </w:pPr>
            <w:r>
              <w:t>Jos sarakkeessa 0090 on ilmoitettu ”Suora”, tämä sarake jätetään tyhjäksi.</w:t>
            </w:r>
          </w:p>
        </w:tc>
      </w:tr>
      <w:tr w:rsidR="00B81226" w14:paraId="7FE1C81C" w14:textId="77777777">
        <w:tc>
          <w:tcPr>
            <w:tcW w:w="1183" w:type="dxa"/>
            <w:tcBorders>
              <w:top w:val="single" w:sz="8" w:space="0" w:color="auto"/>
              <w:bottom w:val="single" w:sz="8" w:space="0" w:color="auto"/>
              <w:right w:val="single" w:sz="8" w:space="0" w:color="auto"/>
            </w:tcBorders>
            <w:vAlign w:val="center"/>
          </w:tcPr>
          <w:p w14:paraId="7FE1C81A" w14:textId="77777777" w:rsidR="00B81226" w:rsidRDefault="00B82AC2">
            <w:pPr>
              <w:pStyle w:val="P68B1DB1-Normal74"/>
            </w:pPr>
            <w:r>
              <w:t>0120–0260</w:t>
            </w:r>
          </w:p>
        </w:tc>
        <w:tc>
          <w:tcPr>
            <w:tcW w:w="7832" w:type="dxa"/>
            <w:tcBorders>
              <w:top w:val="single" w:sz="8" w:space="0" w:color="auto"/>
              <w:left w:val="single" w:sz="8" w:space="0" w:color="auto"/>
              <w:bottom w:val="single" w:sz="8" w:space="0" w:color="auto"/>
            </w:tcBorders>
            <w:vAlign w:val="bottom"/>
          </w:tcPr>
          <w:p w14:paraId="7FE1C81B" w14:textId="77777777" w:rsidR="00B81226" w:rsidRDefault="00B82AC2">
            <w:pPr>
              <w:pStyle w:val="P68B1DB1-Normal77"/>
              <w:rPr>
                <w:color w:val="D13438"/>
                <w:u w:val="single"/>
              </w:rPr>
            </w:pPr>
            <w:r>
              <w:t>Sopimukset ja palvelut</w:t>
            </w:r>
          </w:p>
        </w:tc>
      </w:tr>
      <w:tr w:rsidR="00B81226" w14:paraId="7FE1C820" w14:textId="77777777">
        <w:tc>
          <w:tcPr>
            <w:tcW w:w="1183" w:type="dxa"/>
            <w:tcBorders>
              <w:top w:val="single" w:sz="8" w:space="0" w:color="auto"/>
              <w:bottom w:val="single" w:sz="8" w:space="0" w:color="auto"/>
              <w:right w:val="single" w:sz="8" w:space="0" w:color="auto"/>
            </w:tcBorders>
            <w:vAlign w:val="center"/>
          </w:tcPr>
          <w:p w14:paraId="7FE1C81D" w14:textId="77777777" w:rsidR="00B81226" w:rsidRDefault="00B82AC2">
            <w:pPr>
              <w:pStyle w:val="P68B1DB1-Normal31"/>
            </w:pPr>
            <w:r>
              <w:t>0120</w:t>
            </w:r>
          </w:p>
        </w:tc>
        <w:tc>
          <w:tcPr>
            <w:tcW w:w="7832" w:type="dxa"/>
            <w:tcBorders>
              <w:top w:val="single" w:sz="8" w:space="0" w:color="auto"/>
              <w:left w:val="single" w:sz="8" w:space="0" w:color="auto"/>
              <w:bottom w:val="single" w:sz="8" w:space="0" w:color="auto"/>
            </w:tcBorders>
            <w:vAlign w:val="bottom"/>
          </w:tcPr>
          <w:p w14:paraId="7FE1C81E" w14:textId="77777777" w:rsidR="00B81226" w:rsidRDefault="00B82AC2">
            <w:pPr>
              <w:pStyle w:val="P68B1DB1-TableParagraph73"/>
              <w:spacing w:before="108"/>
              <w:ind w:left="85"/>
              <w:jc w:val="both"/>
            </w:pPr>
            <w:r>
              <w:t>Sopimuksen tunniste</w:t>
            </w:r>
          </w:p>
          <w:p w14:paraId="7FE1C81F" w14:textId="77777777" w:rsidR="00B81226" w:rsidRDefault="00B82AC2">
            <w:pPr>
              <w:pStyle w:val="P68B1DB1-TableParagraph40"/>
              <w:spacing w:before="108"/>
              <w:jc w:val="both"/>
              <w:rPr>
                <w:b/>
              </w:rPr>
            </w:pPr>
            <w:r>
              <w:t>Käyttäjän sisäinen tunniste sopimuksesta, joka ohjaa suhdetta palvelun tarjoavaan rahoitusmarkkinoiden infrastruktuuriin/välittäjään.</w:t>
            </w:r>
          </w:p>
        </w:tc>
      </w:tr>
      <w:tr w:rsidR="00B81226" w14:paraId="7FE1C826" w14:textId="77777777">
        <w:tc>
          <w:tcPr>
            <w:tcW w:w="1183" w:type="dxa"/>
            <w:tcBorders>
              <w:top w:val="single" w:sz="8" w:space="0" w:color="auto"/>
              <w:bottom w:val="single" w:sz="8" w:space="0" w:color="auto"/>
              <w:right w:val="single" w:sz="8" w:space="0" w:color="auto"/>
            </w:tcBorders>
            <w:vAlign w:val="center"/>
          </w:tcPr>
          <w:p w14:paraId="7FE1C821" w14:textId="77777777" w:rsidR="00B81226" w:rsidRDefault="00B82AC2">
            <w:pPr>
              <w:pStyle w:val="P68B1DB1-Normal31"/>
            </w:pPr>
            <w:r>
              <w:t>0130</w:t>
            </w:r>
          </w:p>
        </w:tc>
        <w:tc>
          <w:tcPr>
            <w:tcW w:w="7832" w:type="dxa"/>
            <w:tcBorders>
              <w:top w:val="single" w:sz="8" w:space="0" w:color="auto"/>
              <w:left w:val="single" w:sz="8" w:space="0" w:color="auto"/>
              <w:bottom w:val="single" w:sz="8" w:space="0" w:color="auto"/>
            </w:tcBorders>
            <w:vAlign w:val="bottom"/>
          </w:tcPr>
          <w:p w14:paraId="7FE1C822" w14:textId="77777777" w:rsidR="00B81226" w:rsidRDefault="00B82AC2">
            <w:pPr>
              <w:pStyle w:val="P68B1DB1-TableParagraph73"/>
              <w:spacing w:before="108"/>
              <w:ind w:left="85"/>
              <w:jc w:val="both"/>
              <w:rPr>
                <w:bCs/>
              </w:rPr>
            </w:pPr>
            <w:r>
              <w:t>Sovellet-tava lainsää-däntö</w:t>
            </w:r>
          </w:p>
          <w:p w14:paraId="7FE1C823" w14:textId="77777777" w:rsidR="00B81226" w:rsidRDefault="00B82AC2">
            <w:pPr>
              <w:pStyle w:val="P68B1DB1-TableParagraph40"/>
              <w:spacing w:before="108"/>
              <w:ind w:left="85"/>
              <w:jc w:val="both"/>
            </w:pPr>
            <w:r>
              <w:t xml:space="preserve">Sen maan ISO 3166–1 -standardin mukainen kaksikirjaiminen maatunnus, jonka lainsäädäntö sääntelee sopimussuhteen FMI:n kanssa. </w:t>
            </w:r>
          </w:p>
          <w:p w14:paraId="7FE1C824" w14:textId="77777777" w:rsidR="00B81226" w:rsidRDefault="00B82AC2">
            <w:pPr>
              <w:pStyle w:val="P68B1DB1-TableParagraph40"/>
              <w:numPr>
                <w:ilvl w:val="0"/>
                <w:numId w:val="247"/>
              </w:numPr>
              <w:spacing w:before="108"/>
              <w:jc w:val="both"/>
              <w:rPr>
                <w:b/>
                <w:bCs/>
              </w:rPr>
            </w:pPr>
            <w:r>
              <w:t>Suorien käyttöoikeuksien osalta FMI:n ja käyttäjän väliseen sopimukseen sovellettava laki</w:t>
            </w:r>
          </w:p>
          <w:p w14:paraId="7FE1C825" w14:textId="77777777" w:rsidR="00B81226" w:rsidRDefault="00B82AC2">
            <w:pPr>
              <w:pStyle w:val="P68B1DB1-TableParagraph40"/>
              <w:numPr>
                <w:ilvl w:val="0"/>
                <w:numId w:val="247"/>
              </w:numPr>
              <w:spacing w:before="108"/>
              <w:jc w:val="both"/>
            </w:pPr>
            <w:r>
              <w:t>Epäsuorien käyttöoikeuksien osalta välittäjän ja käyttäjän väliseen sopimukseen sovellettava laki.</w:t>
            </w:r>
          </w:p>
        </w:tc>
      </w:tr>
      <w:tr w:rsidR="00B81226" w14:paraId="7FE1C82E" w14:textId="77777777">
        <w:tc>
          <w:tcPr>
            <w:tcW w:w="1183" w:type="dxa"/>
            <w:tcBorders>
              <w:top w:val="single" w:sz="8" w:space="0" w:color="auto"/>
              <w:bottom w:val="single" w:sz="8" w:space="0" w:color="auto"/>
              <w:right w:val="single" w:sz="8" w:space="0" w:color="auto"/>
            </w:tcBorders>
            <w:vAlign w:val="center"/>
          </w:tcPr>
          <w:p w14:paraId="7FE1C827" w14:textId="77777777" w:rsidR="00B81226" w:rsidRDefault="00B82AC2">
            <w:pPr>
              <w:pStyle w:val="P68B1DB1-Normal31"/>
            </w:pPr>
            <w:r>
              <w:lastRenderedPageBreak/>
              <w:t>0140</w:t>
            </w:r>
          </w:p>
        </w:tc>
        <w:tc>
          <w:tcPr>
            <w:tcW w:w="7832" w:type="dxa"/>
            <w:tcBorders>
              <w:top w:val="single" w:sz="8" w:space="0" w:color="auto"/>
              <w:left w:val="single" w:sz="8" w:space="0" w:color="auto"/>
              <w:bottom w:val="single" w:sz="8" w:space="0" w:color="auto"/>
            </w:tcBorders>
            <w:vAlign w:val="bottom"/>
          </w:tcPr>
          <w:p w14:paraId="7FE1C828" w14:textId="77777777" w:rsidR="00B81226" w:rsidRDefault="00B82AC2">
            <w:pPr>
              <w:pStyle w:val="P68B1DB1-TableParagraph73"/>
              <w:spacing w:before="108"/>
              <w:ind w:left="85"/>
              <w:jc w:val="both"/>
              <w:rPr>
                <w:bCs/>
              </w:rPr>
            </w:pPr>
            <w:r>
              <w:t xml:space="preserve">Kriisinratkaisunkestävä sopimus </w:t>
            </w:r>
          </w:p>
          <w:p w14:paraId="7FE1C829" w14:textId="77777777" w:rsidR="00B81226" w:rsidRDefault="00B82AC2">
            <w:pPr>
              <w:pStyle w:val="P68B1DB1-TableParagraph40"/>
              <w:spacing w:before="108"/>
              <w:ind w:left="85"/>
              <w:jc w:val="both"/>
            </w:pPr>
            <w:r>
              <w:t>Ilmoittamisessa käytetään seuraavia arvoja:</w:t>
            </w:r>
          </w:p>
          <w:p w14:paraId="7FE1C82A" w14:textId="6A33252E" w:rsidR="00B81226" w:rsidRDefault="00B82AC2">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”Kyllä” – jos raportoiva yhteisö on arvioinut sopimuksen kriisinratkaisunkestäväksi</w:t>
            </w:r>
            <w:r>
              <w:rPr>
                <w:rStyle w:val="FootnoteReference"/>
                <w:rFonts w:ascii="Times New Roman" w:eastAsia="Times New Roman" w:hAnsi="Times New Roman" w:cs="Times New Roman"/>
              </w:rPr>
              <w:footnoteReference w:id="32"/>
            </w:r>
            <w:r>
              <w:rPr>
                <w:rFonts w:ascii="Times New Roman" w:eastAsia="Times New Roman" w:hAnsi="Times New Roman" w:cs="Times New Roman"/>
                <w:sz w:val="20"/>
                <w:szCs w:val="20"/>
              </w:rPr>
              <w:t>.</w:t>
            </w:r>
          </w:p>
          <w:p w14:paraId="7FE1C82B" w14:textId="47263BD7" w:rsidR="00B81226" w:rsidRDefault="00B82AC2">
            <w:pPr>
              <w:pStyle w:val="P68B1DB1-TableParagraph40"/>
              <w:spacing w:before="108"/>
              <w:ind w:left="85"/>
              <w:jc w:val="both"/>
            </w:pPr>
            <w:r>
              <w:t>”Ei” – jos raportoiva yhteisö on arvioinut sopimuksen kriisinratkaisun kestämättömäksi.</w:t>
            </w:r>
          </w:p>
          <w:p w14:paraId="7FE1C82C" w14:textId="77777777" w:rsidR="00B81226" w:rsidRDefault="00B82AC2">
            <w:pPr>
              <w:pStyle w:val="P68B1DB1-TableParagraph40"/>
              <w:spacing w:before="108"/>
              <w:ind w:left="85"/>
              <w:jc w:val="both"/>
            </w:pPr>
            <w:r>
              <w:t>”Ei arvioitu” – jos tietoja ei ole saatavilla.</w:t>
            </w:r>
          </w:p>
          <w:p w14:paraId="7FE1C82D" w14:textId="77777777" w:rsidR="00B81226" w:rsidRDefault="00B82AC2">
            <w:pPr>
              <w:pStyle w:val="P68B1DB1-TableParagraph40"/>
              <w:spacing w:before="108"/>
              <w:ind w:left="85"/>
              <w:jc w:val="both"/>
              <w:rPr>
                <w:b/>
                <w:bCs/>
                <w:i/>
                <w:iCs/>
                <w:u w:val="single"/>
              </w:rPr>
            </w:pPr>
            <w:r>
              <w:t xml:space="preserve">Ilmoitetaan ainoastaan välittäjien osalta. Ilmoitetaan ”Y” kaikkien ETA-lainsäädännön mukaisten sopimusten osalta.  </w:t>
            </w:r>
          </w:p>
        </w:tc>
      </w:tr>
      <w:tr w:rsidR="00B81226" w14:paraId="7FE1C833" w14:textId="77777777">
        <w:tc>
          <w:tcPr>
            <w:tcW w:w="1183" w:type="dxa"/>
            <w:tcBorders>
              <w:top w:val="single" w:sz="8" w:space="0" w:color="auto"/>
              <w:bottom w:val="single" w:sz="8" w:space="0" w:color="auto"/>
              <w:right w:val="single" w:sz="8" w:space="0" w:color="auto"/>
            </w:tcBorders>
            <w:vAlign w:val="center"/>
          </w:tcPr>
          <w:p w14:paraId="7FE1C82F" w14:textId="77777777" w:rsidR="00B81226" w:rsidRDefault="00B82AC2">
            <w:pPr>
              <w:pStyle w:val="P68B1DB1-Normal31"/>
            </w:pPr>
            <w:r>
              <w:t>0150–0200</w:t>
            </w:r>
          </w:p>
        </w:tc>
        <w:tc>
          <w:tcPr>
            <w:tcW w:w="7832" w:type="dxa"/>
            <w:tcBorders>
              <w:top w:val="single" w:sz="8" w:space="0" w:color="auto"/>
              <w:left w:val="single" w:sz="8" w:space="0" w:color="auto"/>
              <w:bottom w:val="single" w:sz="8" w:space="0" w:color="auto"/>
            </w:tcBorders>
            <w:vAlign w:val="bottom"/>
          </w:tcPr>
          <w:p w14:paraId="7FE1C830" w14:textId="77777777" w:rsidR="00B81226" w:rsidRDefault="00B82AC2">
            <w:pPr>
              <w:pStyle w:val="P68B1DB1-TableParagraph73"/>
              <w:spacing w:before="108"/>
              <w:ind w:left="85"/>
              <w:jc w:val="both"/>
            </w:pPr>
            <w:r>
              <w:t>Raportointiyhteisön kannalta merkitykselliset valuutat</w:t>
            </w:r>
          </w:p>
          <w:p w14:paraId="7FE1C831" w14:textId="77777777" w:rsidR="00B81226" w:rsidRDefault="00B82AC2">
            <w:pPr>
              <w:pStyle w:val="P68B1DB1-TableParagraph40"/>
              <w:spacing w:before="108"/>
              <w:ind w:left="85"/>
              <w:jc w:val="both"/>
            </w:pPr>
            <w:r>
              <w:t>Valuutat, joissa raportoivan yhteisön liiketoimet hyväksytään ja kirjataan järjestelmässä. Ainoastaan valuutat, joiden osuus raportoivan laitoksen rahoitusmarkkinoiden infrastruktuurin/välittäjän kaikista operaatioista on vähintään 5 prosenttia, ilmoitetaan.</w:t>
            </w:r>
          </w:p>
          <w:p w14:paraId="7FE1C832" w14:textId="77777777" w:rsidR="00B81226" w:rsidRDefault="00B82AC2">
            <w:pPr>
              <w:pStyle w:val="P68B1DB1-TableParagraph40"/>
              <w:spacing w:before="108"/>
              <w:ind w:left="85"/>
              <w:jc w:val="both"/>
              <w:rPr>
                <w:b/>
              </w:rPr>
            </w:pPr>
            <w:r>
              <w:t>Sarake 150–200 ei sulje toisiaan pois. ”Muut valuutat” (sarake 0170): Valuutan (valuuttojen) kolmikirjaiminen ISO 4217–3 -koodi.</w:t>
            </w:r>
          </w:p>
        </w:tc>
      </w:tr>
      <w:tr w:rsidR="00B81226" w14:paraId="7FE1C837" w14:textId="77777777">
        <w:tc>
          <w:tcPr>
            <w:tcW w:w="1183" w:type="dxa"/>
            <w:tcBorders>
              <w:top w:val="single" w:sz="8" w:space="0" w:color="auto"/>
              <w:bottom w:val="single" w:sz="8" w:space="0" w:color="auto"/>
              <w:right w:val="single" w:sz="8" w:space="0" w:color="auto"/>
            </w:tcBorders>
            <w:vAlign w:val="center"/>
          </w:tcPr>
          <w:p w14:paraId="7FE1C834" w14:textId="77777777" w:rsidR="00B81226" w:rsidRDefault="00B82AC2">
            <w:pPr>
              <w:pStyle w:val="P68B1DB1-Normal31"/>
            </w:pPr>
            <w:r>
              <w:t>0210</w:t>
            </w:r>
          </w:p>
        </w:tc>
        <w:tc>
          <w:tcPr>
            <w:tcW w:w="7832" w:type="dxa"/>
            <w:tcBorders>
              <w:top w:val="single" w:sz="8" w:space="0" w:color="auto"/>
              <w:left w:val="single" w:sz="8" w:space="0" w:color="auto"/>
              <w:bottom w:val="single" w:sz="8" w:space="0" w:color="auto"/>
            </w:tcBorders>
            <w:vAlign w:val="bottom"/>
          </w:tcPr>
          <w:p w14:paraId="7FE1C835" w14:textId="77777777" w:rsidR="00B81226" w:rsidRDefault="00B82AC2">
            <w:pPr>
              <w:pStyle w:val="P68B1DB1-TableParagraph73"/>
              <w:spacing w:before="108"/>
              <w:ind w:left="85"/>
              <w:jc w:val="both"/>
            </w:pPr>
            <w:r>
              <w:t>Rahoitusmarkkinainfrastruktuurille tai välittäjälle tarjottavat palvelut</w:t>
            </w:r>
          </w:p>
          <w:p w14:paraId="7FE1C836" w14:textId="3FA389EC" w:rsidR="00B81226" w:rsidRDefault="00B82AC2">
            <w:pPr>
              <w:pStyle w:val="P68B1DB1-TableParagraph40"/>
              <w:spacing w:before="108"/>
              <w:ind w:left="85"/>
              <w:jc w:val="both"/>
            </w:pPr>
            <w:r>
              <w:t xml:space="preserve">Ilmoitetaan vain, kun käyttäjä tarjoaa palveluja rahoitusmarkkinoiden infrastruktuurille/välittäjälle, kuten hinnantarjoajalle, likviditeetin tarjoajalle, käteismaksutoimitukselle (ilmoitetaan valuutta), säilytyspalvelulle, epäsuoralle pääsylle (ulkomaisille) arvopaperikeskuksille, sijoitusvastapuolille tai muille. </w:t>
            </w:r>
          </w:p>
        </w:tc>
      </w:tr>
      <w:tr w:rsidR="00B81226" w14:paraId="7FE1C83B" w14:textId="77777777">
        <w:tc>
          <w:tcPr>
            <w:tcW w:w="1183" w:type="dxa"/>
            <w:tcBorders>
              <w:top w:val="single" w:sz="8" w:space="0" w:color="auto"/>
              <w:bottom w:val="single" w:sz="8" w:space="0" w:color="auto"/>
              <w:right w:val="single" w:sz="8" w:space="0" w:color="auto"/>
            </w:tcBorders>
            <w:vAlign w:val="center"/>
          </w:tcPr>
          <w:p w14:paraId="7FE1C838" w14:textId="77777777" w:rsidR="00B81226" w:rsidRDefault="00B82AC2">
            <w:pPr>
              <w:pStyle w:val="P68B1DB1-Normal31"/>
            </w:pPr>
            <w:r>
              <w:t>0220</w:t>
            </w:r>
          </w:p>
        </w:tc>
        <w:tc>
          <w:tcPr>
            <w:tcW w:w="7832" w:type="dxa"/>
            <w:tcBorders>
              <w:top w:val="single" w:sz="8" w:space="0" w:color="auto"/>
              <w:left w:val="single" w:sz="8" w:space="0" w:color="auto"/>
              <w:bottom w:val="single" w:sz="8" w:space="0" w:color="auto"/>
            </w:tcBorders>
            <w:vAlign w:val="bottom"/>
          </w:tcPr>
          <w:p w14:paraId="7FE1C839" w14:textId="77777777" w:rsidR="00B81226" w:rsidRDefault="00B82AC2">
            <w:pPr>
              <w:pStyle w:val="P68B1DB1-TableParagraph73"/>
              <w:spacing w:before="108"/>
              <w:ind w:left="85"/>
              <w:jc w:val="both"/>
            </w:pPr>
            <w:r>
              <w:t>Rahoitusmarkkinoiden infrastruktuurin/välittäjän tarjoama palvelu</w:t>
            </w:r>
          </w:p>
          <w:p w14:paraId="7FE1C83A" w14:textId="77777777" w:rsidR="00B81226" w:rsidRDefault="00B82AC2">
            <w:pPr>
              <w:pStyle w:val="P68B1DB1-TableParagraph40"/>
              <w:spacing w:before="108"/>
              <w:ind w:left="85"/>
              <w:jc w:val="both"/>
            </w:pPr>
            <w:r>
              <w:t>Palvelut, joita rahoitusmarkkinoiden infrastruktuuri/välittäjä tarjoaa raportoivalle yhteisölle. Ilmoitetaan, jos 0040 on ”NA”.</w:t>
            </w:r>
          </w:p>
        </w:tc>
      </w:tr>
      <w:tr w:rsidR="00B81226" w14:paraId="7FE1C83E" w14:textId="77777777">
        <w:tc>
          <w:tcPr>
            <w:tcW w:w="1183" w:type="dxa"/>
            <w:tcBorders>
              <w:top w:val="single" w:sz="8" w:space="0" w:color="auto"/>
              <w:bottom w:val="single" w:sz="8" w:space="0" w:color="auto"/>
              <w:right w:val="single" w:sz="8" w:space="0" w:color="auto"/>
            </w:tcBorders>
            <w:vAlign w:val="center"/>
          </w:tcPr>
          <w:p w14:paraId="7FE1C83C" w14:textId="77777777" w:rsidR="00B81226" w:rsidRDefault="00B82AC2">
            <w:pPr>
              <w:pStyle w:val="P68B1DB1-Normal74"/>
            </w:pPr>
            <w:r>
              <w:t>0230–0250</w:t>
            </w:r>
          </w:p>
        </w:tc>
        <w:tc>
          <w:tcPr>
            <w:tcW w:w="7832" w:type="dxa"/>
            <w:tcBorders>
              <w:top w:val="single" w:sz="8" w:space="0" w:color="auto"/>
              <w:left w:val="single" w:sz="8" w:space="0" w:color="auto"/>
              <w:bottom w:val="single" w:sz="8" w:space="0" w:color="auto"/>
            </w:tcBorders>
            <w:vAlign w:val="bottom"/>
          </w:tcPr>
          <w:p w14:paraId="7FE1C83D" w14:textId="77777777" w:rsidR="00B81226" w:rsidRDefault="00B82AC2">
            <w:pPr>
              <w:pStyle w:val="P68B1DB1-TableParagraph75"/>
              <w:spacing w:before="108"/>
              <w:ind w:left="85"/>
              <w:jc w:val="both"/>
            </w:pPr>
            <w:r>
              <w:t>Palveluntarjoajat</w:t>
            </w:r>
          </w:p>
        </w:tc>
      </w:tr>
      <w:tr w:rsidR="00B81226" w14:paraId="7FE1C843" w14:textId="77777777">
        <w:tc>
          <w:tcPr>
            <w:tcW w:w="1183" w:type="dxa"/>
            <w:tcBorders>
              <w:top w:val="single" w:sz="8" w:space="0" w:color="auto"/>
              <w:bottom w:val="single" w:sz="8" w:space="0" w:color="auto"/>
              <w:right w:val="single" w:sz="8" w:space="0" w:color="auto"/>
            </w:tcBorders>
            <w:vAlign w:val="center"/>
          </w:tcPr>
          <w:p w14:paraId="7FE1C83F" w14:textId="77777777" w:rsidR="00B81226" w:rsidRDefault="00B82AC2">
            <w:pPr>
              <w:pStyle w:val="P68B1DB1-Normal31"/>
            </w:pPr>
            <w:r>
              <w:t>0230–0250</w:t>
            </w:r>
          </w:p>
        </w:tc>
        <w:tc>
          <w:tcPr>
            <w:tcW w:w="7832" w:type="dxa"/>
            <w:tcBorders>
              <w:top w:val="single" w:sz="8" w:space="0" w:color="auto"/>
              <w:left w:val="single" w:sz="8" w:space="0" w:color="auto"/>
              <w:bottom w:val="single" w:sz="8" w:space="0" w:color="auto"/>
            </w:tcBorders>
            <w:vAlign w:val="bottom"/>
          </w:tcPr>
          <w:p w14:paraId="7FE1C840" w14:textId="77777777" w:rsidR="00B81226" w:rsidRDefault="00B82AC2">
            <w:pPr>
              <w:pStyle w:val="P68B1DB1-TableParagraph73"/>
              <w:spacing w:before="108"/>
              <w:ind w:left="85"/>
              <w:jc w:val="both"/>
            </w:pPr>
            <w:r>
              <w:t>Viestintäpalvelujen tarjoajat</w:t>
            </w:r>
          </w:p>
          <w:p w14:paraId="7FE1C841" w14:textId="7B818514" w:rsidR="00B81226" w:rsidRDefault="00B82AC2">
            <w:pPr>
              <w:pStyle w:val="P68B1DB1-TableParagraph40"/>
              <w:spacing w:before="108"/>
              <w:ind w:left="85"/>
              <w:jc w:val="both"/>
            </w:pPr>
            <w:r>
              <w:t xml:space="preserve">Viestintäpalvelujen tarjoajat, joita laitos käyttää päästäkseen rahoitusmarkkinoiden infrastruktuuriin. Sarakkeet 230–250 eivät sulje toisiaan pois. </w:t>
            </w:r>
          </w:p>
          <w:p w14:paraId="32DB4B00" w14:textId="3747D290" w:rsidR="00B81226" w:rsidRDefault="00B82AC2">
            <w:pPr>
              <w:pStyle w:val="P68B1DB1-TableParagraph40"/>
              <w:spacing w:before="108"/>
              <w:ind w:left="85"/>
              <w:jc w:val="both"/>
            </w:pPr>
            <w:r>
              <w:t>Raportti ”FMI propriety”-c0230 ja SWIFT – c0240:</w:t>
            </w:r>
          </w:p>
          <w:p w14:paraId="1D0FFCBE" w14:textId="373924D7" w:rsidR="00B81226" w:rsidRDefault="00B82AC2">
            <w:pPr>
              <w:pStyle w:val="P68B1DB1-TableParagraph40"/>
              <w:numPr>
                <w:ilvl w:val="0"/>
                <w:numId w:val="181"/>
              </w:numPr>
              <w:spacing w:before="108"/>
              <w:jc w:val="both"/>
            </w:pPr>
            <w:r>
              <w:t>Kyllä</w:t>
            </w:r>
          </w:p>
          <w:p w14:paraId="26472FE9" w14:textId="3ED80557" w:rsidR="00B81226" w:rsidRDefault="00B82AC2">
            <w:pPr>
              <w:pStyle w:val="P68B1DB1-TableParagraph40"/>
              <w:numPr>
                <w:ilvl w:val="0"/>
                <w:numId w:val="181"/>
              </w:numPr>
              <w:spacing w:before="108"/>
              <w:jc w:val="both"/>
            </w:pPr>
            <w:r>
              <w:t>Nro</w:t>
            </w:r>
          </w:p>
          <w:p w14:paraId="7FE1C842" w14:textId="0C70DB31" w:rsidR="00B81226" w:rsidRDefault="00B82AC2">
            <w:pPr>
              <w:pStyle w:val="P68B1DB1-TableParagraph40"/>
              <w:spacing w:before="108"/>
              <w:ind w:left="85"/>
              <w:jc w:val="both"/>
            </w:pPr>
            <w:r>
              <w:t>”Muut viestintäpalvelujen tarjoajat” – c.0250: ilmoita palveluntarjoajan kaupallinen nimi.</w:t>
            </w:r>
          </w:p>
        </w:tc>
      </w:tr>
      <w:tr w:rsidR="00B81226" w14:paraId="7FE1C846" w14:textId="77777777">
        <w:tc>
          <w:tcPr>
            <w:tcW w:w="1183" w:type="dxa"/>
            <w:tcBorders>
              <w:top w:val="single" w:sz="8" w:space="0" w:color="auto"/>
              <w:bottom w:val="single" w:sz="8" w:space="0" w:color="auto"/>
              <w:right w:val="single" w:sz="8" w:space="0" w:color="auto"/>
            </w:tcBorders>
            <w:vAlign w:val="center"/>
          </w:tcPr>
          <w:p w14:paraId="7FE1C844" w14:textId="77777777" w:rsidR="00B81226" w:rsidRDefault="00B82AC2">
            <w:pPr>
              <w:pStyle w:val="P68B1DB1-Normal74"/>
            </w:pPr>
            <w:r>
              <w:t>0260–0270</w:t>
            </w:r>
          </w:p>
        </w:tc>
        <w:tc>
          <w:tcPr>
            <w:tcW w:w="7832" w:type="dxa"/>
            <w:tcBorders>
              <w:top w:val="single" w:sz="8" w:space="0" w:color="auto"/>
              <w:left w:val="single" w:sz="8" w:space="0" w:color="auto"/>
              <w:bottom w:val="single" w:sz="8" w:space="0" w:color="auto"/>
            </w:tcBorders>
            <w:vAlign w:val="bottom"/>
          </w:tcPr>
          <w:p w14:paraId="7FE1C845" w14:textId="77777777" w:rsidR="00B81226" w:rsidRDefault="00B82AC2">
            <w:pPr>
              <w:pStyle w:val="P68B1DB1-TableParagraph75"/>
              <w:spacing w:before="108"/>
              <w:ind w:left="85"/>
              <w:jc w:val="both"/>
            </w:pPr>
            <w:r>
              <w:t>Muut palveluntarjoajat, jotka mahdollistavat pääsyn rahoitusmarkkinoiden infrastruktuureihin:</w:t>
            </w:r>
          </w:p>
        </w:tc>
      </w:tr>
      <w:tr w:rsidR="00B81226" w14:paraId="7FE1C84A" w14:textId="77777777">
        <w:tc>
          <w:tcPr>
            <w:tcW w:w="1183" w:type="dxa"/>
            <w:tcBorders>
              <w:top w:val="single" w:sz="8" w:space="0" w:color="auto"/>
              <w:bottom w:val="single" w:sz="8" w:space="0" w:color="auto"/>
              <w:right w:val="single" w:sz="8" w:space="0" w:color="auto"/>
            </w:tcBorders>
            <w:vAlign w:val="center"/>
          </w:tcPr>
          <w:p w14:paraId="7FE1C847" w14:textId="77777777" w:rsidR="00B81226" w:rsidRDefault="00B82AC2">
            <w:pPr>
              <w:pStyle w:val="P68B1DB1-Normal31"/>
            </w:pPr>
            <w:r>
              <w:t>0260</w:t>
            </w:r>
          </w:p>
        </w:tc>
        <w:tc>
          <w:tcPr>
            <w:tcW w:w="7832" w:type="dxa"/>
            <w:tcBorders>
              <w:top w:val="single" w:sz="8" w:space="0" w:color="auto"/>
              <w:left w:val="single" w:sz="8" w:space="0" w:color="auto"/>
              <w:bottom w:val="single" w:sz="8" w:space="0" w:color="auto"/>
            </w:tcBorders>
            <w:vAlign w:val="bottom"/>
          </w:tcPr>
          <w:p w14:paraId="7FE1C848" w14:textId="77777777" w:rsidR="00B81226" w:rsidRDefault="00B82AC2">
            <w:pPr>
              <w:pStyle w:val="P68B1DB1-TableParagraph73"/>
              <w:spacing w:before="108"/>
              <w:ind w:left="85"/>
            </w:pPr>
            <w:r>
              <w:t xml:space="preserve">Muiden palveluntarjoajien nimet </w:t>
            </w:r>
          </w:p>
          <w:p w14:paraId="7FE1C849" w14:textId="77777777" w:rsidR="00B81226" w:rsidRDefault="00B82AC2">
            <w:pPr>
              <w:pStyle w:val="P68B1DB1-TableParagraph40"/>
              <w:spacing w:before="108"/>
              <w:ind w:left="85"/>
              <w:jc w:val="both"/>
              <w:rPr>
                <w:b/>
              </w:rPr>
            </w:pPr>
            <w:r>
              <w:t xml:space="preserve">Muut palveluntarjoajat kuin välittäjä, jotka ovat käyttäjän kannalta ehdottoman välttämättömiä, tapauksen mukaan: maksupankki, käteisen kirjeenvaihtaja/nostro-agenti, likviditeetin tarjoaja.  </w:t>
            </w:r>
            <w:r>
              <w:br/>
              <w:t>Toimittajien kauppanimi.</w:t>
            </w:r>
          </w:p>
        </w:tc>
      </w:tr>
      <w:tr w:rsidR="00B81226" w14:paraId="7FE1C84E" w14:textId="77777777">
        <w:tc>
          <w:tcPr>
            <w:tcW w:w="1183" w:type="dxa"/>
            <w:tcBorders>
              <w:top w:val="single" w:sz="8" w:space="0" w:color="auto"/>
              <w:bottom w:val="single" w:sz="8" w:space="0" w:color="auto"/>
              <w:right w:val="single" w:sz="8" w:space="0" w:color="auto"/>
            </w:tcBorders>
            <w:vAlign w:val="center"/>
          </w:tcPr>
          <w:p w14:paraId="7FE1C84B" w14:textId="77777777" w:rsidR="00B81226" w:rsidRDefault="00B82AC2">
            <w:pPr>
              <w:pStyle w:val="P68B1DB1-Normal31"/>
            </w:pPr>
            <w:r>
              <w:t>0270</w:t>
            </w:r>
          </w:p>
        </w:tc>
        <w:tc>
          <w:tcPr>
            <w:tcW w:w="7832" w:type="dxa"/>
            <w:tcBorders>
              <w:top w:val="single" w:sz="8" w:space="0" w:color="auto"/>
              <w:left w:val="single" w:sz="8" w:space="0" w:color="auto"/>
              <w:bottom w:val="single" w:sz="8" w:space="0" w:color="auto"/>
            </w:tcBorders>
            <w:vAlign w:val="bottom"/>
          </w:tcPr>
          <w:p w14:paraId="7FE1C84C" w14:textId="77777777" w:rsidR="00B81226" w:rsidRDefault="00B82AC2">
            <w:pPr>
              <w:pStyle w:val="P68B1DB1-TableParagraph73"/>
              <w:spacing w:before="108"/>
              <w:ind w:left="85"/>
              <w:jc w:val="both"/>
            </w:pPr>
            <w:r>
              <w:t xml:space="preserve">Lisäpalvelut </w:t>
            </w:r>
          </w:p>
          <w:p w14:paraId="7FE1C84D" w14:textId="77777777" w:rsidR="00B81226" w:rsidRDefault="00B82AC2">
            <w:pPr>
              <w:pStyle w:val="P68B1DB1-TableParagraph40"/>
              <w:spacing w:before="108"/>
              <w:ind w:left="85"/>
              <w:jc w:val="both"/>
              <w:rPr>
                <w:b/>
              </w:rPr>
            </w:pPr>
            <w:r>
              <w:t xml:space="preserve">Palveluntarjoajien palvelut, jotka on ilmoitettu lomakkeessa 0260. </w:t>
            </w:r>
          </w:p>
        </w:tc>
      </w:tr>
      <w:tr w:rsidR="00B81226" w14:paraId="7FE1C855" w14:textId="77777777">
        <w:tc>
          <w:tcPr>
            <w:tcW w:w="1183" w:type="dxa"/>
            <w:tcBorders>
              <w:top w:val="single" w:sz="8" w:space="0" w:color="auto"/>
              <w:bottom w:val="single" w:sz="8" w:space="0" w:color="auto"/>
              <w:right w:val="single" w:sz="8" w:space="0" w:color="auto"/>
            </w:tcBorders>
            <w:vAlign w:val="center"/>
          </w:tcPr>
          <w:p w14:paraId="7FE1C84F" w14:textId="77777777" w:rsidR="00B81226" w:rsidRDefault="00B82AC2">
            <w:pPr>
              <w:pStyle w:val="P68B1DB1-Normal31"/>
            </w:pPr>
            <w:r>
              <w:t>0280</w:t>
            </w:r>
          </w:p>
        </w:tc>
        <w:tc>
          <w:tcPr>
            <w:tcW w:w="7832" w:type="dxa"/>
            <w:tcBorders>
              <w:top w:val="single" w:sz="8" w:space="0" w:color="auto"/>
              <w:left w:val="single" w:sz="8" w:space="0" w:color="auto"/>
              <w:bottom w:val="single" w:sz="8" w:space="0" w:color="auto"/>
            </w:tcBorders>
            <w:vAlign w:val="bottom"/>
          </w:tcPr>
          <w:p w14:paraId="7FE1C850" w14:textId="77777777" w:rsidR="00B81226" w:rsidRDefault="00B82AC2">
            <w:pPr>
              <w:pStyle w:val="P68B1DB1-TableParagraph73"/>
              <w:spacing w:before="108"/>
              <w:ind w:left="85"/>
              <w:jc w:val="both"/>
            </w:pPr>
            <w:r>
              <w:t>Rahoitusmarkkinoiden infrastruktuurin yhteyspiste/välittäjä</w:t>
            </w:r>
          </w:p>
          <w:p w14:paraId="7FE1C851" w14:textId="77777777" w:rsidR="00B81226" w:rsidRDefault="00B82AC2">
            <w:pPr>
              <w:pStyle w:val="P68B1DB1-TableParagraph40"/>
              <w:spacing w:before="108"/>
              <w:ind w:left="85"/>
              <w:jc w:val="both"/>
            </w:pPr>
            <w:r>
              <w:t>Rahoitusmarkkinoiden infrastruktuurin yhteyspiste raportoivan yhteisön kriisinratkaisun yhteydessä. Mietintö:</w:t>
            </w:r>
          </w:p>
          <w:p w14:paraId="7FE1C852" w14:textId="77777777" w:rsidR="00B81226" w:rsidRDefault="00B82AC2">
            <w:pPr>
              <w:pStyle w:val="P68B1DB1-TableParagraph40"/>
              <w:numPr>
                <w:ilvl w:val="0"/>
                <w:numId w:val="181"/>
              </w:numPr>
              <w:ind w:left="799" w:hanging="357"/>
              <w:jc w:val="both"/>
            </w:pPr>
            <w:r>
              <w:t>Nimi</w:t>
            </w:r>
          </w:p>
          <w:p w14:paraId="7FE1C853" w14:textId="77777777" w:rsidR="00B81226" w:rsidRDefault="00B82AC2">
            <w:pPr>
              <w:pStyle w:val="P68B1DB1-TableParagraph40"/>
              <w:numPr>
                <w:ilvl w:val="0"/>
                <w:numId w:val="181"/>
              </w:numPr>
              <w:ind w:left="799" w:hanging="357"/>
              <w:jc w:val="both"/>
            </w:pPr>
            <w:r>
              <w:t>Tehtävänimike</w:t>
            </w:r>
          </w:p>
          <w:p w14:paraId="7FE1C854" w14:textId="5FE95CD9" w:rsidR="00B81226" w:rsidRDefault="00B82AC2">
            <w:pPr>
              <w:pStyle w:val="P68B1DB1-TableParagraph40"/>
              <w:numPr>
                <w:ilvl w:val="0"/>
                <w:numId w:val="181"/>
              </w:numPr>
              <w:ind w:left="799" w:hanging="357"/>
              <w:jc w:val="both"/>
            </w:pPr>
            <w:r>
              <w:lastRenderedPageBreak/>
              <w:t>Sähköpostiosoite</w:t>
            </w:r>
          </w:p>
        </w:tc>
      </w:tr>
    </w:tbl>
    <w:p w14:paraId="7FE1C856" w14:textId="77777777" w:rsidR="00B81226" w:rsidRDefault="00B82AC2">
      <w:pPr>
        <w:pStyle w:val="P68B1DB1-Normal78"/>
      </w:pPr>
      <w:r>
        <w:lastRenderedPageBreak/>
        <w:br/>
      </w:r>
      <w:r>
        <w:br/>
      </w:r>
    </w:p>
    <w:p w14:paraId="7FE1C857" w14:textId="77777777" w:rsidR="00B81226" w:rsidRDefault="00B82AC2">
      <w:pPr>
        <w:spacing w:line="257" w:lineRule="auto"/>
        <w:jc w:val="both"/>
        <w:rPr>
          <w:rFonts w:ascii="Times New Roman" w:eastAsia="Verdana" w:hAnsi="Times New Roman" w:cs="Times New Roman"/>
          <w:sz w:val="20"/>
          <w:szCs w:val="20"/>
        </w:rPr>
      </w:pPr>
      <w:hyperlink r:id="rId12" w:anchor="_ftnref1" w:history="1">
        <w:r>
          <w:rPr>
            <w:rStyle w:val="Hyperlink"/>
            <w:rFonts w:ascii="Times New Roman" w:eastAsia="Verdana" w:hAnsi="Times New Roman" w:cs="Times New Roman"/>
            <w:sz w:val="20"/>
            <w:szCs w:val="20"/>
            <w:vertAlign w:val="superscript"/>
          </w:rPr>
          <w:t>[1]</w:t>
        </w:r>
      </w:hyperlink>
      <w:r>
        <w:rPr>
          <w:rFonts w:ascii="Times New Roman" w:eastAsia="Verdana" w:hAnsi="Times New Roman" w:cs="Times New Roman"/>
          <w:sz w:val="20"/>
          <w:szCs w:val="20"/>
        </w:rPr>
        <w:t xml:space="preserve"> Kuten EKP:n RIAD-tietokannassa käytettyä rahalaitostunnusta (MFI ID).</w:t>
      </w:r>
    </w:p>
    <w:p w14:paraId="7FE1C858" w14:textId="77777777" w:rsidR="00B81226" w:rsidRDefault="00B82AC2">
      <w:pPr>
        <w:spacing w:line="257" w:lineRule="auto"/>
        <w:jc w:val="both"/>
        <w:rPr>
          <w:rFonts w:ascii="Times New Roman" w:eastAsia="Verdana" w:hAnsi="Times New Roman" w:cs="Times New Roman"/>
          <w:sz w:val="20"/>
          <w:szCs w:val="20"/>
        </w:rPr>
      </w:pPr>
      <w:hyperlink r:id="rId13" w:anchor="_ftnref2" w:history="1">
        <w:r>
          <w:rPr>
            <w:rStyle w:val="Hyperlink"/>
            <w:rFonts w:ascii="Times New Roman" w:eastAsia="Verdana" w:hAnsi="Times New Roman" w:cs="Times New Roman"/>
            <w:sz w:val="20"/>
            <w:szCs w:val="20"/>
            <w:vertAlign w:val="superscript"/>
          </w:rPr>
          <w:t>[2]</w:t>
        </w:r>
      </w:hyperlink>
      <w:r>
        <w:rPr>
          <w:rFonts w:ascii="Times New Roman" w:eastAsia="Verdana" w:hAnsi="Times New Roman" w:cs="Times New Roman"/>
          <w:sz w:val="20"/>
          <w:szCs w:val="20"/>
        </w:rPr>
        <w:t xml:space="preserve"> EKP, Glossary of terms related to payment, clearing and settlement systems, joulukuu 2009.</w:t>
      </w:r>
    </w:p>
    <w:p w14:paraId="7FE1C859" w14:textId="77777777" w:rsidR="00B81226" w:rsidRDefault="00B82AC2">
      <w:pPr>
        <w:spacing w:line="257" w:lineRule="auto"/>
        <w:jc w:val="both"/>
        <w:rPr>
          <w:rFonts w:ascii="Times New Roman" w:eastAsia="Verdana" w:hAnsi="Times New Roman" w:cs="Times New Roman"/>
          <w:sz w:val="20"/>
          <w:szCs w:val="20"/>
        </w:rPr>
      </w:pPr>
      <w:hyperlink r:id="rId14" w:anchor="_ftnref3" w:history="1">
        <w:r>
          <w:rPr>
            <w:rStyle w:val="Hyperlink"/>
            <w:rFonts w:ascii="Times New Roman" w:eastAsia="Verdana" w:hAnsi="Times New Roman" w:cs="Times New Roman"/>
            <w:sz w:val="20"/>
            <w:szCs w:val="20"/>
            <w:vertAlign w:val="superscript"/>
          </w:rPr>
          <w:t>[3]</w:t>
        </w:r>
      </w:hyperlink>
      <w:r>
        <w:rPr>
          <w:rFonts w:ascii="Times New Roman" w:eastAsia="Verdana" w:hAnsi="Times New Roman" w:cs="Times New Roman"/>
          <w:sz w:val="20"/>
          <w:szCs w:val="20"/>
        </w:rPr>
        <w:t xml:space="preserve"> Ks. edellinen alaviite.</w:t>
      </w:r>
    </w:p>
    <w:p w14:paraId="7FE1C85A" w14:textId="77777777" w:rsidR="00B81226" w:rsidRDefault="00B82AC2">
      <w:pPr>
        <w:spacing w:line="257" w:lineRule="auto"/>
        <w:jc w:val="both"/>
        <w:rPr>
          <w:rFonts w:ascii="Times New Roman" w:hAnsi="Times New Roman" w:cs="Times New Roman"/>
        </w:rPr>
      </w:pPr>
      <w:hyperlink r:id="rId15" w:anchor="_ftnref4" w:history="1">
        <w:r>
          <w:rPr>
            <w:rStyle w:val="Hyperlink"/>
            <w:rFonts w:ascii="Times New Roman" w:eastAsia="Verdana" w:hAnsi="Times New Roman" w:cs="Times New Roman"/>
            <w:sz w:val="20"/>
            <w:szCs w:val="20"/>
            <w:vertAlign w:val="superscript"/>
          </w:rPr>
          <w:t>[4]</w:t>
        </w:r>
      </w:hyperlink>
      <w:r>
        <w:rPr>
          <w:rFonts w:ascii="Times New Roman" w:eastAsia="Verdana" w:hAnsi="Times New Roman" w:cs="Times New Roman"/>
          <w:sz w:val="20"/>
          <w:szCs w:val="20"/>
        </w:rPr>
        <w:t xml:space="preserve"> Kuten EKP:n RIAD-tietokannassa käytettyä rahalaitostunnusta (MFI ID).</w:t>
      </w:r>
    </w:p>
    <w:p w14:paraId="7FE1C8BF" w14:textId="77777777" w:rsidR="00B81226" w:rsidRDefault="00B81226">
      <w:pPr>
        <w:rPr>
          <w:rFonts w:ascii="Times New Roman" w:hAnsi="Times New Roman" w:cs="Times New Roman"/>
        </w:rPr>
      </w:pPr>
    </w:p>
    <w:p w14:paraId="7FE1C8C0" w14:textId="77777777" w:rsidR="00B81226" w:rsidRDefault="00B81226">
      <w:pPr>
        <w:rPr>
          <w:rFonts w:ascii="Times New Roman" w:hAnsi="Times New Roman"/>
          <w:sz w:val="20"/>
          <w:szCs w:val="20"/>
          <w:u w:val="single"/>
        </w:rPr>
      </w:pPr>
    </w:p>
    <w:p w14:paraId="7FE1C8C1" w14:textId="77777777" w:rsidR="00B81226" w:rsidRDefault="00B82AC2">
      <w:pPr>
        <w:pStyle w:val="P68B1DB1-Instructionsberschrift25"/>
        <w:numPr>
          <w:ilvl w:val="1"/>
          <w:numId w:val="49"/>
        </w:numPr>
        <w:ind w:left="357" w:hanging="357"/>
        <w:rPr>
          <w:rFonts w:eastAsia="Calibri"/>
          <w:szCs w:val="20"/>
        </w:rPr>
      </w:pPr>
      <w:bookmarkStart w:id="137" w:name="_Toc208245462"/>
      <w:r>
        <w:t>Z 09.02 – Mittaus kriittisiin ja keskeisiin rahoitusmarkkinoiden infrastruktuureihin (FMI 2)</w:t>
      </w:r>
      <w:bookmarkEnd w:id="137"/>
    </w:p>
    <w:p w14:paraId="7FE1C8C3" w14:textId="77777777" w:rsidR="00B81226" w:rsidRDefault="00B82AC2">
      <w:pPr>
        <w:pStyle w:val="P68B1DB1-InstructionsText279"/>
        <w:numPr>
          <w:ilvl w:val="2"/>
          <w:numId w:val="209"/>
        </w:numPr>
        <w:spacing w:before="0"/>
        <w:ind w:left="1276"/>
      </w:pPr>
      <w:r>
        <w:t>Kriittisiä ja keskeisiä FMI-palveluntarjoajia ovat FMI-palvelut, joita käytetään joko suoraan tai välillisesti ja joiden keskeytyminen voi haitata vakavasti käyttäjän yhden tai useamman kriittisen toiminnon tai ydinliiketoiminta-alueen suorittamista tai estää sen.</w:t>
      </w:r>
    </w:p>
    <w:p w14:paraId="7FE1C8C4" w14:textId="77777777" w:rsidR="00B81226" w:rsidRDefault="00B82AC2">
      <w:pPr>
        <w:pStyle w:val="P68B1DB1-ListParagraph80"/>
        <w:numPr>
          <w:ilvl w:val="2"/>
          <w:numId w:val="209"/>
        </w:numPr>
        <w:ind w:left="1276"/>
      </w:pPr>
      <w:r>
        <w:t>Tässä sivussa ilmoitetaan ainoastaan ne rahoitusmarkkinoiden infrastruktuurit, joita raportoiva yhteisö pitää kriittisinä tai olennaisina kaikissa järjestelmätyypeissä. Älä sisällä muita rahoitusmarkkinoiden infrastruktuureja, jotka eivät ole kriittisiä eivätkä olennaisia.</w:t>
      </w:r>
    </w:p>
    <w:p w14:paraId="7FE1C8C5" w14:textId="77777777" w:rsidR="00B81226" w:rsidRDefault="00B81226">
      <w:pPr>
        <w:pStyle w:val="ListParagraph"/>
        <w:ind w:left="1276"/>
        <w:rPr>
          <w:rFonts w:ascii="Times New Roman" w:eastAsiaTheme="majorEastAsia" w:hAnsi="Times New Roman"/>
          <w:sz w:val="20"/>
          <w:szCs w:val="20"/>
        </w:rPr>
      </w:pPr>
    </w:p>
    <w:p w14:paraId="7FE1C8C6" w14:textId="77777777" w:rsidR="00B81226" w:rsidRDefault="00B82AC2">
      <w:pPr>
        <w:pStyle w:val="P68B1DB1-InstructionsText279"/>
        <w:numPr>
          <w:ilvl w:val="2"/>
          <w:numId w:val="209"/>
        </w:numPr>
        <w:spacing w:before="0"/>
        <w:ind w:left="1276"/>
      </w:pPr>
      <w:r>
        <w:t xml:space="preserve">Kriittisten ja keskeisten rahoitusmarkkinoiden infrastruktuurien nimeämisessä on otettava huomioon mahdollisuus lopettaa osallistuminen samanaikaisesti.  </w:t>
      </w:r>
    </w:p>
    <w:p w14:paraId="7FE1C8C7" w14:textId="77777777" w:rsidR="00B81226" w:rsidRDefault="00B81226">
      <w:pPr>
        <w:pStyle w:val="Instructionsberschrift2"/>
        <w:ind w:left="1434"/>
        <w:rPr>
          <w:rFonts w:ascii="Times New Roman" w:hAnsi="Times New Roman" w:cs="Times New Roman"/>
        </w:rPr>
      </w:pPr>
    </w:p>
    <w:tbl>
      <w:tblPr>
        <w:tblW w:w="9015" w:type="dxa"/>
        <w:tblInd w:w="135" w:type="dxa"/>
        <w:tblLayout w:type="fixed"/>
        <w:tblLook w:val="04A0" w:firstRow="1" w:lastRow="0" w:firstColumn="1" w:lastColumn="0" w:noHBand="0" w:noVBand="1"/>
      </w:tblPr>
      <w:tblGrid>
        <w:gridCol w:w="1183"/>
        <w:gridCol w:w="7832"/>
      </w:tblGrid>
      <w:tr w:rsidR="00B81226" w14:paraId="7FE1C8CA"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C8" w14:textId="77777777" w:rsidR="00B81226" w:rsidRDefault="00B82AC2">
            <w:pPr>
              <w:pStyle w:val="P68B1DB1-TableParagraph17"/>
              <w:spacing w:before="108"/>
              <w:ind w:left="85"/>
            </w:pPr>
            <w:r>
              <w:t xml:space="preserve">Sarakkeet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C9" w14:textId="77777777" w:rsidR="00B81226" w:rsidRDefault="00B82AC2">
            <w:pPr>
              <w:pStyle w:val="P68B1DB1-TableParagraph17"/>
              <w:spacing w:before="108"/>
              <w:ind w:left="85"/>
            </w:pPr>
            <w:r>
              <w:t xml:space="preserve">Ohjeet </w:t>
            </w:r>
          </w:p>
        </w:tc>
      </w:tr>
      <w:tr w:rsidR="00B81226" w14:paraId="7FE1C8CE" w14:textId="77777777">
        <w:tc>
          <w:tcPr>
            <w:tcW w:w="1183" w:type="dxa"/>
            <w:tcBorders>
              <w:top w:val="single" w:sz="8" w:space="0" w:color="1A171C"/>
              <w:bottom w:val="single" w:sz="8" w:space="0" w:color="auto"/>
              <w:right w:val="single" w:sz="8" w:space="0" w:color="auto"/>
            </w:tcBorders>
            <w:vAlign w:val="center"/>
          </w:tcPr>
          <w:p w14:paraId="7FE1C8CB" w14:textId="77777777" w:rsidR="00B81226" w:rsidRDefault="00B82AC2">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CC" w14:textId="77777777" w:rsidR="00B81226" w:rsidRDefault="00B82AC2">
            <w:pPr>
              <w:pStyle w:val="P68B1DB1-TableParagraph73"/>
              <w:spacing w:before="108"/>
              <w:ind w:left="85"/>
              <w:jc w:val="both"/>
            </w:pPr>
            <w:r>
              <w:t>Käyttäjän, rahoitusmarkkinoiden infrastruktuurin, järjestelmän tyypin ja välittäjän yhdistelmää edustava tunnus</w:t>
            </w:r>
          </w:p>
          <w:p w14:paraId="7FE1C8CD" w14:textId="389563D7" w:rsidR="00B81226" w:rsidRDefault="00B82AC2">
            <w:pPr>
              <w:pStyle w:val="P68B1DB1-TableParagraph40"/>
              <w:spacing w:before="108"/>
              <w:ind w:left="85"/>
              <w:jc w:val="both"/>
              <w:rPr>
                <w:b/>
              </w:rPr>
            </w:pPr>
            <w:r>
              <w:t>Riviä kohti käytetään yhtä tunnistetta, jonka on vastattava käyttäjän, rahoitusmarkkinoiden infrastruktuurin, järjestelmän tyypin ja välittäjän yksilöllistä yhdistelmää. Taulukoissa Z 09.01–Z 09.05 on käytettävä samaa tunnistetta, joka vastaa samaa yhdistelmää.</w:t>
            </w:r>
          </w:p>
        </w:tc>
      </w:tr>
      <w:tr w:rsidR="00B81226" w14:paraId="7FE1C8D1" w14:textId="77777777">
        <w:tc>
          <w:tcPr>
            <w:tcW w:w="1183" w:type="dxa"/>
            <w:tcBorders>
              <w:top w:val="single" w:sz="8" w:space="0" w:color="auto"/>
              <w:bottom w:val="single" w:sz="8" w:space="0" w:color="auto"/>
              <w:right w:val="single" w:sz="8" w:space="0" w:color="auto"/>
            </w:tcBorders>
            <w:vAlign w:val="center"/>
          </w:tcPr>
          <w:p w14:paraId="7FE1C8CF" w14:textId="77777777" w:rsidR="00B81226" w:rsidRDefault="00B82AC2">
            <w:pPr>
              <w:pStyle w:val="P68B1DB1-Normal74"/>
            </w:pPr>
            <w:r>
              <w:t>0020–0040</w:t>
            </w:r>
          </w:p>
        </w:tc>
        <w:tc>
          <w:tcPr>
            <w:tcW w:w="7832" w:type="dxa"/>
            <w:tcBorders>
              <w:top w:val="single" w:sz="8" w:space="0" w:color="auto"/>
              <w:left w:val="single" w:sz="8" w:space="0" w:color="auto"/>
              <w:bottom w:val="single" w:sz="8" w:space="0" w:color="auto"/>
            </w:tcBorders>
            <w:vAlign w:val="bottom"/>
          </w:tcPr>
          <w:p w14:paraId="7FE1C8D0" w14:textId="77777777" w:rsidR="00B81226" w:rsidRDefault="00B82AC2">
            <w:pPr>
              <w:pStyle w:val="P68B1DB1-TableParagraph75"/>
              <w:spacing w:before="108"/>
              <w:ind w:left="85"/>
              <w:jc w:val="both"/>
              <w:rPr>
                <w:bCs/>
                <w:iCs/>
              </w:rPr>
            </w:pPr>
            <w:r>
              <w:t>Kriittiset rahoitusmarkkinoiden infrastruktuurit</w:t>
            </w:r>
          </w:p>
        </w:tc>
      </w:tr>
      <w:tr w:rsidR="00B81226" w14:paraId="7FE1C8D7" w14:textId="77777777">
        <w:tc>
          <w:tcPr>
            <w:tcW w:w="1183" w:type="dxa"/>
            <w:tcBorders>
              <w:top w:val="single" w:sz="8" w:space="0" w:color="auto"/>
              <w:bottom w:val="single" w:sz="8" w:space="0" w:color="auto"/>
              <w:right w:val="single" w:sz="8" w:space="0" w:color="auto"/>
            </w:tcBorders>
            <w:vAlign w:val="center"/>
          </w:tcPr>
          <w:p w14:paraId="7FE1C8D2" w14:textId="77777777" w:rsidR="00B81226" w:rsidRDefault="00B82AC2">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8D3" w14:textId="77777777" w:rsidR="00B81226" w:rsidRDefault="00B82AC2">
            <w:pPr>
              <w:pStyle w:val="P68B1DB1-TableParagraph73"/>
              <w:spacing w:before="108"/>
              <w:ind w:left="85"/>
              <w:jc w:val="both"/>
            </w:pPr>
            <w:r>
              <w:t>Kriittinen rahoitusmarkkinoiden infrastruktuuri: K/E</w:t>
            </w:r>
          </w:p>
          <w:p w14:paraId="7FE1C8D4" w14:textId="4439D1A6" w:rsidR="00B81226" w:rsidRDefault="00B82AC2">
            <w:pPr>
              <w:pStyle w:val="P68B1DB1-TableParagraph40"/>
              <w:numPr>
                <w:ilvl w:val="0"/>
                <w:numId w:val="248"/>
              </w:numPr>
              <w:spacing w:before="108"/>
              <w:jc w:val="both"/>
            </w:pPr>
            <w:r>
              <w:t>”Kyllä”, jos rahoitusmarkkinoiden infrastruktuuri on kriittinen</w:t>
            </w:r>
          </w:p>
          <w:p w14:paraId="7FE1C8D5" w14:textId="792CB29B" w:rsidR="00B81226" w:rsidRDefault="00B82AC2">
            <w:pPr>
              <w:pStyle w:val="P68B1DB1-TableParagraph40"/>
              <w:numPr>
                <w:ilvl w:val="0"/>
                <w:numId w:val="248"/>
              </w:numPr>
              <w:spacing w:before="108"/>
              <w:jc w:val="both"/>
              <w:rPr>
                <w:b/>
                <w:bCs/>
              </w:rPr>
            </w:pPr>
            <w:r>
              <w:t>”Ei”, jos rahoitusmarkkinoiden infrastruktuuri ei ole kriittinen</w:t>
            </w:r>
            <w:r>
              <w:rPr>
                <w:b/>
              </w:rPr>
              <w:t xml:space="preserve"> </w:t>
            </w:r>
          </w:p>
          <w:p w14:paraId="7FE1C8D6" w14:textId="77777777" w:rsidR="00B81226" w:rsidRDefault="00B82AC2">
            <w:pPr>
              <w:pStyle w:val="P68B1DB1-TableParagraph40"/>
              <w:spacing w:before="108"/>
              <w:ind w:left="85"/>
              <w:jc w:val="both"/>
            </w:pPr>
            <w:r>
              <w:t>Sarakkeet 0020 ja 0050 eivät sulje toisiaan pois.</w:t>
            </w:r>
          </w:p>
        </w:tc>
      </w:tr>
      <w:tr w:rsidR="00B81226" w14:paraId="7FE1C8DB" w14:textId="77777777">
        <w:tc>
          <w:tcPr>
            <w:tcW w:w="1183" w:type="dxa"/>
            <w:tcBorders>
              <w:top w:val="single" w:sz="8" w:space="0" w:color="auto"/>
              <w:bottom w:val="single" w:sz="8" w:space="0" w:color="auto"/>
              <w:right w:val="single" w:sz="8" w:space="0" w:color="auto"/>
            </w:tcBorders>
            <w:vAlign w:val="center"/>
          </w:tcPr>
          <w:p w14:paraId="7FE1C8D8" w14:textId="77777777" w:rsidR="00B81226" w:rsidRDefault="00B82AC2">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D9" w14:textId="77777777" w:rsidR="00B81226" w:rsidRDefault="00B82AC2">
            <w:pPr>
              <w:pStyle w:val="P68B1DB1-TableParagraph73"/>
              <w:spacing w:before="108"/>
              <w:ind w:left="85"/>
              <w:jc w:val="both"/>
            </w:pPr>
            <w:r>
              <w:t>Maa</w:t>
            </w:r>
          </w:p>
          <w:p w14:paraId="7FE1C8DA" w14:textId="56240ABE" w:rsidR="00B81226" w:rsidRDefault="00B82AC2">
            <w:pPr>
              <w:pStyle w:val="P68B1DB1-TableParagraph40"/>
              <w:spacing w:before="108"/>
              <w:ind w:left="85"/>
              <w:jc w:val="both"/>
            </w:pPr>
            <w:r>
              <w:t xml:space="preserve">Lomakkeessa Z 07.01 ilmoitettu maa, jonka kannalta toiminto on kriittinen. </w:t>
            </w:r>
          </w:p>
        </w:tc>
      </w:tr>
      <w:tr w:rsidR="00B81226" w14:paraId="7FE1C8E0" w14:textId="77777777">
        <w:tc>
          <w:tcPr>
            <w:tcW w:w="1183" w:type="dxa"/>
            <w:tcBorders>
              <w:top w:val="single" w:sz="8" w:space="0" w:color="auto"/>
              <w:bottom w:val="single" w:sz="8" w:space="0" w:color="auto"/>
              <w:right w:val="single" w:sz="8" w:space="0" w:color="auto"/>
            </w:tcBorders>
            <w:vAlign w:val="center"/>
          </w:tcPr>
          <w:p w14:paraId="7FE1C8DC" w14:textId="77777777" w:rsidR="00B81226" w:rsidRDefault="00B82AC2">
            <w:pPr>
              <w:pStyle w:val="P68B1DB1-Normal31"/>
              <w:rPr>
                <w:b/>
                <w:i/>
              </w:rPr>
            </w:pPr>
            <w:r>
              <w:t>0040</w:t>
            </w:r>
          </w:p>
        </w:tc>
        <w:tc>
          <w:tcPr>
            <w:tcW w:w="7832" w:type="dxa"/>
            <w:tcBorders>
              <w:top w:val="single" w:sz="8" w:space="0" w:color="auto"/>
              <w:left w:val="single" w:sz="8" w:space="0" w:color="auto"/>
              <w:bottom w:val="single" w:sz="8" w:space="0" w:color="auto"/>
            </w:tcBorders>
            <w:vAlign w:val="bottom"/>
          </w:tcPr>
          <w:p w14:paraId="7FE1C8DD" w14:textId="77777777" w:rsidR="00B81226" w:rsidRDefault="00B82AC2">
            <w:pPr>
              <w:pStyle w:val="P68B1DB1-TableParagraph73"/>
              <w:spacing w:before="108"/>
              <w:ind w:left="85"/>
              <w:jc w:val="both"/>
            </w:pPr>
            <w:r>
              <w:t>Kriittisen toiminnon tunnus</w:t>
            </w:r>
          </w:p>
          <w:p w14:paraId="7FE1C8DE" w14:textId="77777777" w:rsidR="00B81226" w:rsidRDefault="00B82AC2">
            <w:pPr>
              <w:pStyle w:val="P68B1DB1-TableParagraph40"/>
              <w:spacing w:before="108"/>
              <w:ind w:left="85"/>
              <w:jc w:val="both"/>
            </w:pPr>
            <w:r>
              <w:t>Yhteisön suorittamat kriittiset toiminnot, joiden suorittaminen estyisi tai häiriintyisi FMI-palveluntarjoajan palvelun katkoksen vuoksi.</w:t>
            </w:r>
          </w:p>
          <w:p w14:paraId="79796B83" w14:textId="298E6F56" w:rsidR="00B81226" w:rsidRDefault="00B82AC2">
            <w:pPr>
              <w:pStyle w:val="P68B1DB1-TableParagraph40"/>
              <w:spacing w:before="108"/>
              <w:ind w:left="85"/>
              <w:jc w:val="both"/>
              <w:rPr>
                <w:b/>
                <w:bCs/>
              </w:rPr>
            </w:pPr>
            <w:r>
              <w:t>Lomakkeessa Z07.01 ilmoitettujen kriittisten toimintojen tunnisteet</w:t>
            </w:r>
            <w:r>
              <w:rPr>
                <w:b/>
              </w:rPr>
              <w:t>:</w:t>
            </w:r>
          </w:p>
          <w:p w14:paraId="58520404" w14:textId="77777777" w:rsidR="00B81226" w:rsidRDefault="00B81226">
            <w:pPr>
              <w:pStyle w:val="TableParagraph"/>
              <w:spacing w:before="108"/>
              <w:ind w:left="85"/>
              <w:jc w:val="both"/>
              <w:rPr>
                <w:rFonts w:ascii="Times New Roman" w:eastAsia="Times New Roman" w:hAnsi="Times New Roman" w:cs="Times New Roman"/>
                <w:b/>
                <w:bCs/>
                <w:sz w:val="20"/>
                <w:szCs w:val="20"/>
              </w:rPr>
            </w:pPr>
          </w:p>
          <w:p w14:paraId="0E718D7B" w14:textId="77777777" w:rsidR="00B81226" w:rsidRDefault="00B82AC2">
            <w:pPr>
              <w:pStyle w:val="P68B1DB1-Normal19"/>
              <w:rPr>
                <w:rFonts w:eastAsiaTheme="minorHAnsi"/>
              </w:rPr>
            </w:pPr>
            <w:r>
              <w:t>Talletukset</w:t>
            </w:r>
          </w:p>
          <w:p w14:paraId="354D6B7F" w14:textId="77777777" w:rsidR="00B81226" w:rsidRDefault="00B82AC2">
            <w:pPr>
              <w:pStyle w:val="P68B1DB1-Normal19"/>
              <w:ind w:left="708"/>
            </w:pPr>
            <w:r>
              <w:t>Kotitalouksien talletukset</w:t>
            </w:r>
          </w:p>
          <w:p w14:paraId="71C89914" w14:textId="77777777" w:rsidR="00B81226" w:rsidRDefault="00B82AC2">
            <w:pPr>
              <w:pStyle w:val="P68B1DB1-Normal19"/>
              <w:ind w:left="708"/>
            </w:pPr>
            <w:r>
              <w:t xml:space="preserve">Yrityksiltä </w:t>
            </w:r>
          </w:p>
          <w:p w14:paraId="7621A95F" w14:textId="69E34691" w:rsidR="00B81226" w:rsidRDefault="00B82AC2">
            <w:pPr>
              <w:pStyle w:val="P68B1DB1-Normal19"/>
              <w:ind w:left="1405"/>
            </w:pPr>
            <w:r>
              <w:t>Yrityksiltä</w:t>
            </w:r>
          </w:p>
          <w:p w14:paraId="046B913C" w14:textId="73440AD0" w:rsidR="00B81226" w:rsidRDefault="00B82AC2">
            <w:pPr>
              <w:pStyle w:val="P68B1DB1-Normal19"/>
              <w:ind w:left="1405"/>
            </w:pPr>
            <w:r>
              <w:t>Talletukset yrityksiltä (ei pk-yrityksiltä)</w:t>
            </w:r>
          </w:p>
          <w:p w14:paraId="2DAF57AE" w14:textId="77777777" w:rsidR="00B81226" w:rsidRDefault="00B82AC2">
            <w:pPr>
              <w:pStyle w:val="P68B1DB1-Normal19"/>
              <w:ind w:left="708"/>
            </w:pPr>
            <w:r>
              <w:lastRenderedPageBreak/>
              <w:t>Julkisyhteisöjen talletukset</w:t>
            </w:r>
          </w:p>
          <w:p w14:paraId="3AC3807C" w14:textId="77777777" w:rsidR="00B81226" w:rsidRDefault="00B82AC2">
            <w:pPr>
              <w:pStyle w:val="P68B1DB1-Normal19"/>
              <w:ind w:left="708"/>
            </w:pPr>
            <w:r>
              <w:t>Muut alat/vastapuolet (1)</w:t>
            </w:r>
          </w:p>
          <w:p w14:paraId="7924D974" w14:textId="77777777" w:rsidR="00B81226" w:rsidRDefault="00B82AC2">
            <w:pPr>
              <w:pStyle w:val="P68B1DB1-Normal19"/>
              <w:ind w:left="708"/>
            </w:pPr>
            <w:r>
              <w:t>Muut alat/vastapuolet (2)</w:t>
            </w:r>
          </w:p>
          <w:p w14:paraId="15B73120" w14:textId="77777777" w:rsidR="00B81226" w:rsidRDefault="00B82AC2">
            <w:pPr>
              <w:pStyle w:val="P68B1DB1-Normal19"/>
              <w:ind w:left="708"/>
            </w:pPr>
            <w:r>
              <w:t>Muut alat/vastapuolet (3)</w:t>
            </w:r>
          </w:p>
          <w:p w14:paraId="2FE46760" w14:textId="77777777" w:rsidR="00B81226" w:rsidRDefault="00B81226">
            <w:pPr>
              <w:rPr>
                <w:rFonts w:ascii="Times New Roman" w:hAnsi="Times New Roman" w:cs="Times New Roman"/>
                <w:sz w:val="20"/>
                <w:szCs w:val="20"/>
              </w:rPr>
            </w:pPr>
          </w:p>
          <w:p w14:paraId="685EA40A" w14:textId="77777777" w:rsidR="00B81226" w:rsidRDefault="00B82AC2">
            <w:pPr>
              <w:pStyle w:val="P68B1DB1-Normal19"/>
            </w:pPr>
            <w:r>
              <w:t>Antolainaus</w:t>
            </w:r>
          </w:p>
          <w:p w14:paraId="11C80F7E" w14:textId="77777777" w:rsidR="00B81226" w:rsidRDefault="00B82AC2">
            <w:pPr>
              <w:pStyle w:val="P68B1DB1-Normal19"/>
              <w:ind w:left="708"/>
            </w:pPr>
            <w:r>
              <w:t>Luotonanto kotitalouksille</w:t>
            </w:r>
          </w:p>
          <w:p w14:paraId="430711EA" w14:textId="77777777" w:rsidR="00B81226" w:rsidRDefault="00B82AC2">
            <w:pPr>
              <w:pStyle w:val="P68B1DB1-Normal19"/>
              <w:ind w:left="1416"/>
            </w:pPr>
            <w:r>
              <w:t>Asuntolainat kotitalouksille</w:t>
            </w:r>
          </w:p>
          <w:p w14:paraId="0147203E" w14:textId="77777777" w:rsidR="00B81226" w:rsidRDefault="00B82AC2">
            <w:pPr>
              <w:pStyle w:val="P68B1DB1-Normal19"/>
              <w:ind w:left="1416"/>
            </w:pPr>
            <w:r>
              <w:t>Luotonanto kotitalouksille muuta kuin asuntojen ostoa varten</w:t>
            </w:r>
          </w:p>
          <w:p w14:paraId="20ACA306" w14:textId="77777777" w:rsidR="00B81226" w:rsidRDefault="00B82AC2">
            <w:pPr>
              <w:pStyle w:val="P68B1DB1-Normal19"/>
              <w:ind w:left="708"/>
            </w:pPr>
            <w:r>
              <w:t>Lainananto yrityksille</w:t>
            </w:r>
          </w:p>
          <w:p w14:paraId="19F6CF03" w14:textId="3FBCFA7C" w:rsidR="00B81226" w:rsidRDefault="00B82AC2">
            <w:pPr>
              <w:pStyle w:val="P68B1DB1-Normal19"/>
              <w:ind w:left="1416"/>
            </w:pPr>
            <w:r>
              <w:t>Luotonanto rahoitusalan ulkopuolisille yrityksille (pk-yritykset)</w:t>
            </w:r>
          </w:p>
          <w:p w14:paraId="2C705D0D" w14:textId="77777777" w:rsidR="00B81226" w:rsidRDefault="00B82AC2">
            <w:pPr>
              <w:pStyle w:val="P68B1DB1-Normal19"/>
              <w:ind w:left="1416"/>
            </w:pPr>
            <w:r>
              <w:t>Luotonanto rahoitusalan ulkopuolisille yrityksille (muut kuin pk-yritykset)</w:t>
            </w:r>
          </w:p>
          <w:p w14:paraId="6DAE8B55" w14:textId="77777777" w:rsidR="00B81226" w:rsidRDefault="00B82AC2">
            <w:pPr>
              <w:pStyle w:val="P68B1DB1-Normal19"/>
              <w:ind w:left="708"/>
            </w:pPr>
            <w:r>
              <w:t>Luotonanto julkisyhteisöille</w:t>
            </w:r>
          </w:p>
          <w:p w14:paraId="5C2428A3" w14:textId="77777777" w:rsidR="00B81226" w:rsidRDefault="00B82AC2">
            <w:pPr>
              <w:pStyle w:val="P68B1DB1-Normal19"/>
              <w:ind w:left="708"/>
            </w:pPr>
            <w:r>
              <w:t>Lainananto muille aloille/vastapuolille (1)</w:t>
            </w:r>
          </w:p>
          <w:p w14:paraId="7237D4E5" w14:textId="77777777" w:rsidR="00B81226" w:rsidRDefault="00B82AC2">
            <w:pPr>
              <w:pStyle w:val="P68B1DB1-Normal19"/>
              <w:ind w:left="708"/>
            </w:pPr>
            <w:r>
              <w:t>Lainananto muille aloille/vastapuolille (2)</w:t>
            </w:r>
          </w:p>
          <w:p w14:paraId="62EF53AB" w14:textId="77777777" w:rsidR="00B81226" w:rsidRDefault="00B82AC2">
            <w:pPr>
              <w:pStyle w:val="P68B1DB1-Normal19"/>
              <w:ind w:left="708"/>
            </w:pPr>
            <w:r>
              <w:t>Lainananto muille aloille/vastapuolille (3)</w:t>
            </w:r>
          </w:p>
          <w:p w14:paraId="1269B857" w14:textId="77777777" w:rsidR="00B81226" w:rsidRDefault="00B81226">
            <w:pPr>
              <w:rPr>
                <w:rFonts w:ascii="Times New Roman" w:hAnsi="Times New Roman" w:cs="Times New Roman"/>
                <w:sz w:val="20"/>
                <w:szCs w:val="20"/>
              </w:rPr>
            </w:pPr>
          </w:p>
          <w:p w14:paraId="7CD1A6B0" w14:textId="77777777" w:rsidR="00B81226" w:rsidRDefault="00B82AC2">
            <w:pPr>
              <w:pStyle w:val="P68B1DB1-Normal19"/>
            </w:pPr>
            <w:r>
              <w:t xml:space="preserve">Maksu-, käteis-, selvitys-, määritys- ja säilytyspalvelut </w:t>
            </w:r>
          </w:p>
          <w:p w14:paraId="11F499EA" w14:textId="77777777" w:rsidR="00B81226" w:rsidRDefault="00B82AC2">
            <w:pPr>
              <w:pStyle w:val="P68B1DB1-Normal19"/>
              <w:ind w:left="708"/>
            </w:pPr>
            <w:r>
              <w:t>Maksupalvelut rahalaitoksille</w:t>
            </w:r>
          </w:p>
          <w:p w14:paraId="6FC14FBE" w14:textId="4F1706DC" w:rsidR="00B81226" w:rsidRDefault="00B82AC2">
            <w:pPr>
              <w:pStyle w:val="P68B1DB1-Normal19"/>
              <w:ind w:left="708"/>
            </w:pPr>
            <w:bookmarkStart w:id="138" w:name="_Hlk192600698"/>
            <w:r>
              <w:t>Maksupalvelut muille kuin rahalaitoksille</w:t>
            </w:r>
          </w:p>
          <w:p w14:paraId="704B9B25" w14:textId="77777777" w:rsidR="00B81226" w:rsidRDefault="00B82AC2">
            <w:pPr>
              <w:pStyle w:val="P68B1DB1-Normal19"/>
              <w:ind w:left="1405"/>
            </w:pPr>
            <w:r>
              <w:t>Maksupalvelut muille kuin rahalaitoksille kotitalouksille</w:t>
            </w:r>
          </w:p>
          <w:p w14:paraId="1F8BC691" w14:textId="4FE22A42" w:rsidR="00B81226" w:rsidRDefault="00B82AC2">
            <w:pPr>
              <w:pStyle w:val="P68B1DB1-Normal19"/>
              <w:ind w:left="1405"/>
            </w:pPr>
            <w:r>
              <w:t>Yritysten maksupalvelut muille kuin rahalaitoksille</w:t>
            </w:r>
          </w:p>
          <w:p w14:paraId="39782E47" w14:textId="1287030F" w:rsidR="00B81226" w:rsidRDefault="00B82AC2">
            <w:pPr>
              <w:pStyle w:val="P68B1DB1-Normal19"/>
              <w:ind w:left="1972"/>
            </w:pPr>
            <w:r>
              <w:t>Pk-yritysten maksupalvelut muille kuin rahalaitoksille</w:t>
            </w:r>
          </w:p>
          <w:p w14:paraId="416F0C20" w14:textId="504D6059" w:rsidR="00B81226" w:rsidRDefault="00B82AC2">
            <w:pPr>
              <w:pStyle w:val="P68B1DB1-Normal19"/>
              <w:ind w:left="1972"/>
            </w:pPr>
            <w:r>
              <w:t>Maksupalvelut muille kuin rahalaitoksille yrityksille, jotka eivät ole pk-yrityksiä</w:t>
            </w:r>
            <w:bookmarkEnd w:id="138"/>
          </w:p>
          <w:p w14:paraId="661D0C87" w14:textId="77777777" w:rsidR="00B81226" w:rsidRDefault="00B82AC2">
            <w:pPr>
              <w:pStyle w:val="P68B1DB1-Normal19"/>
              <w:ind w:left="708"/>
            </w:pPr>
            <w:r>
              <w:t>Käteispalvelut</w:t>
            </w:r>
          </w:p>
          <w:p w14:paraId="03769573" w14:textId="77777777" w:rsidR="00B81226" w:rsidRDefault="00B82AC2">
            <w:pPr>
              <w:pStyle w:val="P68B1DB1-Normal19"/>
              <w:ind w:left="708"/>
            </w:pPr>
            <w:r>
              <w:t>Arvopapereiden toimituspalvelut</w:t>
            </w:r>
          </w:p>
          <w:p w14:paraId="775020A9" w14:textId="77777777" w:rsidR="00B81226" w:rsidRDefault="00B82AC2">
            <w:pPr>
              <w:pStyle w:val="P68B1DB1-Normal19"/>
              <w:ind w:left="708"/>
            </w:pPr>
            <w:r>
              <w:t>Keskusvastapuolimäärityksen palvelut</w:t>
            </w:r>
          </w:p>
          <w:p w14:paraId="5801E2F6" w14:textId="77777777" w:rsidR="00B81226" w:rsidRDefault="00B82AC2">
            <w:pPr>
              <w:pStyle w:val="P68B1DB1-Normal19"/>
              <w:ind w:left="708"/>
            </w:pPr>
            <w:r>
              <w:t>Säilytyspalvelut</w:t>
            </w:r>
          </w:p>
          <w:p w14:paraId="5B6CE30A" w14:textId="77777777" w:rsidR="00B81226" w:rsidRDefault="00B82AC2">
            <w:pPr>
              <w:pStyle w:val="P68B1DB1-Normal19"/>
              <w:ind w:left="708"/>
            </w:pPr>
            <w:r>
              <w:t>Muut maksu-, käteis-, toimitus-, selvitys- ja säilytyspalveluja koskevat palvelut/toiminnot/toiminnot (1)</w:t>
            </w:r>
          </w:p>
          <w:p w14:paraId="7B4ED125" w14:textId="77777777" w:rsidR="00B81226" w:rsidRDefault="00B82AC2">
            <w:pPr>
              <w:pStyle w:val="P68B1DB1-Normal19"/>
              <w:ind w:left="708"/>
            </w:pPr>
            <w:r>
              <w:t>Muut maksu-, käteis-, toimitus-, selvitys- ja säilytyspalveluja koskevat palvelut/toiminnot/toiminnot (2)</w:t>
            </w:r>
          </w:p>
          <w:p w14:paraId="19BA6278" w14:textId="77777777" w:rsidR="00B81226" w:rsidRDefault="00B82AC2">
            <w:pPr>
              <w:pStyle w:val="P68B1DB1-Normal19"/>
              <w:ind w:left="708"/>
            </w:pPr>
            <w:r>
              <w:t>Muut palvelut/toiminnot/toiminnot (3), jotka koskevat maksu-, käteis-, maksu-, selvitys- ja säilytyspalveluja</w:t>
            </w:r>
          </w:p>
          <w:p w14:paraId="1E6049F9" w14:textId="77777777" w:rsidR="00B81226" w:rsidRDefault="00B81226">
            <w:pPr>
              <w:rPr>
                <w:rFonts w:ascii="Times New Roman" w:hAnsi="Times New Roman" w:cs="Times New Roman"/>
                <w:sz w:val="20"/>
                <w:szCs w:val="20"/>
              </w:rPr>
            </w:pPr>
          </w:p>
          <w:p w14:paraId="6F0287A8" w14:textId="77777777" w:rsidR="00B81226" w:rsidRDefault="00B82AC2">
            <w:pPr>
              <w:pStyle w:val="P68B1DB1-Normal19"/>
            </w:pPr>
            <w:r>
              <w:t>Pääomamarkkinat</w:t>
            </w:r>
          </w:p>
          <w:p w14:paraId="4F1B2CB2" w14:textId="77777777" w:rsidR="00B81226" w:rsidRDefault="00B82AC2">
            <w:pPr>
              <w:pStyle w:val="P68B1DB1-Normal19"/>
              <w:ind w:left="708"/>
            </w:pPr>
            <w:r>
              <w:t xml:space="preserve">Kaupankäyntitarkoituksessa pidettävät johdannaiset </w:t>
            </w:r>
          </w:p>
          <w:p w14:paraId="608E7B75" w14:textId="77777777" w:rsidR="00B81226" w:rsidRDefault="00B82AC2">
            <w:pPr>
              <w:pStyle w:val="P68B1DB1-Normal19"/>
              <w:ind w:left="1416"/>
            </w:pPr>
            <w:r>
              <w:t>Kaupankäyntitarkoituksessa pidettävät johdannaiset OTC:ssä</w:t>
            </w:r>
          </w:p>
          <w:p w14:paraId="55232CB1" w14:textId="77777777" w:rsidR="00B81226" w:rsidRDefault="00B82AC2">
            <w:pPr>
              <w:pStyle w:val="P68B1DB1-Normal19"/>
              <w:ind w:left="1416"/>
            </w:pPr>
            <w:r>
              <w:t>Kaupankäyntitarkoituksessa pidettävät johdannaiset muu kuin OTC</w:t>
            </w:r>
          </w:p>
          <w:p w14:paraId="41765F70" w14:textId="77777777" w:rsidR="00B81226" w:rsidRDefault="00B82AC2">
            <w:pPr>
              <w:pStyle w:val="P68B1DB1-Normal19"/>
              <w:ind w:left="708"/>
            </w:pPr>
            <w:r>
              <w:t>Jälkimarkkinat/kaupankäynti</w:t>
            </w:r>
          </w:p>
          <w:p w14:paraId="75381D0F" w14:textId="77777777" w:rsidR="00B81226" w:rsidRDefault="00B82AC2">
            <w:pPr>
              <w:pStyle w:val="P68B1DB1-Normal19"/>
              <w:ind w:left="708"/>
            </w:pPr>
            <w:r>
              <w:t>Ensimarkkinat/merkintäsitoumukset</w:t>
            </w:r>
          </w:p>
          <w:p w14:paraId="04BFAC55" w14:textId="77777777" w:rsidR="00B81226" w:rsidRDefault="00B82AC2">
            <w:pPr>
              <w:pStyle w:val="P68B1DB1-Normal19"/>
              <w:ind w:left="708"/>
            </w:pPr>
            <w:r>
              <w:t>Muut palvelut/toiminnat/toiminnot (1) pörssimarkkinoilla</w:t>
            </w:r>
          </w:p>
          <w:p w14:paraId="4842F14D" w14:textId="77777777" w:rsidR="00B81226" w:rsidRDefault="00B82AC2">
            <w:pPr>
              <w:pStyle w:val="P68B1DB1-Normal19"/>
              <w:ind w:left="708"/>
            </w:pPr>
            <w:r>
              <w:t>Muut palvelut/toiminnat/toiminnot (2) päämarkkinoilla</w:t>
            </w:r>
          </w:p>
          <w:p w14:paraId="4B2FE832" w14:textId="77777777" w:rsidR="00B81226" w:rsidRDefault="00B82AC2">
            <w:pPr>
              <w:pStyle w:val="P68B1DB1-Normal19"/>
              <w:ind w:left="708"/>
            </w:pPr>
            <w:r>
              <w:t>Muut palvelut/toiminnat/toiminnot (3) päämarkkinoilla</w:t>
            </w:r>
          </w:p>
          <w:p w14:paraId="07EB9C1C" w14:textId="77777777" w:rsidR="00B81226" w:rsidRDefault="00B81226">
            <w:pPr>
              <w:ind w:left="708"/>
              <w:rPr>
                <w:rFonts w:ascii="Times New Roman" w:hAnsi="Times New Roman" w:cs="Times New Roman"/>
                <w:sz w:val="20"/>
                <w:szCs w:val="20"/>
              </w:rPr>
            </w:pPr>
          </w:p>
          <w:p w14:paraId="74D09EC2" w14:textId="77777777" w:rsidR="00B81226" w:rsidRDefault="00B82AC2">
            <w:pPr>
              <w:pStyle w:val="P68B1DB1-Normal19"/>
            </w:pPr>
            <w:r>
              <w:t>Tukkurahoitus</w:t>
            </w:r>
          </w:p>
          <w:p w14:paraId="02676859" w14:textId="77777777" w:rsidR="00B81226" w:rsidRDefault="00B82AC2">
            <w:pPr>
              <w:pStyle w:val="P68B1DB1-ListParagraph60"/>
            </w:pPr>
            <w:r>
              <w:t>Ottolainaus</w:t>
            </w:r>
          </w:p>
          <w:p w14:paraId="541AD926" w14:textId="77777777" w:rsidR="00B81226" w:rsidRDefault="00B82AC2">
            <w:pPr>
              <w:pStyle w:val="P68B1DB1-ListParagraph60"/>
            </w:pPr>
            <w:r>
              <w:t>Johdannaiset (varat)</w:t>
            </w:r>
          </w:p>
          <w:p w14:paraId="25097734" w14:textId="77777777" w:rsidR="00B81226" w:rsidRDefault="00B82AC2">
            <w:pPr>
              <w:pStyle w:val="P68B1DB1-ListParagraph60"/>
            </w:pPr>
            <w:r>
              <w:t>Antolainaus</w:t>
            </w:r>
          </w:p>
          <w:p w14:paraId="772EBBB0" w14:textId="77777777" w:rsidR="00B81226" w:rsidRDefault="00B82AC2">
            <w:pPr>
              <w:pStyle w:val="P68B1DB1-ListParagraph60"/>
            </w:pPr>
            <w:r>
              <w:t>Johdannaiset (velat)</w:t>
            </w:r>
          </w:p>
          <w:p w14:paraId="56E338CF" w14:textId="77777777" w:rsidR="00B81226" w:rsidRDefault="00B82AC2">
            <w:pPr>
              <w:pStyle w:val="P68B1DB1-ListParagraph60"/>
            </w:pPr>
            <w:r>
              <w:t>Muut tuotelajit (1) tukkumarkkinoilla</w:t>
            </w:r>
          </w:p>
          <w:p w14:paraId="6607505D" w14:textId="77777777" w:rsidR="00B81226" w:rsidRDefault="00B82AC2">
            <w:pPr>
              <w:pStyle w:val="P68B1DB1-ListParagraph60"/>
            </w:pPr>
            <w:r>
              <w:t>Muut tuotelajit (2) tukkumarkkinoilla</w:t>
            </w:r>
          </w:p>
          <w:p w14:paraId="41A2E098" w14:textId="77777777" w:rsidR="00B81226" w:rsidRDefault="00B82AC2">
            <w:pPr>
              <w:pStyle w:val="P68B1DB1-ListParagraph60"/>
            </w:pPr>
            <w:r>
              <w:t>Muut tuotelajit (3) tukkumarkkinoilla</w:t>
            </w:r>
          </w:p>
          <w:p w14:paraId="7FE1C8DF" w14:textId="2134965F" w:rsidR="00B81226" w:rsidRDefault="00B81226">
            <w:pPr>
              <w:pStyle w:val="TableParagraph"/>
              <w:spacing w:before="108"/>
              <w:ind w:left="85"/>
              <w:jc w:val="both"/>
              <w:rPr>
                <w:rFonts w:ascii="Times New Roman" w:eastAsia="Times New Roman" w:hAnsi="Times New Roman" w:cs="Times New Roman"/>
                <w:b/>
                <w:bCs/>
                <w:i/>
                <w:iCs/>
                <w:sz w:val="20"/>
                <w:szCs w:val="20"/>
              </w:rPr>
            </w:pPr>
          </w:p>
        </w:tc>
      </w:tr>
      <w:tr w:rsidR="00B81226" w14:paraId="7FE1C8E3" w14:textId="77777777">
        <w:tc>
          <w:tcPr>
            <w:tcW w:w="1183" w:type="dxa"/>
            <w:tcBorders>
              <w:top w:val="single" w:sz="8" w:space="0" w:color="auto"/>
              <w:bottom w:val="single" w:sz="8" w:space="0" w:color="auto"/>
              <w:right w:val="single" w:sz="8" w:space="0" w:color="auto"/>
            </w:tcBorders>
            <w:vAlign w:val="center"/>
          </w:tcPr>
          <w:p w14:paraId="7FE1C8E1" w14:textId="77777777" w:rsidR="00B81226" w:rsidRDefault="00B82AC2">
            <w:pPr>
              <w:pStyle w:val="P68B1DB1-Normal31"/>
            </w:pPr>
            <w:r>
              <w:lastRenderedPageBreak/>
              <w:t>0050–0060</w:t>
            </w:r>
          </w:p>
        </w:tc>
        <w:tc>
          <w:tcPr>
            <w:tcW w:w="7832" w:type="dxa"/>
            <w:tcBorders>
              <w:top w:val="single" w:sz="8" w:space="0" w:color="auto"/>
              <w:left w:val="single" w:sz="8" w:space="0" w:color="auto"/>
              <w:bottom w:val="single" w:sz="8" w:space="0" w:color="auto"/>
            </w:tcBorders>
            <w:vAlign w:val="bottom"/>
          </w:tcPr>
          <w:p w14:paraId="7FE1C8E2" w14:textId="77777777" w:rsidR="00B81226" w:rsidRDefault="00B82AC2">
            <w:pPr>
              <w:pStyle w:val="P68B1DB1-Heading481"/>
              <w:numPr>
                <w:ilvl w:val="3"/>
                <w:numId w:val="0"/>
              </w:numPr>
              <w:ind w:left="360"/>
            </w:pPr>
            <w:r>
              <w:t>Keskeiset rahoitusmarkkinoiden infrastruktuurit</w:t>
            </w:r>
          </w:p>
        </w:tc>
      </w:tr>
      <w:tr w:rsidR="00B81226" w14:paraId="7FE1C8E9" w14:textId="77777777">
        <w:tc>
          <w:tcPr>
            <w:tcW w:w="1183" w:type="dxa"/>
            <w:tcBorders>
              <w:top w:val="single" w:sz="8" w:space="0" w:color="auto"/>
              <w:bottom w:val="single" w:sz="8" w:space="0" w:color="auto"/>
              <w:right w:val="single" w:sz="8" w:space="0" w:color="auto"/>
            </w:tcBorders>
            <w:vAlign w:val="center"/>
          </w:tcPr>
          <w:p w14:paraId="7FE1C8E4" w14:textId="77777777" w:rsidR="00B81226" w:rsidRDefault="00B82AC2">
            <w:pPr>
              <w:pStyle w:val="P68B1DB1-Normal31"/>
              <w:rPr>
                <w:strike/>
              </w:rPr>
            </w:pPr>
            <w:r>
              <w:lastRenderedPageBreak/>
              <w:t>0050</w:t>
            </w:r>
          </w:p>
        </w:tc>
        <w:tc>
          <w:tcPr>
            <w:tcW w:w="7832" w:type="dxa"/>
            <w:tcBorders>
              <w:top w:val="single" w:sz="8" w:space="0" w:color="auto"/>
              <w:left w:val="single" w:sz="8" w:space="0" w:color="auto"/>
              <w:bottom w:val="single" w:sz="8" w:space="0" w:color="auto"/>
            </w:tcBorders>
            <w:vAlign w:val="bottom"/>
          </w:tcPr>
          <w:p w14:paraId="7FE1C8E5" w14:textId="77777777" w:rsidR="00B81226" w:rsidRDefault="00B82AC2">
            <w:pPr>
              <w:pStyle w:val="P68B1DB1-TableParagraph73"/>
              <w:spacing w:before="108"/>
              <w:ind w:left="85"/>
              <w:jc w:val="both"/>
            </w:pPr>
            <w:r>
              <w:t>Keskeinen FMI: K/E</w:t>
            </w:r>
          </w:p>
          <w:p w14:paraId="7FE1C8E6" w14:textId="46FA6345" w:rsidR="00B81226" w:rsidRDefault="00B82AC2">
            <w:pPr>
              <w:pStyle w:val="P68B1DB1-TableParagraph40"/>
              <w:numPr>
                <w:ilvl w:val="0"/>
                <w:numId w:val="248"/>
              </w:numPr>
              <w:spacing w:before="108"/>
              <w:jc w:val="both"/>
            </w:pPr>
            <w:r>
              <w:t>”Kyllä”, jos FMI on välttämätön</w:t>
            </w:r>
          </w:p>
          <w:p w14:paraId="7FE1C8E7" w14:textId="0EBF3638" w:rsidR="00B81226" w:rsidRDefault="00B82AC2">
            <w:pPr>
              <w:pStyle w:val="P68B1DB1-TableParagraph40"/>
              <w:numPr>
                <w:ilvl w:val="0"/>
                <w:numId w:val="248"/>
              </w:numPr>
              <w:spacing w:before="108"/>
              <w:jc w:val="both"/>
            </w:pPr>
            <w:r>
              <w:t>”Ei”, jos FMI ei ole välttämätön</w:t>
            </w:r>
          </w:p>
          <w:p w14:paraId="7FE1C8E8" w14:textId="77777777" w:rsidR="00B81226" w:rsidRDefault="00B82AC2">
            <w:pPr>
              <w:pStyle w:val="P68B1DB1-Heading482"/>
              <w:numPr>
                <w:ilvl w:val="3"/>
                <w:numId w:val="0"/>
              </w:numPr>
              <w:ind w:left="360"/>
            </w:pPr>
            <w:r>
              <w:t>Sarakkeet 0020 ja 0050 eivät sulje toisiaan pois.</w:t>
            </w:r>
          </w:p>
        </w:tc>
      </w:tr>
      <w:tr w:rsidR="00B81226" w14:paraId="7FE1C8EE" w14:textId="77777777">
        <w:tc>
          <w:tcPr>
            <w:tcW w:w="1183" w:type="dxa"/>
            <w:tcBorders>
              <w:top w:val="single" w:sz="8" w:space="0" w:color="auto"/>
              <w:bottom w:val="single" w:sz="8" w:space="0" w:color="auto"/>
              <w:right w:val="single" w:sz="8" w:space="0" w:color="auto"/>
            </w:tcBorders>
            <w:vAlign w:val="center"/>
          </w:tcPr>
          <w:p w14:paraId="7FE1C8EA" w14:textId="77777777" w:rsidR="00B81226" w:rsidRDefault="00B82AC2">
            <w:pPr>
              <w:pStyle w:val="P68B1DB1-Normal31"/>
            </w:pPr>
            <w:r>
              <w:t>0060</w:t>
            </w:r>
          </w:p>
        </w:tc>
        <w:tc>
          <w:tcPr>
            <w:tcW w:w="7832" w:type="dxa"/>
            <w:tcBorders>
              <w:top w:val="single" w:sz="8" w:space="0" w:color="auto"/>
              <w:left w:val="single" w:sz="8" w:space="0" w:color="auto"/>
              <w:bottom w:val="single" w:sz="8" w:space="0" w:color="auto"/>
            </w:tcBorders>
            <w:vAlign w:val="bottom"/>
          </w:tcPr>
          <w:p w14:paraId="7FE1C8EB" w14:textId="77777777" w:rsidR="00B81226" w:rsidRDefault="00B82AC2">
            <w:pPr>
              <w:pStyle w:val="P68B1DB1-TableParagraph73"/>
              <w:spacing w:before="108"/>
              <w:ind w:left="85"/>
              <w:jc w:val="both"/>
            </w:pPr>
            <w:r>
              <w:t>Ydinliiketoiminta-alueen tunnus</w:t>
            </w:r>
          </w:p>
          <w:p w14:paraId="7FE1C8EC" w14:textId="62673BB2" w:rsidR="00B81226" w:rsidRDefault="00B82AC2">
            <w:pPr>
              <w:pStyle w:val="P68B1DB1-TableParagraph40"/>
              <w:spacing w:before="108"/>
              <w:ind w:left="85"/>
              <w:jc w:val="both"/>
              <w:rPr>
                <w:u w:val="single"/>
              </w:rPr>
            </w:pPr>
            <w:r>
              <w:t>Käyttäjän ydinliiketoiminta-alueet, joiden suorituskyky estyisi tai estyisi FMI-palveluntarjoajaan pääsyn keskeytymisen vuoksi.</w:t>
            </w:r>
          </w:p>
          <w:p w14:paraId="7FE1C8ED" w14:textId="77777777" w:rsidR="00B81226" w:rsidRDefault="00B82AC2">
            <w:pPr>
              <w:pStyle w:val="P68B1DB1-TableParagraph40"/>
              <w:spacing w:before="108"/>
              <w:ind w:left="85"/>
              <w:jc w:val="both"/>
              <w:rPr>
                <w:b/>
                <w:bCs/>
              </w:rPr>
            </w:pPr>
            <w:r>
              <w:t>Ydinliiketoiminta-alueen tunniste, sellaisena kuin se on ilmoitettu sarakkeessa Z 07.03 sarakkeessa 0010.</w:t>
            </w:r>
          </w:p>
        </w:tc>
      </w:tr>
    </w:tbl>
    <w:p w14:paraId="7FE1C8EF" w14:textId="77777777" w:rsidR="00B81226" w:rsidRDefault="00B81226">
      <w:pPr>
        <w:pStyle w:val="Instructionsberschrift2"/>
        <w:ind w:left="357"/>
        <w:rPr>
          <w:rFonts w:ascii="Times New Roman" w:eastAsia="Calibri" w:hAnsi="Times New Roman" w:cs="Times New Roman"/>
          <w:szCs w:val="20"/>
        </w:rPr>
      </w:pPr>
    </w:p>
    <w:p w14:paraId="7FE1C8F0" w14:textId="77777777" w:rsidR="00B81226" w:rsidRDefault="00B82AC2">
      <w:pPr>
        <w:pStyle w:val="P68B1DB1-Instructionsberschrift271"/>
        <w:numPr>
          <w:ilvl w:val="1"/>
          <w:numId w:val="49"/>
        </w:numPr>
        <w:ind w:left="357" w:hanging="357"/>
      </w:pPr>
      <w:bookmarkStart w:id="139" w:name="_Toc208245463"/>
      <w:r>
        <w:t>Z 09.03 – FMI-palvelut – Keskeiset mittarit (FMI 3)</w:t>
      </w:r>
      <w:bookmarkEnd w:id="139"/>
    </w:p>
    <w:p w14:paraId="7FE1C8F1" w14:textId="77777777" w:rsidR="00B81226" w:rsidRDefault="00B82AC2">
      <w:pPr>
        <w:pStyle w:val="P68B1DB1-Numberedtitlelevel383"/>
      </w:pPr>
      <w:r>
        <w:t>Tiettyjä kohtia koskevat ohjeet</w:t>
      </w:r>
    </w:p>
    <w:p w14:paraId="7FE1C8F2" w14:textId="6D7EB755" w:rsidR="00B81226" w:rsidRDefault="00B82AC2">
      <w:pPr>
        <w:pStyle w:val="InstructionsText2"/>
        <w:spacing w:before="0"/>
        <w:ind w:left="1418"/>
        <w:rPr>
          <w:rFonts w:ascii="Times New Roman" w:eastAsiaTheme="majorEastAsia" w:hAnsi="Times New Roman" w:cs="Times New Roman"/>
          <w:sz w:val="20"/>
          <w:szCs w:val="20"/>
        </w:rPr>
      </w:pPr>
      <w:r>
        <w:rPr>
          <w:rFonts w:ascii="Times New Roman" w:eastAsiaTheme="majorEastAsia" w:hAnsi="Times New Roman" w:cs="Times New Roman"/>
          <w:sz w:val="20"/>
          <w:szCs w:val="20"/>
        </w:rPr>
        <w:t>Raportti koskee ainoastaan maksujärjestelmiä, (kansainvälisiä) arvopaperikeskuksia, arvopaperitapahtumien selvityspalveluja, keskusvastapuolten johdannaisia ja keskusvastapuoliarvopapereita, ellei toisin mainita</w:t>
      </w:r>
      <w:r>
        <w:rPr>
          <w:rStyle w:val="FootnoteReference"/>
          <w:rFonts w:eastAsiaTheme="majorEastAsia" w:cs="Times New Roman"/>
        </w:rPr>
        <w:footnoteReference w:id="33"/>
      </w:r>
      <w:r>
        <w:rPr>
          <w:rFonts w:ascii="Times New Roman" w:eastAsiaTheme="majorEastAsia" w:hAnsi="Times New Roman" w:cs="Times New Roman"/>
          <w:sz w:val="20"/>
          <w:szCs w:val="20"/>
        </w:rPr>
        <w:t>.</w:t>
      </w:r>
    </w:p>
    <w:tbl>
      <w:tblPr>
        <w:tblW w:w="9015" w:type="dxa"/>
        <w:tblInd w:w="135" w:type="dxa"/>
        <w:tblLayout w:type="fixed"/>
        <w:tblLook w:val="04A0" w:firstRow="1" w:lastRow="0" w:firstColumn="1" w:lastColumn="0" w:noHBand="0" w:noVBand="1"/>
      </w:tblPr>
      <w:tblGrid>
        <w:gridCol w:w="1183"/>
        <w:gridCol w:w="7832"/>
      </w:tblGrid>
      <w:tr w:rsidR="00B81226" w14:paraId="7FE1C8F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F3" w14:textId="77777777" w:rsidR="00B81226" w:rsidRDefault="00B82AC2">
            <w:pPr>
              <w:pStyle w:val="P68B1DB1-TableParagraph17"/>
              <w:spacing w:before="108"/>
              <w:ind w:left="85"/>
            </w:pPr>
            <w:r>
              <w:t xml:space="preserve">Sarakkeet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F4" w14:textId="77777777" w:rsidR="00B81226" w:rsidRDefault="00B82AC2">
            <w:pPr>
              <w:pStyle w:val="P68B1DB1-TableParagraph17"/>
              <w:spacing w:before="108"/>
              <w:ind w:left="85"/>
            </w:pPr>
            <w:r>
              <w:t xml:space="preserve">Ohjeet </w:t>
            </w:r>
          </w:p>
        </w:tc>
      </w:tr>
      <w:tr w:rsidR="00B81226" w14:paraId="7FE1C8F9" w14:textId="77777777">
        <w:tc>
          <w:tcPr>
            <w:tcW w:w="1183" w:type="dxa"/>
            <w:tcBorders>
              <w:top w:val="single" w:sz="8" w:space="0" w:color="1A171C"/>
              <w:bottom w:val="single" w:sz="8" w:space="0" w:color="auto"/>
              <w:right w:val="single" w:sz="8" w:space="0" w:color="auto"/>
            </w:tcBorders>
            <w:vAlign w:val="center"/>
          </w:tcPr>
          <w:p w14:paraId="7FE1C8F6" w14:textId="77777777" w:rsidR="00B81226" w:rsidRDefault="00B82AC2">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F7" w14:textId="77777777" w:rsidR="00B81226" w:rsidRDefault="00B82AC2">
            <w:pPr>
              <w:pStyle w:val="P68B1DB1-TableParagraph73"/>
              <w:spacing w:before="108"/>
              <w:jc w:val="both"/>
            </w:pPr>
            <w:r>
              <w:t>Käyttäjän, rahoitusmarkkinoiden infrastruktuurin, järjestelmän tyypin ja välittäjän yhdistelmää edustava tunnus</w:t>
            </w:r>
          </w:p>
          <w:p w14:paraId="7FE1C8F8" w14:textId="314C2ABF" w:rsidR="00B81226" w:rsidRDefault="00B82AC2">
            <w:pPr>
              <w:pStyle w:val="P68B1DB1-TableParagraph40"/>
              <w:spacing w:before="108"/>
              <w:jc w:val="both"/>
              <w:rPr>
                <w:b/>
                <w:bCs/>
                <w:i/>
                <w:iCs/>
              </w:rPr>
            </w:pPr>
            <w:r>
              <w:t>Riviä kohti käytetään yhtä tunnistetta, jonka on vastattava käyttäjän, rahoitusmarkkinoiden infrastruktuurin, järjestelmän tyypin ja välittäjän yksilöllistä yhdistelmää. Taulukoissa Z 09.01–Z 09.05 on käytettävä samaa tunnistetta, joka vastaa samaa yhdistelmää.</w:t>
            </w:r>
          </w:p>
        </w:tc>
      </w:tr>
      <w:tr w:rsidR="00B81226" w14:paraId="7FE1C8FD" w14:textId="77777777">
        <w:tc>
          <w:tcPr>
            <w:tcW w:w="1183" w:type="dxa"/>
            <w:tcBorders>
              <w:top w:val="single" w:sz="8" w:space="0" w:color="auto"/>
              <w:bottom w:val="single" w:sz="8" w:space="0" w:color="auto"/>
              <w:right w:val="single" w:sz="8" w:space="0" w:color="auto"/>
            </w:tcBorders>
            <w:vAlign w:val="center"/>
          </w:tcPr>
          <w:p w14:paraId="7FE1C8FA" w14:textId="77777777" w:rsidR="00B81226" w:rsidRDefault="00B82AC2">
            <w:pPr>
              <w:pStyle w:val="P68B1DB1-Normal31"/>
              <w:rPr>
                <w:strike/>
              </w:rPr>
            </w:pPr>
            <w:r>
              <w:t>0020</w:t>
            </w:r>
          </w:p>
        </w:tc>
        <w:tc>
          <w:tcPr>
            <w:tcW w:w="7832" w:type="dxa"/>
            <w:tcBorders>
              <w:top w:val="single" w:sz="8" w:space="0" w:color="auto"/>
              <w:left w:val="single" w:sz="8" w:space="0" w:color="auto"/>
              <w:bottom w:val="single" w:sz="8" w:space="0" w:color="auto"/>
            </w:tcBorders>
            <w:vAlign w:val="bottom"/>
          </w:tcPr>
          <w:p w14:paraId="7FE1C8FB" w14:textId="77777777" w:rsidR="00B81226" w:rsidRDefault="00B82AC2">
            <w:pPr>
              <w:pStyle w:val="P68B1DB1-TableParagraph73"/>
              <w:spacing w:before="108"/>
              <w:jc w:val="both"/>
            </w:pPr>
            <w:r>
              <w:t>Segmentti</w:t>
            </w:r>
          </w:p>
          <w:p w14:paraId="7FE1C8FC" w14:textId="77777777" w:rsidR="00B81226" w:rsidRDefault="00B82AC2">
            <w:pPr>
              <w:pStyle w:val="P68B1DB1-TableParagraph40"/>
              <w:spacing w:before="108"/>
              <w:ind w:left="85"/>
              <w:jc w:val="both"/>
              <w:rPr>
                <w:b/>
                <w:bCs/>
                <w:i/>
                <w:iCs/>
                <w:strike/>
              </w:rPr>
            </w:pPr>
            <w:r>
              <w:t xml:space="preserve">Markkinasegmentit, joilla käyttäjä toimii. Yksi rivi segmenttiä kohti. Ilmoitetaan ainoastaan keskusvastapuolten osalta. </w:t>
            </w:r>
          </w:p>
        </w:tc>
      </w:tr>
      <w:tr w:rsidR="00B81226" w14:paraId="7FE1C902" w14:textId="77777777">
        <w:tc>
          <w:tcPr>
            <w:tcW w:w="1183" w:type="dxa"/>
            <w:tcBorders>
              <w:top w:val="single" w:sz="8" w:space="0" w:color="auto"/>
              <w:bottom w:val="single" w:sz="8" w:space="0" w:color="auto"/>
              <w:right w:val="single" w:sz="8" w:space="0" w:color="auto"/>
            </w:tcBorders>
            <w:vAlign w:val="center"/>
          </w:tcPr>
          <w:p w14:paraId="7FE1C8FE" w14:textId="77777777" w:rsidR="00B81226" w:rsidRDefault="00B82AC2">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FF" w14:textId="77777777" w:rsidR="00B81226" w:rsidRDefault="00B82AC2">
            <w:pPr>
              <w:pStyle w:val="P68B1DB1-TableParagraph73"/>
              <w:spacing w:before="108"/>
              <w:jc w:val="both"/>
            </w:pPr>
            <w:r>
              <w:t>Rahoitusosuus maksukyvyttömyysrahastoon</w:t>
            </w:r>
          </w:p>
          <w:p w14:paraId="7FE1C900" w14:textId="77777777" w:rsidR="00B81226" w:rsidRDefault="00B82AC2">
            <w:pPr>
              <w:pStyle w:val="P68B1DB1-TableParagraph40"/>
              <w:spacing w:before="108"/>
              <w:jc w:val="both"/>
            </w:pPr>
            <w:r>
              <w:t xml:space="preserve">Maksu maksukyvyttömyysrahastoon. Keskimääräinen määrä vuoden aikana. </w:t>
            </w:r>
          </w:p>
          <w:p w14:paraId="7FE1C901" w14:textId="77777777" w:rsidR="00B81226" w:rsidRDefault="00B82AC2">
            <w:pPr>
              <w:pStyle w:val="P68B1DB1-TableParagraph40"/>
              <w:spacing w:before="108"/>
              <w:ind w:left="85"/>
              <w:jc w:val="both"/>
              <w:rPr>
                <w:b/>
                <w:bCs/>
                <w:i/>
                <w:iCs/>
              </w:rPr>
            </w:pPr>
            <w:r>
              <w:t>Ilmoitetaan ainoastaan keskusvastapuolten osalta.</w:t>
            </w:r>
          </w:p>
        </w:tc>
      </w:tr>
      <w:tr w:rsidR="00B81226" w14:paraId="7FE1C906" w14:textId="77777777">
        <w:tc>
          <w:tcPr>
            <w:tcW w:w="1183" w:type="dxa"/>
            <w:tcBorders>
              <w:top w:val="single" w:sz="8" w:space="0" w:color="auto"/>
              <w:bottom w:val="single" w:sz="8" w:space="0" w:color="auto"/>
              <w:right w:val="single" w:sz="8" w:space="0" w:color="auto"/>
            </w:tcBorders>
            <w:vAlign w:val="center"/>
          </w:tcPr>
          <w:p w14:paraId="7FE1C903" w14:textId="77777777" w:rsidR="00B81226" w:rsidRDefault="00B82AC2">
            <w:pPr>
              <w:pStyle w:val="P68B1DB1-Normal31"/>
            </w:pPr>
            <w:r>
              <w:t>0040–0050</w:t>
            </w:r>
          </w:p>
        </w:tc>
        <w:tc>
          <w:tcPr>
            <w:tcW w:w="7832" w:type="dxa"/>
            <w:tcBorders>
              <w:top w:val="single" w:sz="8" w:space="0" w:color="auto"/>
              <w:left w:val="single" w:sz="8" w:space="0" w:color="auto"/>
              <w:bottom w:val="single" w:sz="8" w:space="0" w:color="auto"/>
            </w:tcBorders>
            <w:vAlign w:val="bottom"/>
          </w:tcPr>
          <w:p w14:paraId="7FE1C904" w14:textId="63CC55B1" w:rsidR="00B81226" w:rsidRDefault="00B82AC2">
            <w:pPr>
              <w:pStyle w:val="P68B1DB1-TableParagraph73"/>
              <w:spacing w:before="108"/>
              <w:jc w:val="both"/>
              <w:rPr>
                <w:bCs/>
              </w:rPr>
            </w:pPr>
            <w:r>
              <w:t>Omien tilien ja asiakastilien alkumarginaali</w:t>
            </w:r>
          </w:p>
          <w:p w14:paraId="7FE1C905" w14:textId="1C30A5D8" w:rsidR="00B81226" w:rsidRDefault="00B82AC2">
            <w:pPr>
              <w:pStyle w:val="P68B1DB1-TableParagraph40"/>
              <w:spacing w:before="108"/>
              <w:ind w:left="85"/>
              <w:jc w:val="both"/>
              <w:rPr>
                <w:b/>
              </w:rPr>
            </w:pPr>
            <w:r>
              <w:t>Asetettu alkumarginaali eriteltynä talo- ja asiakastilien mukaan. Keskimääräinen määrä vuoden aikana. Ilmoitetaan ainoastaan keskusvastapuolten osalta. Sarake 0050 sisältää sekä yhteissumman että yksittäisten asiakkaiden tilin arvot.</w:t>
            </w:r>
          </w:p>
        </w:tc>
      </w:tr>
      <w:tr w:rsidR="00B81226" w14:paraId="7FE1C90D" w14:textId="77777777">
        <w:tc>
          <w:tcPr>
            <w:tcW w:w="1183" w:type="dxa"/>
            <w:tcBorders>
              <w:top w:val="single" w:sz="8" w:space="0" w:color="auto"/>
              <w:bottom w:val="single" w:sz="8" w:space="0" w:color="auto"/>
              <w:right w:val="single" w:sz="8" w:space="0" w:color="auto"/>
            </w:tcBorders>
            <w:vAlign w:val="center"/>
          </w:tcPr>
          <w:p w14:paraId="7FE1C907" w14:textId="1157106F" w:rsidR="00B81226" w:rsidRDefault="00B82AC2">
            <w:pPr>
              <w:pStyle w:val="P68B1DB1-Normal31"/>
            </w:pPr>
            <w:r>
              <w:t>0060–0070</w:t>
            </w:r>
          </w:p>
        </w:tc>
        <w:tc>
          <w:tcPr>
            <w:tcW w:w="7832" w:type="dxa"/>
            <w:tcBorders>
              <w:top w:val="single" w:sz="8" w:space="0" w:color="auto"/>
              <w:left w:val="single" w:sz="8" w:space="0" w:color="auto"/>
              <w:bottom w:val="single" w:sz="8" w:space="0" w:color="auto"/>
            </w:tcBorders>
            <w:vAlign w:val="bottom"/>
          </w:tcPr>
          <w:p w14:paraId="7FE1C908" w14:textId="77777777" w:rsidR="00B81226" w:rsidRDefault="00B82AC2">
            <w:pPr>
              <w:pStyle w:val="P68B1DB1-TableParagraph73"/>
              <w:spacing w:before="108"/>
              <w:ind w:left="85"/>
              <w:jc w:val="both"/>
            </w:pPr>
            <w:r>
              <w:t>Positioiden arvo omilla tileillä ja asiakastileillä</w:t>
            </w:r>
          </w:p>
          <w:p w14:paraId="7FE1C909" w14:textId="2662FB34" w:rsidR="00B81226" w:rsidRDefault="00B82AC2">
            <w:pPr>
              <w:pStyle w:val="P68B1DB1-TableParagraph40"/>
              <w:spacing w:before="108"/>
              <w:ind w:left="85"/>
              <w:jc w:val="both"/>
            </w:pPr>
            <w:r>
              <w:t>Ilmoitetaan ainoastaan keskusvastapuolet ja (I)CSD:t. Sarake 0070 sisältää sekä yhteissumman että yksittäisten asiakkaiden tilin arvot.</w:t>
            </w:r>
          </w:p>
          <w:p w14:paraId="7FE1C90A" w14:textId="77777777" w:rsidR="00B81226" w:rsidRDefault="00B82AC2">
            <w:pPr>
              <w:pStyle w:val="TableParagraph"/>
              <w:numPr>
                <w:ilvl w:val="0"/>
                <w:numId w:val="249"/>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Keskusvastapuolet: Keskusvastapuolissa olevien positioiden arvo kussakin </w:t>
            </w:r>
            <w:r>
              <w:rPr>
                <w:rFonts w:ascii="Times New Roman" w:eastAsia="Times New Roman" w:hAnsi="Times New Roman" w:cs="Times New Roman"/>
                <w:sz w:val="20"/>
                <w:szCs w:val="20"/>
              </w:rPr>
              <w:lastRenderedPageBreak/>
              <w:t>tilityypissä</w:t>
            </w:r>
            <w:r>
              <w:rPr>
                <w:rStyle w:val="FootnoteReference"/>
                <w:rFonts w:ascii="Times New Roman" w:eastAsia="Times New Roman" w:hAnsi="Times New Roman" w:cs="Times New Roman"/>
              </w:rPr>
              <w:footnoteReference w:id="34"/>
            </w:r>
            <w:r>
              <w:rPr>
                <w:rFonts w:ascii="Times New Roman" w:eastAsia="Times New Roman" w:hAnsi="Times New Roman" w:cs="Times New Roman"/>
                <w:sz w:val="20"/>
                <w:szCs w:val="20"/>
              </w:rPr>
              <w:t xml:space="preserve">. </w:t>
            </w:r>
          </w:p>
          <w:p w14:paraId="7FE1C90B" w14:textId="77777777" w:rsidR="00B81226" w:rsidRDefault="00B82AC2">
            <w:pPr>
              <w:pStyle w:val="P68B1DB1-TableParagraph40"/>
              <w:numPr>
                <w:ilvl w:val="0"/>
                <w:numId w:val="249"/>
              </w:numPr>
              <w:spacing w:before="108"/>
              <w:jc w:val="both"/>
            </w:pPr>
            <w:r>
              <w:t xml:space="preserve">I)CSD:t: Kussakin tilityypissä säilytettävien arvopapereiden arvo. </w:t>
            </w:r>
          </w:p>
          <w:p w14:paraId="7FE1C90C" w14:textId="77777777" w:rsidR="00B81226" w:rsidRDefault="00B82AC2">
            <w:pPr>
              <w:pStyle w:val="P68B1DB1-TableParagraph40"/>
              <w:spacing w:before="108"/>
              <w:ind w:left="85"/>
              <w:jc w:val="both"/>
              <w:rPr>
                <w:b/>
              </w:rPr>
            </w:pPr>
            <w:r>
              <w:t xml:space="preserve">Keskimääräinen arvo toimituspäivän lopussa edellisen vuoden aikana. </w:t>
            </w:r>
          </w:p>
        </w:tc>
      </w:tr>
      <w:tr w:rsidR="00B81226" w14:paraId="7FE1C912" w14:textId="77777777">
        <w:tc>
          <w:tcPr>
            <w:tcW w:w="1183" w:type="dxa"/>
            <w:tcBorders>
              <w:top w:val="single" w:sz="8" w:space="0" w:color="auto"/>
              <w:bottom w:val="single" w:sz="8" w:space="0" w:color="auto"/>
              <w:right w:val="single" w:sz="8" w:space="0" w:color="auto"/>
            </w:tcBorders>
            <w:vAlign w:val="center"/>
          </w:tcPr>
          <w:p w14:paraId="7FE1C90E" w14:textId="3E4BBED3" w:rsidR="00B81226" w:rsidRDefault="00B82AC2">
            <w:pPr>
              <w:pStyle w:val="P68B1DB1-Normal31"/>
              <w:rPr>
                <w:strike/>
              </w:rPr>
            </w:pPr>
            <w:r>
              <w:lastRenderedPageBreak/>
              <w:t>0080–0090</w:t>
            </w:r>
          </w:p>
        </w:tc>
        <w:tc>
          <w:tcPr>
            <w:tcW w:w="7832" w:type="dxa"/>
            <w:tcBorders>
              <w:top w:val="single" w:sz="8" w:space="0" w:color="auto"/>
              <w:left w:val="single" w:sz="8" w:space="0" w:color="auto"/>
              <w:bottom w:val="single" w:sz="8" w:space="0" w:color="auto"/>
            </w:tcBorders>
            <w:vAlign w:val="bottom"/>
          </w:tcPr>
          <w:p w14:paraId="7FE1C90F" w14:textId="77777777" w:rsidR="00B81226" w:rsidRDefault="00B82AC2">
            <w:pPr>
              <w:pStyle w:val="P68B1DB1-TableParagraph73"/>
              <w:spacing w:before="108"/>
              <w:ind w:left="85"/>
              <w:jc w:val="both"/>
            </w:pPr>
            <w:r>
              <w:t xml:space="preserve">Asiakkaiden määrä </w:t>
            </w:r>
          </w:p>
          <w:p w14:paraId="7FE1C910" w14:textId="77777777" w:rsidR="00B81226" w:rsidRDefault="00B82AC2">
            <w:pPr>
              <w:pStyle w:val="P68B1DB1-TableParagraph40"/>
              <w:spacing w:before="108"/>
              <w:ind w:left="85"/>
              <w:jc w:val="both"/>
            </w:pPr>
            <w:r>
              <w:t xml:space="preserve">Ilmoitetaan ainoastaan keskusvastapuolet ja (I)CSD:t. </w:t>
            </w:r>
          </w:p>
          <w:p w14:paraId="7FE1C911" w14:textId="77777777" w:rsidR="00B81226" w:rsidRDefault="00B82AC2">
            <w:pPr>
              <w:pStyle w:val="P68B1DB1-Heading482"/>
              <w:numPr>
                <w:ilvl w:val="3"/>
                <w:numId w:val="0"/>
              </w:numPr>
              <w:ind w:left="360"/>
              <w:rPr>
                <w:strike/>
                <w:color w:val="D13438"/>
              </w:rPr>
            </w:pPr>
            <w:r>
              <w:t>Eri asiakastilityyppeihin kuuluvien asiakkaiden kokonaismäärä.</w:t>
            </w:r>
          </w:p>
        </w:tc>
      </w:tr>
      <w:tr w:rsidR="00B81226" w14:paraId="7FE1C916" w14:textId="77777777">
        <w:tc>
          <w:tcPr>
            <w:tcW w:w="1183" w:type="dxa"/>
            <w:tcBorders>
              <w:top w:val="single" w:sz="8" w:space="0" w:color="auto"/>
              <w:bottom w:val="single" w:sz="8" w:space="0" w:color="auto"/>
              <w:right w:val="single" w:sz="8" w:space="0" w:color="auto"/>
            </w:tcBorders>
            <w:vAlign w:val="center"/>
          </w:tcPr>
          <w:p w14:paraId="7FE1C913" w14:textId="7AE482AF" w:rsidR="00B81226" w:rsidRDefault="00B82AC2">
            <w:pPr>
              <w:pStyle w:val="P68B1DB1-Normal31"/>
              <w:rPr>
                <w:strike/>
              </w:rPr>
            </w:pPr>
            <w:r>
              <w:t>0100–0110</w:t>
            </w:r>
          </w:p>
        </w:tc>
        <w:tc>
          <w:tcPr>
            <w:tcW w:w="7832" w:type="dxa"/>
            <w:tcBorders>
              <w:top w:val="single" w:sz="8" w:space="0" w:color="auto"/>
              <w:left w:val="single" w:sz="8" w:space="0" w:color="auto"/>
              <w:bottom w:val="single" w:sz="8" w:space="0" w:color="auto"/>
            </w:tcBorders>
            <w:vAlign w:val="bottom"/>
          </w:tcPr>
          <w:p w14:paraId="7FE1C914" w14:textId="77777777" w:rsidR="00B81226" w:rsidRDefault="00B82AC2">
            <w:pPr>
              <w:pStyle w:val="P68B1DB1-TableParagraph73"/>
              <w:spacing w:before="108"/>
              <w:ind w:left="85"/>
              <w:jc w:val="both"/>
            </w:pPr>
            <w:r>
              <w:t>Yksityisillä tileillä ja asiakastileillä tehtyjen tapahtumien lukumäärä</w:t>
            </w:r>
          </w:p>
          <w:p w14:paraId="7FE1C915" w14:textId="77777777" w:rsidR="00B81226" w:rsidRDefault="00B82AC2">
            <w:pPr>
              <w:pStyle w:val="P68B1DB1-Heading482"/>
              <w:numPr>
                <w:ilvl w:val="3"/>
                <w:numId w:val="0"/>
              </w:numPr>
              <w:ind w:left="360"/>
              <w:rPr>
                <w:strike/>
                <w:color w:val="D13438"/>
                <w:u w:val="single"/>
              </w:rPr>
            </w:pPr>
            <w:r>
              <w:t xml:space="preserve">Vuoden aikana toteutettujen tapahtumien kokonaismäärä kunkin tilityypin osalta. </w:t>
            </w:r>
          </w:p>
        </w:tc>
      </w:tr>
      <w:tr w:rsidR="00B81226" w14:paraId="7FE1C921" w14:textId="77777777">
        <w:tc>
          <w:tcPr>
            <w:tcW w:w="1183" w:type="dxa"/>
            <w:tcBorders>
              <w:top w:val="single" w:sz="8" w:space="0" w:color="auto"/>
              <w:bottom w:val="single" w:sz="8" w:space="0" w:color="auto"/>
              <w:right w:val="single" w:sz="8" w:space="0" w:color="auto"/>
            </w:tcBorders>
            <w:vAlign w:val="center"/>
          </w:tcPr>
          <w:p w14:paraId="7FE1C917" w14:textId="2B767234" w:rsidR="00B81226" w:rsidRDefault="00B82AC2">
            <w:pPr>
              <w:pStyle w:val="P68B1DB1-Normal31"/>
              <w:rPr>
                <w:strike/>
              </w:rPr>
            </w:pPr>
            <w:r>
              <w:t>0120–0130</w:t>
            </w:r>
          </w:p>
        </w:tc>
        <w:tc>
          <w:tcPr>
            <w:tcW w:w="7832" w:type="dxa"/>
            <w:tcBorders>
              <w:top w:val="single" w:sz="8" w:space="0" w:color="auto"/>
              <w:left w:val="single" w:sz="8" w:space="0" w:color="auto"/>
              <w:bottom w:val="single" w:sz="8" w:space="0" w:color="auto"/>
            </w:tcBorders>
            <w:vAlign w:val="bottom"/>
          </w:tcPr>
          <w:p w14:paraId="7FE1C918" w14:textId="77777777" w:rsidR="00B81226" w:rsidRDefault="00B82AC2">
            <w:pPr>
              <w:pStyle w:val="P68B1DB1-TableParagraph73"/>
              <w:spacing w:before="108"/>
              <w:ind w:left="85"/>
              <w:jc w:val="both"/>
            </w:pPr>
            <w:r>
              <w:t>Omien tilien ja asiakastilien transaktioiden arvo</w:t>
            </w:r>
          </w:p>
          <w:p w14:paraId="7FE1C919" w14:textId="7A080DD4" w:rsidR="00B81226" w:rsidRDefault="00B82AC2">
            <w:pPr>
              <w:pStyle w:val="P68B1DB1-TableParagraph40"/>
              <w:spacing w:before="108"/>
              <w:ind w:left="85"/>
              <w:jc w:val="both"/>
            </w:pPr>
            <w:r>
              <w:t xml:space="preserve">Vastaavien tilityyppien tapahtumien arvo raportointivuonna. Sarake 0130 sisältää sekä kokonaistiliarvot että erilliset asiakastiliarvot. </w:t>
            </w:r>
          </w:p>
          <w:p w14:paraId="7FE1C91A" w14:textId="77777777" w:rsidR="00B81226" w:rsidRDefault="00B82AC2">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PS:n, CCP:n, (I)CSD:n raportti</w:t>
            </w:r>
            <w:r>
              <w:rPr>
                <w:rStyle w:val="FootnoteReference"/>
                <w:rFonts w:ascii="Times New Roman" w:eastAsia="Times New Roman" w:hAnsi="Times New Roman" w:cs="Times New Roman"/>
              </w:rPr>
              <w:footnoteReference w:id="35"/>
            </w:r>
            <w:r>
              <w:rPr>
                <w:rFonts w:ascii="Times New Roman" w:eastAsia="Times New Roman" w:hAnsi="Times New Roman" w:cs="Times New Roman"/>
                <w:sz w:val="20"/>
                <w:szCs w:val="20"/>
              </w:rPr>
              <w:t>.</w:t>
            </w:r>
          </w:p>
          <w:p w14:paraId="7FE1C91B" w14:textId="77777777" w:rsidR="00B81226" w:rsidRDefault="00B82AC2">
            <w:pPr>
              <w:pStyle w:val="P68B1DB1-TableParagraph40"/>
              <w:numPr>
                <w:ilvl w:val="0"/>
                <w:numId w:val="250"/>
              </w:numPr>
              <w:spacing w:before="108"/>
              <w:jc w:val="both"/>
            </w:pPr>
            <w:r>
              <w:t>PS: Lähetettyjen tapahtumien arvo.</w:t>
            </w:r>
          </w:p>
          <w:p w14:paraId="7FE1C91C" w14:textId="77777777" w:rsidR="00B81226" w:rsidRDefault="00B82AC2">
            <w:pPr>
              <w:pStyle w:val="P68B1DB1-TableParagraph40"/>
              <w:numPr>
                <w:ilvl w:val="0"/>
                <w:numId w:val="250"/>
              </w:numPr>
              <w:spacing w:before="108"/>
              <w:jc w:val="both"/>
            </w:pPr>
            <w:r>
              <w:t>Keskusvastapuolet: Vuoden aikana toteutettujen tapahtumien kokonaisarvo. Keskusvastapuolijohdannaisten osalta:</w:t>
            </w:r>
          </w:p>
          <w:p w14:paraId="7FE1C91D" w14:textId="77777777" w:rsidR="00B81226" w:rsidRDefault="00B82AC2">
            <w:pPr>
              <w:pStyle w:val="P68B1DB1-TableParagraph40"/>
              <w:numPr>
                <w:ilvl w:val="1"/>
                <w:numId w:val="250"/>
              </w:numPr>
              <w:spacing w:before="108"/>
              <w:jc w:val="both"/>
            </w:pPr>
            <w:r>
              <w:t>Optiot = toteutushinta;</w:t>
            </w:r>
          </w:p>
          <w:p w14:paraId="7FE1C91E" w14:textId="77777777" w:rsidR="00B81226" w:rsidRDefault="00B82AC2">
            <w:pPr>
              <w:pStyle w:val="P68B1DB1-TableParagraph40"/>
              <w:numPr>
                <w:ilvl w:val="1"/>
                <w:numId w:val="250"/>
              </w:numPr>
              <w:spacing w:before="108"/>
              <w:jc w:val="both"/>
            </w:pPr>
            <w:r>
              <w:t>Futuurit = kohde-etuuden arvo transaktion ajankohtana tai, jos kohde-etuutena on nimellinen kohde-etuus, futuurisopimusten markkinahinta transaktion ajankohtana.</w:t>
            </w:r>
          </w:p>
          <w:p w14:paraId="7FE1C91F" w14:textId="77777777" w:rsidR="00B81226" w:rsidRDefault="00B82AC2">
            <w:pPr>
              <w:pStyle w:val="P68B1DB1-TableParagraph40"/>
              <w:numPr>
                <w:ilvl w:val="1"/>
                <w:numId w:val="250"/>
              </w:numPr>
              <w:spacing w:before="108"/>
              <w:jc w:val="both"/>
            </w:pPr>
            <w:r>
              <w:t>Swap-sopimukset = vuoden lopussa avoinna olevien transaktioiden yhteenlaskettu markkina-arvo.</w:t>
            </w:r>
          </w:p>
          <w:p w14:paraId="7FE1C920" w14:textId="22076F29" w:rsidR="00B81226" w:rsidRDefault="00B82AC2">
            <w:pPr>
              <w:pStyle w:val="P68B1DB1-TableParagraph40"/>
              <w:numPr>
                <w:ilvl w:val="0"/>
                <w:numId w:val="250"/>
              </w:numPr>
              <w:spacing w:before="108"/>
              <w:jc w:val="both"/>
              <w:rPr>
                <w:strike/>
                <w:color w:val="D13438"/>
                <w:u w:val="single"/>
              </w:rPr>
            </w:pPr>
            <w:r>
              <w:t xml:space="preserve">I)CSD: Toimitusohjeiden kokonaisarvo. </w:t>
            </w:r>
          </w:p>
        </w:tc>
      </w:tr>
      <w:tr w:rsidR="00B81226" w14:paraId="7FE1C926" w14:textId="77777777">
        <w:tc>
          <w:tcPr>
            <w:tcW w:w="1183" w:type="dxa"/>
            <w:tcBorders>
              <w:top w:val="single" w:sz="8" w:space="0" w:color="auto"/>
              <w:bottom w:val="single" w:sz="8" w:space="0" w:color="auto"/>
              <w:right w:val="single" w:sz="8" w:space="0" w:color="auto"/>
            </w:tcBorders>
            <w:vAlign w:val="center"/>
          </w:tcPr>
          <w:p w14:paraId="7FE1C922" w14:textId="1240362A" w:rsidR="00B81226" w:rsidRDefault="00B82AC2">
            <w:pPr>
              <w:pStyle w:val="P68B1DB1-Normal31"/>
              <w:rPr>
                <w:strike/>
              </w:rPr>
            </w:pPr>
            <w:r>
              <w:t>0140</w:t>
            </w:r>
          </w:p>
        </w:tc>
        <w:tc>
          <w:tcPr>
            <w:tcW w:w="7832" w:type="dxa"/>
            <w:tcBorders>
              <w:top w:val="single" w:sz="8" w:space="0" w:color="auto"/>
              <w:left w:val="single" w:sz="8" w:space="0" w:color="auto"/>
              <w:bottom w:val="single" w:sz="8" w:space="0" w:color="auto"/>
            </w:tcBorders>
            <w:vAlign w:val="bottom"/>
          </w:tcPr>
          <w:p w14:paraId="7FE1C923" w14:textId="77777777" w:rsidR="00B81226" w:rsidRDefault="00B82AC2">
            <w:pPr>
              <w:pStyle w:val="P68B1DB1-TableParagraph73"/>
              <w:spacing w:before="108" w:after="120"/>
              <w:ind w:left="85"/>
              <w:jc w:val="both"/>
            </w:pPr>
            <w:r>
              <w:t>Kumulatiivinen nimellismäärä</w:t>
            </w:r>
          </w:p>
          <w:p w14:paraId="7FE1C924" w14:textId="77777777" w:rsidR="00B81226" w:rsidRDefault="00B82AC2">
            <w:pPr>
              <w:pStyle w:val="P68B1DB1-TableParagraph40"/>
              <w:spacing w:before="108"/>
              <w:ind w:left="85"/>
              <w:jc w:val="both"/>
            </w:pPr>
            <w:r>
              <w:t xml:space="preserve">Vuoden aikana toteutettujen liiketoimien nimellismäärien summa sekä koti- että asiakastileillä. Ilmoitetaan milj. euroa. </w:t>
            </w:r>
          </w:p>
          <w:p w14:paraId="7FE1C925" w14:textId="77777777" w:rsidR="00B81226" w:rsidRDefault="00B82AC2">
            <w:pPr>
              <w:pStyle w:val="P68B1DB1-Heading482"/>
              <w:numPr>
                <w:ilvl w:val="3"/>
                <w:numId w:val="0"/>
              </w:numPr>
              <w:ind w:left="360"/>
              <w:rPr>
                <w:strike/>
                <w:color w:val="D13438"/>
                <w:u w:val="single"/>
              </w:rPr>
            </w:pPr>
            <w:r>
              <w:t>Ainoastaan keskusvastapuolten johdannaisten osalta.</w:t>
            </w:r>
          </w:p>
        </w:tc>
      </w:tr>
      <w:tr w:rsidR="00B81226" w14:paraId="7FE1C92A" w14:textId="77777777">
        <w:tc>
          <w:tcPr>
            <w:tcW w:w="1183" w:type="dxa"/>
            <w:tcBorders>
              <w:top w:val="single" w:sz="8" w:space="0" w:color="auto"/>
              <w:bottom w:val="single" w:sz="8" w:space="0" w:color="auto"/>
              <w:right w:val="single" w:sz="8" w:space="0" w:color="auto"/>
            </w:tcBorders>
            <w:vAlign w:val="center"/>
          </w:tcPr>
          <w:p w14:paraId="7FE1C927" w14:textId="446A9A90" w:rsidR="00B81226" w:rsidRDefault="00B82AC2">
            <w:pPr>
              <w:pStyle w:val="P68B1DB1-Normal31"/>
              <w:rPr>
                <w:strike/>
              </w:rPr>
            </w:pPr>
            <w:r>
              <w:t>0150</w:t>
            </w:r>
          </w:p>
        </w:tc>
        <w:tc>
          <w:tcPr>
            <w:tcW w:w="7832" w:type="dxa"/>
            <w:tcBorders>
              <w:top w:val="single" w:sz="8" w:space="0" w:color="auto"/>
              <w:left w:val="single" w:sz="8" w:space="0" w:color="auto"/>
              <w:bottom w:val="single" w:sz="8" w:space="0" w:color="auto"/>
            </w:tcBorders>
            <w:vAlign w:val="bottom"/>
          </w:tcPr>
          <w:p w14:paraId="7FE1C928" w14:textId="77777777" w:rsidR="00B81226" w:rsidRDefault="00B82AC2">
            <w:pPr>
              <w:pStyle w:val="P68B1DB1-TableParagraph73"/>
              <w:spacing w:before="108"/>
              <w:ind w:left="85"/>
              <w:jc w:val="both"/>
            </w:pPr>
            <w:r>
              <w:t>Luottojärjestely</w:t>
            </w:r>
          </w:p>
          <w:p w14:paraId="7FE1C929" w14:textId="77777777" w:rsidR="00B81226" w:rsidRDefault="00B82AC2">
            <w:pPr>
              <w:pStyle w:val="P68B1DB1-Heading482"/>
              <w:numPr>
                <w:ilvl w:val="3"/>
                <w:numId w:val="0"/>
              </w:numPr>
              <w:ind w:left="360"/>
              <w:rPr>
                <w:strike/>
                <w:color w:val="D13438"/>
                <w:u w:val="single"/>
              </w:rPr>
            </w:pPr>
            <w:r>
              <w:t xml:space="preserve">Sidottu tai sitomaton luotto, joka on myönnetty järjestelmässä, kun kyseessä on suora pääsy, tai välittäjän tai muun likviditeetin tarjoajan myöntämä luotto, kun kyseessä on välillinen pääsy. Julkistamattomien määrien osalta enimmäiskäyttö vuoden aikana. </w:t>
            </w:r>
          </w:p>
        </w:tc>
      </w:tr>
      <w:tr w:rsidR="00B81226" w14:paraId="7FE1C931" w14:textId="77777777">
        <w:tc>
          <w:tcPr>
            <w:tcW w:w="1183" w:type="dxa"/>
            <w:tcBorders>
              <w:top w:val="single" w:sz="8" w:space="0" w:color="auto"/>
              <w:bottom w:val="single" w:sz="8" w:space="0" w:color="auto"/>
              <w:right w:val="single" w:sz="8" w:space="0" w:color="auto"/>
            </w:tcBorders>
            <w:vAlign w:val="center"/>
          </w:tcPr>
          <w:p w14:paraId="7FE1C92B" w14:textId="48B84DB8" w:rsidR="00B81226" w:rsidRDefault="00B82AC2">
            <w:pPr>
              <w:pStyle w:val="P68B1DB1-Normal31"/>
              <w:rPr>
                <w:strike/>
              </w:rPr>
            </w:pPr>
            <w:r>
              <w:t>0160</w:t>
            </w:r>
          </w:p>
        </w:tc>
        <w:tc>
          <w:tcPr>
            <w:tcW w:w="7832" w:type="dxa"/>
            <w:tcBorders>
              <w:top w:val="single" w:sz="8" w:space="0" w:color="auto"/>
              <w:left w:val="single" w:sz="8" w:space="0" w:color="auto"/>
              <w:bottom w:val="single" w:sz="8" w:space="0" w:color="auto"/>
            </w:tcBorders>
            <w:vAlign w:val="bottom"/>
          </w:tcPr>
          <w:p w14:paraId="7FE1C92C" w14:textId="77777777" w:rsidR="00B81226" w:rsidRDefault="00B82AC2">
            <w:pPr>
              <w:pStyle w:val="P68B1DB1-TableParagraph73"/>
              <w:spacing w:before="108"/>
              <w:ind w:left="85"/>
              <w:jc w:val="both"/>
            </w:pPr>
            <w:r>
              <w:t>Likviditeetti- tai vakuusvaatimusten huippuarvo</w:t>
            </w:r>
          </w:p>
          <w:p w14:paraId="7FE1C92D" w14:textId="77777777" w:rsidR="00B81226" w:rsidRDefault="00B82AC2">
            <w:pPr>
              <w:pStyle w:val="P68B1DB1-TableParagraph40"/>
              <w:spacing w:before="108"/>
              <w:ind w:left="85"/>
              <w:jc w:val="both"/>
            </w:pPr>
            <w:r>
              <w:t>Ilmoitetaan vain PS, (I)CSD, keskusvastapuolet (soveltuvin osin). Edellisen vuoden huippuarvo.</w:t>
            </w:r>
          </w:p>
          <w:p w14:paraId="7FE1C92E" w14:textId="77777777" w:rsidR="00B81226" w:rsidRDefault="00B82AC2">
            <w:pPr>
              <w:pStyle w:val="P68B1DB1-TableParagraph40"/>
              <w:numPr>
                <w:ilvl w:val="0"/>
                <w:numId w:val="251"/>
              </w:numPr>
              <w:spacing w:before="108"/>
              <w:jc w:val="both"/>
            </w:pPr>
            <w:r>
              <w:t xml:space="preserve">(I)CSD:t ja PS:t: luottolimiitin käyttöhuippu.  </w:t>
            </w:r>
          </w:p>
          <w:p w14:paraId="7FE1C92F" w14:textId="77777777" w:rsidR="00B81226" w:rsidRDefault="00B82AC2">
            <w:pPr>
              <w:pStyle w:val="P68B1DB1-TableParagraph40"/>
              <w:numPr>
                <w:ilvl w:val="0"/>
                <w:numId w:val="251"/>
              </w:numPr>
              <w:spacing w:before="108"/>
              <w:jc w:val="both"/>
            </w:pPr>
            <w:r>
              <w:t>Keskusvastapuolet: vakuusvaatimusten huippu.</w:t>
            </w:r>
          </w:p>
          <w:p w14:paraId="7FE1C930" w14:textId="77777777" w:rsidR="00B81226" w:rsidRDefault="00B82AC2">
            <w:pPr>
              <w:pStyle w:val="P68B1DB1-TableParagraph40"/>
              <w:numPr>
                <w:ilvl w:val="0"/>
                <w:numId w:val="251"/>
              </w:numPr>
              <w:spacing w:before="108"/>
              <w:jc w:val="both"/>
              <w:rPr>
                <w:strike/>
                <w:color w:val="D13438"/>
                <w:u w:val="single"/>
              </w:rPr>
            </w:pPr>
            <w:r>
              <w:t>Epäsuorat yhteydet: välittäjän tarvitseman rahoituksen huippu.</w:t>
            </w:r>
          </w:p>
        </w:tc>
      </w:tr>
      <w:tr w:rsidR="00B81226" w14:paraId="7FE1C935" w14:textId="77777777">
        <w:tc>
          <w:tcPr>
            <w:tcW w:w="1183" w:type="dxa"/>
            <w:tcBorders>
              <w:top w:val="single" w:sz="8" w:space="0" w:color="auto"/>
              <w:bottom w:val="single" w:sz="8" w:space="0" w:color="auto"/>
              <w:right w:val="single" w:sz="8" w:space="0" w:color="auto"/>
            </w:tcBorders>
            <w:vAlign w:val="center"/>
          </w:tcPr>
          <w:p w14:paraId="7FE1C932" w14:textId="618A69A7" w:rsidR="00B81226" w:rsidRDefault="00B82AC2">
            <w:pPr>
              <w:pStyle w:val="P68B1DB1-Normal31"/>
              <w:rPr>
                <w:strike/>
              </w:rPr>
            </w:pPr>
            <w:r>
              <w:lastRenderedPageBreak/>
              <w:t>0170</w:t>
            </w:r>
          </w:p>
        </w:tc>
        <w:tc>
          <w:tcPr>
            <w:tcW w:w="7832" w:type="dxa"/>
            <w:tcBorders>
              <w:top w:val="single" w:sz="8" w:space="0" w:color="auto"/>
              <w:left w:val="single" w:sz="8" w:space="0" w:color="auto"/>
              <w:bottom w:val="single" w:sz="8" w:space="0" w:color="auto"/>
            </w:tcBorders>
            <w:vAlign w:val="bottom"/>
          </w:tcPr>
          <w:p w14:paraId="7FE1C933" w14:textId="77777777" w:rsidR="00B81226" w:rsidRDefault="00B82AC2">
            <w:pPr>
              <w:pStyle w:val="P68B1DB1-TableParagraph73"/>
              <w:spacing w:before="108"/>
              <w:ind w:left="85"/>
              <w:jc w:val="both"/>
            </w:pPr>
            <w:r>
              <w:t>Arvioidut lisälikviditeettiä tai -vakuuksia koskevat vaatimukset stressitilanteessa</w:t>
            </w:r>
          </w:p>
          <w:p w14:paraId="7FE1C934" w14:textId="16041565" w:rsidR="00B81226" w:rsidRDefault="00B82AC2">
            <w:pPr>
              <w:pStyle w:val="P68B1DB1-Heading482"/>
              <w:numPr>
                <w:ilvl w:val="3"/>
                <w:numId w:val="0"/>
              </w:numPr>
              <w:ind w:left="360"/>
              <w:rPr>
                <w:strike/>
                <w:color w:val="D13438"/>
                <w:u w:val="single"/>
              </w:rPr>
            </w:pPr>
            <w:r>
              <w:t xml:space="preserve">Arvio mahdollisesta ylimääräisestä likviditeetistä tai vakuudesta, joka ylittää sarakkeessa 0160 esitetyn huippuvaatimuksen ja jota käyttäjä saattaa kohdata vakavassa stressitilanteessa. </w:t>
            </w:r>
          </w:p>
        </w:tc>
      </w:tr>
    </w:tbl>
    <w:p w14:paraId="7FE1C936" w14:textId="77777777" w:rsidR="00B81226" w:rsidRDefault="00B81226">
      <w:pPr>
        <w:pStyle w:val="Instructionsberschrift2"/>
        <w:ind w:left="357"/>
        <w:rPr>
          <w:rFonts w:ascii="Times New Roman" w:eastAsia="Calibri" w:hAnsi="Times New Roman" w:cs="Times New Roman"/>
          <w:szCs w:val="20"/>
        </w:rPr>
      </w:pPr>
    </w:p>
    <w:p w14:paraId="7FE1C937" w14:textId="77777777" w:rsidR="00B81226" w:rsidRDefault="00B82AC2">
      <w:pPr>
        <w:pStyle w:val="P68B1DB1-Instructionsberschrift271"/>
        <w:numPr>
          <w:ilvl w:val="1"/>
          <w:numId w:val="49"/>
        </w:numPr>
        <w:ind w:left="357" w:hanging="357"/>
      </w:pPr>
      <w:bookmarkStart w:id="140" w:name="_Toc208245464"/>
      <w:r>
        <w:t>Z 09.04 – FMI-palvelut – keskusvastapuolet – vaihtoehtoiset palveluntarjoajat (FMI 4)</w:t>
      </w:r>
      <w:bookmarkEnd w:id="140"/>
    </w:p>
    <w:tbl>
      <w:tblPr>
        <w:tblW w:w="0" w:type="auto"/>
        <w:tblInd w:w="135" w:type="dxa"/>
        <w:tblLook w:val="04A0" w:firstRow="1" w:lastRow="0" w:firstColumn="1" w:lastColumn="0" w:noHBand="0" w:noVBand="1"/>
      </w:tblPr>
      <w:tblGrid>
        <w:gridCol w:w="1178"/>
        <w:gridCol w:w="7713"/>
      </w:tblGrid>
      <w:tr w:rsidR="00B81226" w14:paraId="7FE1CBEC" w14:textId="77777777">
        <w:tc>
          <w:tcPr>
            <w:tcW w:w="1178" w:type="dxa"/>
            <w:tcBorders>
              <w:top w:val="single" w:sz="8" w:space="0" w:color="1A171C"/>
              <w:left w:val="nil"/>
              <w:bottom w:val="single" w:sz="8" w:space="0" w:color="1A171C"/>
              <w:right w:val="single" w:sz="8" w:space="0" w:color="1A171C"/>
            </w:tcBorders>
            <w:shd w:val="clear" w:color="auto" w:fill="D9D9D9" w:themeFill="background1" w:themeFillShade="D9"/>
          </w:tcPr>
          <w:p w14:paraId="7FE1CBEA" w14:textId="77777777" w:rsidR="00B81226" w:rsidRDefault="00B82AC2">
            <w:pPr>
              <w:pStyle w:val="P68B1DB1-TableParagraph17"/>
              <w:spacing w:before="108"/>
              <w:ind w:left="85"/>
            </w:pPr>
            <w:bookmarkStart w:id="141" w:name="_Toc162265152"/>
            <w:bookmarkStart w:id="142" w:name="_Toc162265682"/>
            <w:bookmarkStart w:id="143" w:name="_Toc162265752"/>
            <w:bookmarkStart w:id="144" w:name="_Toc162266097"/>
            <w:bookmarkStart w:id="145" w:name="_Toc163639558"/>
            <w:bookmarkStart w:id="146" w:name="_Toc162265153"/>
            <w:bookmarkStart w:id="147" w:name="_Toc162265683"/>
            <w:bookmarkStart w:id="148" w:name="_Toc162265753"/>
            <w:bookmarkStart w:id="149" w:name="_Toc162266098"/>
            <w:bookmarkStart w:id="150" w:name="_Toc163639559"/>
            <w:bookmarkStart w:id="151" w:name="_Toc160027996"/>
            <w:bookmarkStart w:id="152" w:name="_Toc160028068"/>
            <w:bookmarkStart w:id="153" w:name="_Toc160028140"/>
            <w:bookmarkStart w:id="154" w:name="_Toc161034556"/>
            <w:bookmarkStart w:id="155" w:name="_Toc162265154"/>
            <w:bookmarkStart w:id="156" w:name="_Toc162265684"/>
            <w:bookmarkStart w:id="157" w:name="_Toc162265754"/>
            <w:bookmarkStart w:id="158" w:name="_Toc162266099"/>
            <w:bookmarkStart w:id="159" w:name="_Toc163639560"/>
            <w:bookmarkStart w:id="160" w:name="_Toc189493010"/>
            <w:bookmarkStart w:id="161" w:name="_Toc192249287"/>
            <w:bookmarkStart w:id="162" w:name="_Toc189493015"/>
            <w:bookmarkStart w:id="163" w:name="_Toc192249292"/>
            <w:bookmarkStart w:id="164" w:name="_Toc189493098"/>
            <w:bookmarkStart w:id="165" w:name="_Toc192249375"/>
            <w:bookmarkStart w:id="166" w:name="_Toc189493105"/>
            <w:bookmarkStart w:id="167" w:name="_Toc192249382"/>
            <w:bookmarkStart w:id="168" w:name="_Toc160027999"/>
            <w:bookmarkStart w:id="169" w:name="_Toc160028071"/>
            <w:bookmarkStart w:id="170" w:name="_Toc160028143"/>
            <w:bookmarkStart w:id="171" w:name="_Toc161034559"/>
            <w:bookmarkStart w:id="172" w:name="_Toc162265157"/>
            <w:bookmarkStart w:id="173" w:name="_Toc162265687"/>
            <w:bookmarkStart w:id="174" w:name="_Toc162265757"/>
            <w:bookmarkStart w:id="175" w:name="_Toc162266102"/>
            <w:bookmarkStart w:id="176" w:name="_Toc163639563"/>
            <w:bookmarkStart w:id="177" w:name="_Toc160028000"/>
            <w:bookmarkStart w:id="178" w:name="_Toc160028072"/>
            <w:bookmarkStart w:id="179" w:name="_Toc160028144"/>
            <w:bookmarkStart w:id="180" w:name="_Toc161034560"/>
            <w:bookmarkStart w:id="181" w:name="_Toc162265158"/>
            <w:bookmarkStart w:id="182" w:name="_Toc162265688"/>
            <w:bookmarkStart w:id="183" w:name="_Toc162265758"/>
            <w:bookmarkStart w:id="184" w:name="_Toc162266103"/>
            <w:bookmarkStart w:id="185" w:name="_Toc163639564"/>
            <w:bookmarkStart w:id="186" w:name="_Toc160028001"/>
            <w:bookmarkStart w:id="187" w:name="_Toc160028073"/>
            <w:bookmarkStart w:id="188" w:name="_Toc160028145"/>
            <w:bookmarkStart w:id="189" w:name="_Toc161034561"/>
            <w:bookmarkStart w:id="190" w:name="_Toc162265159"/>
            <w:bookmarkStart w:id="191" w:name="_Toc162265689"/>
            <w:bookmarkStart w:id="192" w:name="_Toc162265759"/>
            <w:bookmarkStart w:id="193" w:name="_Toc162266104"/>
            <w:bookmarkStart w:id="194" w:name="_Toc163639565"/>
            <w:bookmarkStart w:id="195" w:name="_Toc81454197"/>
            <w:bookmarkStart w:id="196" w:name="_Toc81485512"/>
            <w:bookmarkStart w:id="197" w:name="_Toc81485589"/>
            <w:bookmarkStart w:id="198" w:name="_Toc81485710"/>
            <w:bookmarkStart w:id="199" w:name="_Toc81485994"/>
            <w:bookmarkStart w:id="200" w:name="_Toc160028002"/>
            <w:bookmarkStart w:id="201" w:name="_Toc160028074"/>
            <w:bookmarkStart w:id="202" w:name="_Toc160028146"/>
            <w:bookmarkStart w:id="203" w:name="_Toc161034562"/>
            <w:bookmarkStart w:id="204" w:name="_Toc162265160"/>
            <w:bookmarkStart w:id="205" w:name="_Toc162265690"/>
            <w:bookmarkStart w:id="206" w:name="_Toc162265760"/>
            <w:bookmarkStart w:id="207" w:name="_Toc162266105"/>
            <w:bookmarkStart w:id="208" w:name="_Toc163639566"/>
            <w:bookmarkStart w:id="209" w:name="_Toc81454198"/>
            <w:bookmarkStart w:id="210" w:name="_Toc81485513"/>
            <w:bookmarkStart w:id="211" w:name="_Toc81485590"/>
            <w:bookmarkStart w:id="212" w:name="_Toc81485711"/>
            <w:bookmarkStart w:id="213" w:name="_Toc81485995"/>
            <w:bookmarkStart w:id="214" w:name="_Toc160028003"/>
            <w:bookmarkStart w:id="215" w:name="_Toc160028075"/>
            <w:bookmarkStart w:id="216" w:name="_Toc160028147"/>
            <w:bookmarkStart w:id="217" w:name="_Toc161034563"/>
            <w:bookmarkStart w:id="218" w:name="_Toc162265161"/>
            <w:bookmarkStart w:id="219" w:name="_Toc162265691"/>
            <w:bookmarkStart w:id="220" w:name="_Toc162265761"/>
            <w:bookmarkStart w:id="221" w:name="_Toc162266106"/>
            <w:bookmarkStart w:id="222" w:name="_Toc163639567"/>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t xml:space="preserve">Sarakkeet </w:t>
            </w:r>
          </w:p>
        </w:tc>
        <w:tc>
          <w:tcPr>
            <w:tcW w:w="7713" w:type="dxa"/>
            <w:tcBorders>
              <w:top w:val="single" w:sz="8" w:space="0" w:color="1A171C"/>
              <w:left w:val="single" w:sz="8" w:space="0" w:color="1A171C"/>
              <w:bottom w:val="single" w:sz="8" w:space="0" w:color="1A171C"/>
              <w:right w:val="nil"/>
            </w:tcBorders>
            <w:shd w:val="clear" w:color="auto" w:fill="D9D9D9" w:themeFill="background1" w:themeFillShade="D9"/>
          </w:tcPr>
          <w:p w14:paraId="7FE1CBEB" w14:textId="77777777" w:rsidR="00B81226" w:rsidRDefault="00B82AC2">
            <w:pPr>
              <w:pStyle w:val="P68B1DB1-TableParagraph17"/>
              <w:spacing w:before="108"/>
              <w:ind w:left="85"/>
            </w:pPr>
            <w:r>
              <w:t xml:space="preserve">Ohjeet </w:t>
            </w:r>
          </w:p>
        </w:tc>
      </w:tr>
      <w:tr w:rsidR="00B81226" w14:paraId="7FE1CBF3" w14:textId="77777777">
        <w:tc>
          <w:tcPr>
            <w:tcW w:w="1178" w:type="dxa"/>
            <w:tcBorders>
              <w:top w:val="single" w:sz="8" w:space="0" w:color="1A171C"/>
              <w:bottom w:val="single" w:sz="8" w:space="0" w:color="auto"/>
              <w:right w:val="single" w:sz="8" w:space="0" w:color="auto"/>
            </w:tcBorders>
            <w:vAlign w:val="center"/>
          </w:tcPr>
          <w:p w14:paraId="7FE1CBED" w14:textId="2655C4FA" w:rsidR="00B81226" w:rsidRDefault="00B82AC2">
            <w:pPr>
              <w:pStyle w:val="P68B1DB1-Normal31"/>
            </w:pPr>
            <w:r>
              <w:t>0010</w:t>
            </w:r>
          </w:p>
        </w:tc>
        <w:tc>
          <w:tcPr>
            <w:tcW w:w="7713" w:type="dxa"/>
            <w:tcBorders>
              <w:top w:val="single" w:sz="8" w:space="0" w:color="1A171C"/>
              <w:left w:val="single" w:sz="8" w:space="0" w:color="auto"/>
              <w:bottom w:val="single" w:sz="8" w:space="0" w:color="auto"/>
            </w:tcBorders>
            <w:vAlign w:val="bottom"/>
          </w:tcPr>
          <w:p w14:paraId="7FE1CBEE" w14:textId="77777777" w:rsidR="00B81226" w:rsidRDefault="00B82AC2">
            <w:pPr>
              <w:pStyle w:val="P68B1DB1-TableParagraph73"/>
              <w:spacing w:before="108"/>
              <w:ind w:left="85"/>
              <w:jc w:val="both"/>
            </w:pPr>
            <w:r>
              <w:t>Käyttäjän, rahoitusmarkkinoiden infrastruktuurin, järjestelmän tyypin ja välittäjän yhdistelmää edustava tunnus</w:t>
            </w:r>
          </w:p>
          <w:p w14:paraId="7FE1CBEF" w14:textId="2166D4DC" w:rsidR="00B81226" w:rsidRDefault="00B82AC2">
            <w:pPr>
              <w:pStyle w:val="P68B1DB1-TableParagraph40"/>
              <w:spacing w:before="108"/>
              <w:ind w:left="85"/>
              <w:jc w:val="both"/>
            </w:pPr>
            <w:r>
              <w:t xml:space="preserve">Koodin Z 09.01 sarakkeessa 0010 annettu keskusvastapuolen tunniste. </w:t>
            </w:r>
          </w:p>
          <w:p w14:paraId="7FE1CBF2" w14:textId="2A5BCF53" w:rsidR="00B81226" w:rsidRDefault="00B82AC2">
            <w:pPr>
              <w:pStyle w:val="P68B1DB1-TableParagraph40"/>
              <w:spacing w:before="108"/>
              <w:ind w:left="85"/>
              <w:jc w:val="both"/>
              <w:rPr>
                <w:b/>
                <w:bCs/>
                <w:i/>
                <w:iCs/>
              </w:rPr>
            </w:pPr>
            <w:r>
              <w:t>Ilmoitetaan ainoastaan keskusvastapuolista, joihin on pääsy joko suoraan tai välillisesti. Ilmoitetaan kaikki keskusvastapuoliin pääsyt.</w:t>
            </w:r>
          </w:p>
        </w:tc>
      </w:tr>
      <w:tr w:rsidR="00B81226" w14:paraId="7FE1CBF9" w14:textId="77777777">
        <w:tc>
          <w:tcPr>
            <w:tcW w:w="1178" w:type="dxa"/>
            <w:tcBorders>
              <w:top w:val="single" w:sz="8" w:space="0" w:color="auto"/>
              <w:bottom w:val="single" w:sz="8" w:space="0" w:color="auto"/>
              <w:right w:val="single" w:sz="8" w:space="0" w:color="auto"/>
            </w:tcBorders>
            <w:vAlign w:val="center"/>
          </w:tcPr>
          <w:p w14:paraId="7FE1CBF4" w14:textId="1F2D5BBA" w:rsidR="00B81226" w:rsidRDefault="00B82AC2">
            <w:pPr>
              <w:pStyle w:val="P68B1DB1-Normal31"/>
            </w:pPr>
            <w:r>
              <w:t>0020</w:t>
            </w:r>
          </w:p>
        </w:tc>
        <w:tc>
          <w:tcPr>
            <w:tcW w:w="7713" w:type="dxa"/>
            <w:tcBorders>
              <w:top w:val="single" w:sz="8" w:space="0" w:color="auto"/>
              <w:left w:val="single" w:sz="8" w:space="0" w:color="auto"/>
              <w:bottom w:val="single" w:sz="8" w:space="0" w:color="auto"/>
            </w:tcBorders>
            <w:vAlign w:val="bottom"/>
          </w:tcPr>
          <w:p w14:paraId="7FE1CBF5" w14:textId="77777777" w:rsidR="00B81226" w:rsidRDefault="00B82AC2">
            <w:pPr>
              <w:pStyle w:val="P68B1DB1-TableParagraph73"/>
              <w:spacing w:before="108"/>
              <w:ind w:left="85"/>
              <w:jc w:val="both"/>
              <w:rPr>
                <w:bCs/>
              </w:rPr>
            </w:pPr>
            <w:r>
              <w:t>Tuotetyyppi</w:t>
            </w:r>
          </w:p>
          <w:p w14:paraId="7FE1CBF8" w14:textId="236012E4" w:rsidR="00B81226" w:rsidRDefault="00B82AC2">
            <w:pPr>
              <w:pStyle w:val="P68B1DB1-TableParagraph40"/>
              <w:spacing w:before="108"/>
              <w:ind w:left="85"/>
              <w:jc w:val="both"/>
              <w:rPr>
                <w:b/>
                <w:bCs/>
                <w:i/>
                <w:iCs/>
              </w:rPr>
            </w:pPr>
            <w:r>
              <w:t xml:space="preserve">Määrityssopimuksen kattama tuotetyyppi. Ilmoitetaan korvattavuusanalyysin edellyttämällä tarkkuustasolla. </w:t>
            </w:r>
          </w:p>
        </w:tc>
      </w:tr>
      <w:tr w:rsidR="00B81226" w14:paraId="7FE1CC03" w14:textId="77777777">
        <w:tc>
          <w:tcPr>
            <w:tcW w:w="1178" w:type="dxa"/>
            <w:tcBorders>
              <w:top w:val="single" w:sz="8" w:space="0" w:color="auto"/>
              <w:bottom w:val="single" w:sz="8" w:space="0" w:color="auto"/>
              <w:right w:val="single" w:sz="8" w:space="0" w:color="auto"/>
            </w:tcBorders>
            <w:vAlign w:val="center"/>
          </w:tcPr>
          <w:p w14:paraId="7FE1CBFA" w14:textId="37C17AD0" w:rsidR="00B81226" w:rsidRDefault="00B82AC2">
            <w:pPr>
              <w:pStyle w:val="P68B1DB1-Normal31"/>
            </w:pPr>
            <w:r>
              <w:t>0030</w:t>
            </w:r>
          </w:p>
        </w:tc>
        <w:tc>
          <w:tcPr>
            <w:tcW w:w="7713" w:type="dxa"/>
            <w:tcBorders>
              <w:top w:val="single" w:sz="8" w:space="0" w:color="auto"/>
              <w:left w:val="single" w:sz="8" w:space="0" w:color="auto"/>
              <w:bottom w:val="single" w:sz="8" w:space="0" w:color="auto"/>
            </w:tcBorders>
            <w:vAlign w:val="bottom"/>
          </w:tcPr>
          <w:p w14:paraId="7FE1CBFB" w14:textId="77777777" w:rsidR="00B81226" w:rsidRDefault="00B82AC2">
            <w:pPr>
              <w:pStyle w:val="P68B1DB1-TableParagraph73"/>
              <w:spacing w:before="108"/>
              <w:ind w:left="85"/>
              <w:jc w:val="both"/>
            </w:pPr>
            <w:r>
              <w:t>Substitutability K/E</w:t>
            </w:r>
          </w:p>
          <w:p w14:paraId="7FE1CBFC" w14:textId="24D3331D" w:rsidR="00B81226" w:rsidRDefault="00B82AC2">
            <w:pPr>
              <w:pStyle w:val="P68B1DB1-TableParagraph40"/>
              <w:spacing w:before="108"/>
              <w:ind w:left="85"/>
              <w:jc w:val="both"/>
            </w:pPr>
            <w:r>
              <w:t>Käyttäjän kyky korvata Z 09.01 sarakkeessa 0020 ilmoitettu määrityspalvelujen tarjoaja vaihtoehtoisella rahoitusmarkkinoiden infrastruktuurilla/välittäjällä, jonka kanssa sillä on sopimussuhde raportointipäivänä. .</w:t>
            </w:r>
          </w:p>
          <w:p w14:paraId="7FE1CBFE" w14:textId="1F022B26" w:rsidR="00B81226" w:rsidRDefault="00B82AC2">
            <w:pPr>
              <w:pStyle w:val="P68B1DB1-TableParagraph40"/>
              <w:numPr>
                <w:ilvl w:val="0"/>
                <w:numId w:val="256"/>
              </w:numPr>
              <w:spacing w:before="108"/>
              <w:jc w:val="both"/>
            </w:pPr>
            <w:r>
              <w:t>”Kyllä”, jos korvaaminen on mahdollista.</w:t>
            </w:r>
          </w:p>
          <w:p w14:paraId="7FE1CBFF" w14:textId="719E31EA" w:rsidR="00B81226" w:rsidRDefault="00B82AC2">
            <w:pPr>
              <w:pStyle w:val="P68B1DB1-TableParagraph40"/>
              <w:numPr>
                <w:ilvl w:val="0"/>
                <w:numId w:val="256"/>
              </w:numPr>
              <w:spacing w:before="108"/>
              <w:jc w:val="both"/>
            </w:pPr>
            <w:r>
              <w:t>”Ei”, jos korvaaminen ei ole mahdollista</w:t>
            </w:r>
          </w:p>
          <w:p w14:paraId="7FE1CC02" w14:textId="77777777" w:rsidR="00B81226" w:rsidRDefault="00B81226">
            <w:pPr>
              <w:pStyle w:val="TableParagraph"/>
              <w:spacing w:before="108"/>
              <w:jc w:val="both"/>
              <w:rPr>
                <w:rFonts w:ascii="Times New Roman" w:eastAsia="Times New Roman" w:hAnsi="Times New Roman" w:cs="Times New Roman"/>
                <w:b/>
                <w:sz w:val="20"/>
                <w:szCs w:val="20"/>
              </w:rPr>
            </w:pPr>
          </w:p>
        </w:tc>
      </w:tr>
      <w:tr w:rsidR="00B81226" w14:paraId="7FE1CC08" w14:textId="77777777">
        <w:tc>
          <w:tcPr>
            <w:tcW w:w="1178" w:type="dxa"/>
            <w:tcBorders>
              <w:top w:val="single" w:sz="8" w:space="0" w:color="auto"/>
              <w:bottom w:val="single" w:sz="8" w:space="0" w:color="auto"/>
              <w:right w:val="single" w:sz="8" w:space="0" w:color="auto"/>
            </w:tcBorders>
            <w:vAlign w:val="center"/>
          </w:tcPr>
          <w:p w14:paraId="7FE1CC04" w14:textId="77777777" w:rsidR="00B81226" w:rsidRDefault="00B82AC2">
            <w:pPr>
              <w:pStyle w:val="P68B1DB1-Normal31"/>
            </w:pPr>
            <w:r>
              <w:t>0040</w:t>
            </w:r>
          </w:p>
        </w:tc>
        <w:tc>
          <w:tcPr>
            <w:tcW w:w="7713" w:type="dxa"/>
            <w:tcBorders>
              <w:top w:val="single" w:sz="8" w:space="0" w:color="auto"/>
              <w:left w:val="single" w:sz="8" w:space="0" w:color="auto"/>
              <w:bottom w:val="single" w:sz="8" w:space="0" w:color="auto"/>
            </w:tcBorders>
            <w:vAlign w:val="bottom"/>
          </w:tcPr>
          <w:p w14:paraId="7FE1CC05" w14:textId="77777777" w:rsidR="00B81226" w:rsidRDefault="00B82AC2">
            <w:pPr>
              <w:pStyle w:val="P68B1DB1-TableParagraph73"/>
              <w:spacing w:before="108" w:after="120"/>
              <w:jc w:val="both"/>
              <w:rPr>
                <w:bCs/>
              </w:rPr>
            </w:pPr>
            <w:r>
              <w:t>Vaihtoehtoinen palveluntarjoaja</w:t>
            </w:r>
          </w:p>
          <w:p w14:paraId="7FE1CC06" w14:textId="77777777" w:rsidR="00B81226" w:rsidRDefault="00B82AC2">
            <w:pPr>
              <w:pStyle w:val="P68B1DB1-Normal31"/>
              <w:spacing w:line="276" w:lineRule="auto"/>
              <w:jc w:val="both"/>
            </w:pPr>
            <w:r>
              <w:t xml:space="preserve">Rahoitusmarkkinoiden infrastruktuurin/välittäjän nimi, joka on yksilöity mahdolliseksi korvaavaksi henkilöksi. </w:t>
            </w:r>
          </w:p>
          <w:p w14:paraId="7FE1CC07" w14:textId="2011DAFC" w:rsidR="00B81226" w:rsidRDefault="00B82AC2">
            <w:pPr>
              <w:pStyle w:val="P68B1DB1-TableParagraph40"/>
              <w:spacing w:before="108"/>
              <w:ind w:left="85"/>
              <w:jc w:val="both"/>
              <w:rPr>
                <w:b/>
                <w:bCs/>
              </w:rPr>
            </w:pPr>
            <w:r>
              <w:t>Ilmoitetaan vain, jos Z 09.04 sarake 0030 on Kyllä.</w:t>
            </w:r>
          </w:p>
        </w:tc>
      </w:tr>
      <w:tr w:rsidR="00B81226" w14:paraId="7FE1CC0D" w14:textId="77777777">
        <w:tc>
          <w:tcPr>
            <w:tcW w:w="1178" w:type="dxa"/>
            <w:tcBorders>
              <w:top w:val="single" w:sz="8" w:space="0" w:color="auto"/>
              <w:bottom w:val="single" w:sz="8" w:space="0" w:color="auto"/>
              <w:right w:val="single" w:sz="8" w:space="0" w:color="auto"/>
            </w:tcBorders>
            <w:vAlign w:val="center"/>
          </w:tcPr>
          <w:p w14:paraId="7FE1CC09" w14:textId="77777777" w:rsidR="00B81226" w:rsidRDefault="00B82AC2">
            <w:pPr>
              <w:pStyle w:val="P68B1DB1-Normal31"/>
            </w:pPr>
            <w:r>
              <w:t>0050</w:t>
            </w:r>
          </w:p>
        </w:tc>
        <w:tc>
          <w:tcPr>
            <w:tcW w:w="7713" w:type="dxa"/>
            <w:tcBorders>
              <w:top w:val="single" w:sz="8" w:space="0" w:color="auto"/>
              <w:left w:val="single" w:sz="8" w:space="0" w:color="auto"/>
              <w:bottom w:val="single" w:sz="8" w:space="0" w:color="auto"/>
            </w:tcBorders>
            <w:vAlign w:val="bottom"/>
          </w:tcPr>
          <w:p w14:paraId="7FE1CC0A" w14:textId="77777777" w:rsidR="00B81226" w:rsidRDefault="00B82AC2">
            <w:pPr>
              <w:pStyle w:val="P68B1DB1-TableParagraph73"/>
              <w:spacing w:before="108"/>
              <w:jc w:val="both"/>
              <w:rPr>
                <w:bCs/>
              </w:rPr>
            </w:pPr>
            <w:r>
              <w:t>Vaihtoehtoisen palveluntarjoajan tunniste</w:t>
            </w:r>
          </w:p>
          <w:p w14:paraId="7FE1CC0B" w14:textId="680AAC78" w:rsidR="00B81226" w:rsidRDefault="00B82AC2">
            <w:pPr>
              <w:pStyle w:val="P68B1DB1-Normal31"/>
              <w:spacing w:after="120" w:line="276" w:lineRule="auto"/>
              <w:jc w:val="both"/>
              <w:rPr>
                <w:b/>
                <w:bCs/>
              </w:rPr>
            </w:pPr>
            <w:r>
              <w:t>Yksilöllinen tunniste, joka edustaa sellaisen vaihtoehtoisen palveluntarjoajan käyttäjän, FMI:n, järjestelmätyypin ja välittäjän yhdistelmää, jonka kanssa käyttäjällä on vakiintunut sopimussuhde, kuten ilmoitetaan sarakkeessa Z 09.01 sarakkeessa 0010.</w:t>
            </w:r>
            <w:r>
              <w:rPr>
                <w:b/>
              </w:rPr>
              <w:t xml:space="preserve"> </w:t>
            </w:r>
          </w:p>
          <w:p w14:paraId="7FE1CC0C" w14:textId="7C8756E6" w:rsidR="00B81226" w:rsidRDefault="00B82AC2">
            <w:pPr>
              <w:pStyle w:val="P68B1DB1-TableParagraph40"/>
              <w:spacing w:before="108"/>
              <w:ind w:left="85"/>
              <w:jc w:val="both"/>
              <w:rPr>
                <w:b/>
                <w:bCs/>
              </w:rPr>
            </w:pPr>
            <w:r>
              <w:t>Ilmoitetaan vain, jos Z 09.04 sarake 0030 on Kyllä.</w:t>
            </w:r>
          </w:p>
        </w:tc>
      </w:tr>
    </w:tbl>
    <w:p w14:paraId="7FE1CECA" w14:textId="77777777" w:rsidR="00B81226" w:rsidRDefault="00B81226">
      <w:pPr>
        <w:rPr>
          <w:rFonts w:ascii="Times New Roman" w:hAnsi="Times New Roman" w:cs="Times New Roman"/>
          <w:b/>
          <w:color w:val="000000" w:themeColor="text1"/>
          <w:sz w:val="20"/>
          <w:szCs w:val="20"/>
          <w:u w:val="single"/>
        </w:rPr>
      </w:pPr>
      <w:bookmarkStart w:id="223" w:name="_Toc80891744"/>
      <w:bookmarkStart w:id="224" w:name="_Toc81454206"/>
      <w:bookmarkStart w:id="225" w:name="_Toc81485521"/>
      <w:bookmarkStart w:id="226" w:name="_Toc81485598"/>
      <w:bookmarkStart w:id="227" w:name="_Toc81485719"/>
      <w:bookmarkStart w:id="228" w:name="_Toc81486003"/>
      <w:bookmarkStart w:id="229" w:name="_Toc160028011"/>
      <w:bookmarkStart w:id="230" w:name="_Toc160028083"/>
      <w:bookmarkStart w:id="231" w:name="_Toc160028155"/>
      <w:bookmarkStart w:id="232" w:name="_Toc80891746"/>
      <w:bookmarkStart w:id="233" w:name="_Toc81454208"/>
      <w:bookmarkStart w:id="234" w:name="_Toc81485523"/>
      <w:bookmarkStart w:id="235" w:name="_Toc81485600"/>
      <w:bookmarkStart w:id="236" w:name="_Toc81485721"/>
      <w:bookmarkStart w:id="237" w:name="_Toc81486005"/>
      <w:bookmarkStart w:id="238" w:name="_Toc160028013"/>
      <w:bookmarkStart w:id="239" w:name="_Toc160028085"/>
      <w:bookmarkStart w:id="240" w:name="_Toc160028157"/>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7FE1CF06" w14:textId="77777777" w:rsidR="00B81226" w:rsidRDefault="00B81226">
      <w:pPr>
        <w:pStyle w:val="Instructionsberschrift2"/>
        <w:ind w:left="357"/>
        <w:rPr>
          <w:rFonts w:ascii="Times New Roman" w:eastAsia="Calibri" w:hAnsi="Times New Roman" w:cs="Times New Roman"/>
          <w:szCs w:val="20"/>
        </w:rPr>
      </w:pPr>
    </w:p>
    <w:p w14:paraId="7FE1CF07" w14:textId="77777777" w:rsidR="00B81226" w:rsidRDefault="00B82AC2">
      <w:pPr>
        <w:pStyle w:val="P68B1DB1-Instructionsberschrift284"/>
        <w:numPr>
          <w:ilvl w:val="1"/>
          <w:numId w:val="49"/>
        </w:numPr>
        <w:spacing w:before="0"/>
        <w:ind w:left="357" w:hanging="357"/>
      </w:pPr>
      <w:bookmarkStart w:id="241" w:name="_Toc208245465"/>
      <w:r>
        <w:t>Vastuuanalyysi</w:t>
      </w:r>
      <w:bookmarkEnd w:id="241"/>
    </w:p>
    <w:p w14:paraId="7FE1CF08" w14:textId="53CCE3BD" w:rsidR="00B81226" w:rsidRDefault="00B82AC2">
      <w:pPr>
        <w:pStyle w:val="Instructionsberschrift2"/>
        <w:numPr>
          <w:ilvl w:val="1"/>
          <w:numId w:val="49"/>
        </w:numPr>
        <w:spacing w:before="0"/>
        <w:ind w:left="357" w:hanging="357"/>
        <w:rPr>
          <w:rFonts w:ascii="Times New Roman" w:hAnsi="Times New Roman" w:cs="Times New Roman"/>
        </w:rPr>
      </w:pPr>
      <w:bookmarkStart w:id="242" w:name="_Toc208245466"/>
      <w:r>
        <w:rPr>
          <w:rFonts w:ascii="Times New Roman" w:hAnsi="Times New Roman" w:cs="Times New Roman"/>
          <w:color w:val="000000" w:themeColor="text1"/>
        </w:rPr>
        <w:t>Z 11.00 Ryhmän sisäiset velat</w:t>
      </w:r>
      <w:r>
        <w:rPr>
          <w:rFonts w:ascii="Times New Roman" w:eastAsia="Calibri" w:hAnsi="Times New Roman" w:cs="Times New Roman"/>
          <w:szCs w:val="20"/>
        </w:rPr>
        <w:t xml:space="preserve"> (LIAB-G-1)</w:t>
      </w:r>
      <w:bookmarkEnd w:id="242"/>
    </w:p>
    <w:p w14:paraId="7FE1CF0A" w14:textId="69A86E79" w:rsidR="00B81226" w:rsidRDefault="00B82AC2">
      <w:pPr>
        <w:pStyle w:val="P68B1DB1-Numberedtitlelevel385"/>
      </w:pPr>
      <w:bookmarkStart w:id="243" w:name="_Toc81454213"/>
      <w:r>
        <w:t>Yleiset huomautukset</w:t>
      </w:r>
    </w:p>
    <w:p w14:paraId="7FE1CF0B" w14:textId="77777777" w:rsidR="00B81226" w:rsidRDefault="00B82AC2">
      <w:pPr>
        <w:pStyle w:val="P68B1DB1-InstructionsText26"/>
        <w:numPr>
          <w:ilvl w:val="2"/>
          <w:numId w:val="209"/>
        </w:numPr>
        <w:spacing w:before="0"/>
        <w:ind w:left="1276"/>
        <w:rPr>
          <w:rFonts w:eastAsiaTheme="majorEastAsia"/>
        </w:rPr>
      </w:pPr>
      <w:r>
        <w:t>Tässä taulukossa vaaditaan tiedot konsernin sisäisistä veloista, jotka kattavat kaikki omat varat ja velat.</w:t>
      </w:r>
    </w:p>
    <w:p w14:paraId="7FE1CF0C" w14:textId="4049DE4D" w:rsidR="00B81226" w:rsidRDefault="00B82AC2">
      <w:pPr>
        <w:pStyle w:val="P68B1DB1-InstructionsText26"/>
        <w:numPr>
          <w:ilvl w:val="2"/>
          <w:numId w:val="209"/>
        </w:numPr>
        <w:spacing w:before="0"/>
        <w:ind w:left="1276"/>
        <w:rPr>
          <w:rFonts w:eastAsiaTheme="majorEastAsia"/>
        </w:rPr>
      </w:pPr>
      <w:r>
        <w:lastRenderedPageBreak/>
        <w:t>Konsernin sisäisinä pidetään yhteisöjä, jotka – asiakirjan Z02.00 sarakkeen 0100 määritelmän mukaisesti – kuuluvat konsernin ylimmän emoyksikön kirjanpidollisen konsolidoinnin piiriin. Näin ollen näitä velkoja ei ilmoiteta yksityiskohtaisilla välilehdillä Z 12.00–Z 17.00, paitsi Z 15.00 Johdannaiset (ks. jäljempänä).</w:t>
      </w:r>
    </w:p>
    <w:p w14:paraId="7FE1CF0D" w14:textId="170B6ABA" w:rsidR="00B81226" w:rsidRDefault="00B82AC2">
      <w:pPr>
        <w:pStyle w:val="P68B1DB1-InstructionsText26"/>
        <w:numPr>
          <w:ilvl w:val="2"/>
          <w:numId w:val="209"/>
        </w:numPr>
        <w:spacing w:before="0"/>
        <w:ind w:left="1276"/>
        <w:rPr>
          <w:rFonts w:eastAsiaTheme="majorEastAsia"/>
        </w:rPr>
      </w:pPr>
      <w:r>
        <w:t>Johdannaiset ovat luonteeltaan erityisiä, eikä niitä ilmoiteta lomakkeessa Z 11.00, mutta aina lomakkeessa Z 15.00.</w:t>
      </w:r>
    </w:p>
    <w:p w14:paraId="7FE1CF0E" w14:textId="18AE2C5B" w:rsidR="00B81226" w:rsidRDefault="00B82AC2">
      <w:pPr>
        <w:pStyle w:val="P68B1DB1-InstructionsText26"/>
        <w:numPr>
          <w:ilvl w:val="2"/>
          <w:numId w:val="209"/>
        </w:numPr>
        <w:spacing w:before="0"/>
        <w:ind w:left="1276"/>
        <w:rPr>
          <w:rFonts w:eastAsiaTheme="majorEastAsia"/>
        </w:rPr>
      </w:pPr>
      <w:r>
        <w:t>Kaikki velat, jotka on laskettu liikkeeseen kirjanpidollisen konsolidoinnin piiriin kuuluville yhteisöille (mukaan lukien konsolidoinnin piiriin kuuluvat erillisyhtiöt), sekä kriisinratkaisun kohteena olevassa konsernissa että sen ulkopuolella, on ilmoitettava lomakkeessa Z 11.00. Tässä taulukossa velat on ilmoitettava transaktiokohtaisesti eli jokainen transaktio ilmoitetaan omalla rivillään. Liiketoimet on kuitenkin ilmoitettava useilla riveillä, jos ne kuuluvat maksukyvyttömyysjärjestykseen.</w:t>
      </w:r>
    </w:p>
    <w:p w14:paraId="7FE1CF0F" w14:textId="77777777" w:rsidR="00B81226" w:rsidRDefault="00B82AC2">
      <w:pPr>
        <w:pStyle w:val="P68B1DB1-Numberedtitlelevel372"/>
      </w:pPr>
      <w:r>
        <w:t>Tiettyjä kohtia koskevat ohjeet</w:t>
      </w:r>
    </w:p>
    <w:tbl>
      <w:tblPr>
        <w:tblW w:w="0" w:type="auto"/>
        <w:tblLook w:val="01E0" w:firstRow="1" w:lastRow="1" w:firstColumn="1" w:lastColumn="1" w:noHBand="0" w:noVBand="0"/>
      </w:tblPr>
      <w:tblGrid>
        <w:gridCol w:w="1244"/>
        <w:gridCol w:w="7717"/>
        <w:gridCol w:w="65"/>
      </w:tblGrid>
      <w:tr w:rsidR="00B81226" w14:paraId="7FE1CF14" w14:textId="77777777">
        <w:trPr>
          <w:gridAfter w:val="1"/>
          <w:wAfter w:w="65" w:type="dxa"/>
          <w:tblHeader/>
        </w:trPr>
        <w:tc>
          <w:tcPr>
            <w:tcW w:w="1244" w:type="dxa"/>
            <w:tcBorders>
              <w:top w:val="single" w:sz="4" w:space="0" w:color="1A171C"/>
              <w:left w:val="nil"/>
              <w:bottom w:val="single" w:sz="4" w:space="0" w:color="1A171C"/>
              <w:right w:val="single" w:sz="4" w:space="0" w:color="1A171C"/>
            </w:tcBorders>
            <w:shd w:val="clear" w:color="auto" w:fill="E4E5E5"/>
          </w:tcPr>
          <w:p w14:paraId="7FE1CF12" w14:textId="77777777" w:rsidR="00B81226" w:rsidRDefault="00B82AC2">
            <w:pPr>
              <w:pStyle w:val="P68B1DB1-TableParagraph17"/>
              <w:spacing w:before="108"/>
              <w:ind w:left="85"/>
            </w:pPr>
            <w:r>
              <w:t xml:space="preserve">Sarakkeet </w:t>
            </w:r>
          </w:p>
        </w:tc>
        <w:tc>
          <w:tcPr>
            <w:tcW w:w="7717" w:type="dxa"/>
            <w:tcBorders>
              <w:top w:val="single" w:sz="4" w:space="0" w:color="1A171C"/>
              <w:left w:val="single" w:sz="4" w:space="0" w:color="1A171C"/>
              <w:bottom w:val="single" w:sz="4" w:space="0" w:color="1A171C"/>
              <w:right w:val="nil"/>
            </w:tcBorders>
            <w:shd w:val="clear" w:color="auto" w:fill="E4E5E5"/>
          </w:tcPr>
          <w:p w14:paraId="7FE1CF13" w14:textId="77777777" w:rsidR="00B81226" w:rsidRDefault="00B82AC2">
            <w:pPr>
              <w:pStyle w:val="P68B1DB1-TableParagraph17"/>
              <w:spacing w:before="108"/>
              <w:ind w:left="85" w:right="1"/>
            </w:pPr>
            <w:r>
              <w:t>Ohjeet</w:t>
            </w:r>
          </w:p>
        </w:tc>
      </w:tr>
      <w:tr w:rsidR="00B81226" w14:paraId="7FE1CF18" w14:textId="77777777">
        <w:tc>
          <w:tcPr>
            <w:tcW w:w="1244" w:type="dxa"/>
            <w:tcBorders>
              <w:top w:val="single" w:sz="8" w:space="0" w:color="1A171C"/>
              <w:left w:val="nil"/>
              <w:bottom w:val="single" w:sz="8" w:space="0" w:color="1A171C"/>
              <w:right w:val="single" w:sz="8" w:space="0" w:color="1A171C"/>
            </w:tcBorders>
            <w:vAlign w:val="center"/>
          </w:tcPr>
          <w:p w14:paraId="7FE1CF15" w14:textId="77777777" w:rsidR="00B81226" w:rsidRDefault="00B82AC2">
            <w:pPr>
              <w:pStyle w:val="P68B1DB1-Normal31"/>
            </w:pPr>
            <w:r>
              <w:t>0010</w:t>
            </w:r>
          </w:p>
        </w:tc>
        <w:tc>
          <w:tcPr>
            <w:tcW w:w="7782" w:type="dxa"/>
            <w:gridSpan w:val="2"/>
            <w:tcBorders>
              <w:top w:val="single" w:sz="8" w:space="0" w:color="1A171C"/>
              <w:left w:val="single" w:sz="8" w:space="0" w:color="1A171C"/>
              <w:bottom w:val="single" w:sz="8" w:space="0" w:color="1A171C"/>
              <w:right w:val="nil"/>
            </w:tcBorders>
            <w:vAlign w:val="bottom"/>
          </w:tcPr>
          <w:p w14:paraId="7FE1CF16" w14:textId="77777777" w:rsidR="00B81226" w:rsidRDefault="00B82AC2">
            <w:pPr>
              <w:pStyle w:val="P68B1DB1-TableParagraph40"/>
              <w:spacing w:before="108"/>
              <w:ind w:left="85"/>
              <w:jc w:val="both"/>
              <w:rPr>
                <w:b/>
                <w:bCs/>
              </w:rPr>
            </w:pPr>
            <w:r>
              <w:t xml:space="preserve"> </w:t>
            </w:r>
            <w:r>
              <w:rPr>
                <w:b/>
              </w:rPr>
              <w:t>NRO</w:t>
            </w:r>
          </w:p>
          <w:p w14:paraId="7FE1CF17" w14:textId="77777777" w:rsidR="00B81226" w:rsidRDefault="00B82AC2">
            <w:pPr>
              <w:pStyle w:val="P68B1DB1-TableParagraph40"/>
              <w:spacing w:before="108"/>
              <w:ind w:left="85"/>
              <w:jc w:val="both"/>
            </w:pPr>
            <w:r>
              <w:t xml:space="preserve">Yksilöllinen numero/ensisijainen tunniste rivikohtien tunnistamiseen. </w:t>
            </w:r>
          </w:p>
        </w:tc>
      </w:tr>
      <w:tr w:rsidR="00B81226" w14:paraId="7FE1CF1C" w14:textId="77777777">
        <w:tc>
          <w:tcPr>
            <w:tcW w:w="1244" w:type="dxa"/>
            <w:tcBorders>
              <w:top w:val="single" w:sz="8" w:space="0" w:color="1A171C"/>
              <w:left w:val="nil"/>
              <w:bottom w:val="single" w:sz="8" w:space="0" w:color="1A171C"/>
              <w:right w:val="single" w:sz="8" w:space="0" w:color="1A171C"/>
            </w:tcBorders>
            <w:vAlign w:val="center"/>
          </w:tcPr>
          <w:p w14:paraId="7FE1CF19" w14:textId="77777777" w:rsidR="00B81226" w:rsidRDefault="00B82AC2">
            <w:pPr>
              <w:pStyle w:val="P68B1DB1-Normal31"/>
            </w:pPr>
            <w:r>
              <w:t>0020</w:t>
            </w:r>
          </w:p>
        </w:tc>
        <w:tc>
          <w:tcPr>
            <w:tcW w:w="7782" w:type="dxa"/>
            <w:gridSpan w:val="2"/>
            <w:tcBorders>
              <w:top w:val="single" w:sz="8" w:space="0" w:color="1A171C"/>
              <w:left w:val="single" w:sz="8" w:space="0" w:color="1A171C"/>
              <w:bottom w:val="single" w:sz="8" w:space="0" w:color="1A171C"/>
              <w:right w:val="nil"/>
            </w:tcBorders>
            <w:vAlign w:val="bottom"/>
          </w:tcPr>
          <w:p w14:paraId="7FE1CF1A" w14:textId="77777777" w:rsidR="00B81226" w:rsidRDefault="00B82AC2">
            <w:pPr>
              <w:pStyle w:val="P68B1DB1-TableParagraph40"/>
              <w:spacing w:before="108"/>
              <w:ind w:left="85"/>
              <w:jc w:val="both"/>
              <w:rPr>
                <w:b/>
                <w:bCs/>
              </w:rPr>
            </w:pPr>
            <w:r>
              <w:t xml:space="preserve"> </w:t>
            </w:r>
            <w:r>
              <w:rPr>
                <w:b/>
              </w:rPr>
              <w:t>Rivi</w:t>
            </w:r>
          </w:p>
          <w:p w14:paraId="7FE1CF1B" w14:textId="474C4148" w:rsidR="00B81226" w:rsidRDefault="00B82AC2">
            <w:pPr>
              <w:pStyle w:val="P68B1DB1-TableParagraph40"/>
              <w:spacing w:before="108"/>
              <w:ind w:left="85"/>
              <w:jc w:val="both"/>
            </w:pPr>
            <w:r>
              <w:t>Jokaisesta instrumentista on esitettävä täsmäytys taulukon 02.00 velkarakenteen velkaluokkiin.Arvot valitaan valmiista luettelosta.</w:t>
            </w:r>
          </w:p>
        </w:tc>
      </w:tr>
      <w:tr w:rsidR="00B81226" w14:paraId="7FE1CF20" w14:textId="77777777">
        <w:tc>
          <w:tcPr>
            <w:tcW w:w="1244" w:type="dxa"/>
            <w:tcBorders>
              <w:top w:val="single" w:sz="8" w:space="0" w:color="1A171C"/>
              <w:left w:val="nil"/>
              <w:bottom w:val="single" w:sz="8" w:space="0" w:color="1A171C"/>
              <w:right w:val="single" w:sz="8" w:space="0" w:color="1A171C"/>
            </w:tcBorders>
            <w:vAlign w:val="center"/>
          </w:tcPr>
          <w:p w14:paraId="7FE1CF1D" w14:textId="77777777" w:rsidR="00B81226" w:rsidRDefault="00B82AC2">
            <w:pPr>
              <w:pStyle w:val="P68B1DB1-Normal31"/>
            </w:pPr>
            <w:r>
              <w:t>0021</w:t>
            </w:r>
          </w:p>
        </w:tc>
        <w:tc>
          <w:tcPr>
            <w:tcW w:w="7782" w:type="dxa"/>
            <w:gridSpan w:val="2"/>
            <w:tcBorders>
              <w:top w:val="single" w:sz="8" w:space="0" w:color="1A171C"/>
              <w:left w:val="single" w:sz="8" w:space="0" w:color="1A171C"/>
              <w:bottom w:val="single" w:sz="8" w:space="0" w:color="1A171C"/>
              <w:right w:val="nil"/>
            </w:tcBorders>
            <w:vAlign w:val="bottom"/>
          </w:tcPr>
          <w:p w14:paraId="7FE1CF1E" w14:textId="77777777" w:rsidR="00B81226" w:rsidRDefault="00B82AC2">
            <w:pPr>
              <w:pStyle w:val="P68B1DB1-TableParagraph73"/>
              <w:spacing w:before="108"/>
              <w:ind w:left="85"/>
              <w:jc w:val="both"/>
              <w:rPr>
                <w:bCs/>
              </w:rPr>
            </w:pPr>
            <w:r>
              <w:t xml:space="preserve">Sarake </w:t>
            </w:r>
          </w:p>
          <w:p w14:paraId="7FE1CF1F" w14:textId="77777777" w:rsidR="00B81226" w:rsidRDefault="00B82AC2">
            <w:pPr>
              <w:pStyle w:val="P68B1DB1-TableParagraph40"/>
              <w:spacing w:before="108"/>
              <w:ind w:left="85"/>
              <w:jc w:val="both"/>
            </w:pPr>
            <w:r>
              <w:t>Jokaisesta instrumentista on esitettävä täsmäytys taulukon 02.00 siihen vastapuoliluokkaan, johon velka on maksettava.Arvot valitaan valmiista luettelosta.</w:t>
            </w:r>
          </w:p>
        </w:tc>
      </w:tr>
      <w:tr w:rsidR="00B81226" w14:paraId="7FE1CF24" w14:textId="77777777">
        <w:tc>
          <w:tcPr>
            <w:tcW w:w="1244" w:type="dxa"/>
            <w:tcBorders>
              <w:top w:val="single" w:sz="8" w:space="0" w:color="1A171C"/>
              <w:left w:val="nil"/>
              <w:bottom w:val="single" w:sz="8" w:space="0" w:color="1A171C"/>
              <w:right w:val="single" w:sz="8" w:space="0" w:color="1A171C"/>
            </w:tcBorders>
            <w:vAlign w:val="center"/>
          </w:tcPr>
          <w:p w14:paraId="7FE1CF21" w14:textId="77777777" w:rsidR="00B81226" w:rsidRDefault="00B82AC2">
            <w:pPr>
              <w:pStyle w:val="P68B1DB1-Normal31"/>
            </w:pPr>
            <w:r>
              <w:t>0030</w:t>
            </w:r>
          </w:p>
        </w:tc>
        <w:tc>
          <w:tcPr>
            <w:tcW w:w="7782" w:type="dxa"/>
            <w:gridSpan w:val="2"/>
            <w:tcBorders>
              <w:top w:val="single" w:sz="8" w:space="0" w:color="1A171C"/>
              <w:left w:val="single" w:sz="8" w:space="0" w:color="1A171C"/>
              <w:bottom w:val="single" w:sz="8" w:space="0" w:color="1A171C"/>
              <w:right w:val="nil"/>
            </w:tcBorders>
            <w:vAlign w:val="bottom"/>
          </w:tcPr>
          <w:p w14:paraId="7FE1CF22" w14:textId="53713754" w:rsidR="00B81226" w:rsidRDefault="00B82AC2">
            <w:pPr>
              <w:pStyle w:val="P68B1DB1-TableParagraph73"/>
              <w:spacing w:before="108"/>
              <w:ind w:left="85"/>
              <w:jc w:val="both"/>
              <w:rPr>
                <w:bCs/>
              </w:rPr>
            </w:pPr>
            <w:r>
              <w:t>Ensisijaisuusjärjestys maksukyvyttömyysmenettelyssä</w:t>
            </w:r>
          </w:p>
          <w:p w14:paraId="7FE1CF23" w14:textId="396478FE" w:rsidR="00B81226" w:rsidRDefault="00B82AC2">
            <w:pPr>
              <w:pStyle w:val="P68B1DB1-TableParagraph40"/>
              <w:spacing w:before="108"/>
              <w:ind w:left="85"/>
              <w:jc w:val="both"/>
            </w:pPr>
            <w:r>
              <w:t>Maksukyvyttömyysluokan on oltava jokin kyseisen lainkäyttöalueen kriisinratkaisuviranomaisen julkaisemiin maksukyvyttömyysluokituksiin kuuluvista luokista.</w:t>
            </w:r>
          </w:p>
        </w:tc>
      </w:tr>
      <w:tr w:rsidR="00B81226" w14:paraId="7FE1CF28" w14:textId="77777777">
        <w:tc>
          <w:tcPr>
            <w:tcW w:w="1244" w:type="dxa"/>
            <w:tcBorders>
              <w:top w:val="single" w:sz="8" w:space="0" w:color="1A171C"/>
              <w:left w:val="nil"/>
              <w:bottom w:val="single" w:sz="8" w:space="0" w:color="1A171C"/>
              <w:right w:val="single" w:sz="8" w:space="0" w:color="1A171C"/>
            </w:tcBorders>
            <w:vAlign w:val="center"/>
          </w:tcPr>
          <w:p w14:paraId="7FE1CF25" w14:textId="77777777" w:rsidR="00B81226" w:rsidRDefault="00B82AC2">
            <w:pPr>
              <w:pStyle w:val="P68B1DB1-Normal31"/>
            </w:pPr>
            <w:r>
              <w:t>0040</w:t>
            </w:r>
          </w:p>
        </w:tc>
        <w:tc>
          <w:tcPr>
            <w:tcW w:w="7782" w:type="dxa"/>
            <w:gridSpan w:val="2"/>
            <w:tcBorders>
              <w:top w:val="single" w:sz="8" w:space="0" w:color="1A171C"/>
              <w:left w:val="single" w:sz="8" w:space="0" w:color="1A171C"/>
              <w:bottom w:val="single" w:sz="8" w:space="0" w:color="1A171C"/>
              <w:right w:val="nil"/>
            </w:tcBorders>
            <w:vAlign w:val="bottom"/>
          </w:tcPr>
          <w:p w14:paraId="7FE1CF26" w14:textId="77777777" w:rsidR="00B81226" w:rsidRDefault="00B82AC2">
            <w:pPr>
              <w:pStyle w:val="P68B1DB1-TableParagraph73"/>
              <w:spacing w:before="108"/>
              <w:ind w:left="85"/>
              <w:jc w:val="both"/>
              <w:rPr>
                <w:bCs/>
              </w:rPr>
            </w:pPr>
            <w:r>
              <w:t>Sopimuksen tunniste</w:t>
            </w:r>
          </w:p>
          <w:p w14:paraId="7FE1CF27" w14:textId="5E827C31" w:rsidR="00B81226" w:rsidRDefault="00B82AC2">
            <w:pPr>
              <w:pStyle w:val="P68B1DB1-TableParagraph40"/>
              <w:spacing w:before="108"/>
              <w:ind w:left="85"/>
              <w:jc w:val="both"/>
            </w:pPr>
            <w:r>
              <w:t>Ilmoitetaan ISIN-koodi tai, jos ISIN-koodia ei ole saatavilla, muu instrumentin sopimustunniste.</w:t>
            </w:r>
          </w:p>
        </w:tc>
      </w:tr>
      <w:tr w:rsidR="00B81226" w14:paraId="7FE1CF2C" w14:textId="77777777">
        <w:tc>
          <w:tcPr>
            <w:tcW w:w="1244" w:type="dxa"/>
            <w:tcBorders>
              <w:top w:val="single" w:sz="8" w:space="0" w:color="1A171C"/>
              <w:left w:val="nil"/>
              <w:bottom w:val="single" w:sz="8" w:space="0" w:color="1A171C"/>
              <w:right w:val="single" w:sz="8" w:space="0" w:color="1A171C"/>
            </w:tcBorders>
            <w:vAlign w:val="center"/>
          </w:tcPr>
          <w:p w14:paraId="7FE1CF29" w14:textId="77777777" w:rsidR="00B81226" w:rsidRDefault="00B82AC2">
            <w:pPr>
              <w:pStyle w:val="P68B1DB1-Normal31"/>
            </w:pPr>
            <w:r>
              <w:t>0045</w:t>
            </w:r>
          </w:p>
        </w:tc>
        <w:tc>
          <w:tcPr>
            <w:tcW w:w="7782" w:type="dxa"/>
            <w:gridSpan w:val="2"/>
            <w:tcBorders>
              <w:top w:val="single" w:sz="8" w:space="0" w:color="1A171C"/>
              <w:left w:val="single" w:sz="8" w:space="0" w:color="1A171C"/>
              <w:bottom w:val="single" w:sz="8" w:space="0" w:color="1A171C"/>
              <w:right w:val="nil"/>
            </w:tcBorders>
            <w:vAlign w:val="bottom"/>
          </w:tcPr>
          <w:p w14:paraId="7FE1CF2A" w14:textId="49B7BD39" w:rsidR="00B81226" w:rsidRDefault="00B82AC2">
            <w:pPr>
              <w:pStyle w:val="P68B1DB1-TableParagraph73"/>
              <w:spacing w:before="108"/>
              <w:ind w:left="85"/>
              <w:jc w:val="both"/>
              <w:rPr>
                <w:bCs/>
              </w:rPr>
            </w:pPr>
            <w:r>
              <w:t>Vastapuolen nimi</w:t>
            </w:r>
          </w:p>
          <w:p w14:paraId="7FE1CF2B" w14:textId="28E31BB6" w:rsidR="00B81226" w:rsidRDefault="00B82AC2">
            <w:pPr>
              <w:pStyle w:val="P68B1DB1-TableParagraph40"/>
              <w:spacing w:before="108"/>
              <w:ind w:left="85"/>
              <w:jc w:val="both"/>
            </w:pPr>
            <w:r>
              <w:t>Velan vastapuolen yhteisön nimi.</w:t>
            </w:r>
          </w:p>
        </w:tc>
      </w:tr>
      <w:tr w:rsidR="00B81226" w14:paraId="7FE1CF31" w14:textId="77777777">
        <w:tc>
          <w:tcPr>
            <w:tcW w:w="1244" w:type="dxa"/>
            <w:tcBorders>
              <w:top w:val="single" w:sz="8" w:space="0" w:color="1A171C"/>
              <w:left w:val="nil"/>
              <w:bottom w:val="single" w:sz="8" w:space="0" w:color="1A171C"/>
              <w:right w:val="single" w:sz="8" w:space="0" w:color="1A171C"/>
            </w:tcBorders>
            <w:vAlign w:val="center"/>
          </w:tcPr>
          <w:p w14:paraId="7FE1CF2D" w14:textId="77777777" w:rsidR="00B81226" w:rsidRDefault="00B82AC2">
            <w:pPr>
              <w:pStyle w:val="P68B1DB1-Normal31"/>
            </w:pPr>
            <w:r>
              <w:t>0050</w:t>
            </w:r>
          </w:p>
        </w:tc>
        <w:tc>
          <w:tcPr>
            <w:tcW w:w="7782" w:type="dxa"/>
            <w:gridSpan w:val="2"/>
            <w:tcBorders>
              <w:top w:val="single" w:sz="8" w:space="0" w:color="1A171C"/>
              <w:left w:val="single" w:sz="8" w:space="0" w:color="1A171C"/>
              <w:bottom w:val="single" w:sz="8" w:space="0" w:color="1A171C"/>
              <w:right w:val="nil"/>
            </w:tcBorders>
            <w:vAlign w:val="bottom"/>
          </w:tcPr>
          <w:p w14:paraId="7FE1CF2E" w14:textId="2BAACD17" w:rsidR="00B81226" w:rsidRDefault="00B82AC2">
            <w:pPr>
              <w:pStyle w:val="P68B1DB1-TableParagraph73"/>
              <w:spacing w:before="108"/>
              <w:ind w:left="85"/>
              <w:jc w:val="both"/>
              <w:rPr>
                <w:bCs/>
              </w:rPr>
            </w:pPr>
            <w:r>
              <w:t>Vastapuolen tunniste</w:t>
            </w:r>
          </w:p>
          <w:p w14:paraId="7FE1CF2F" w14:textId="5864B2BC" w:rsidR="00B81226" w:rsidRDefault="00B82AC2">
            <w:pPr>
              <w:pStyle w:val="P68B1DB1-TableParagraph40"/>
              <w:spacing w:before="108"/>
              <w:ind w:left="85"/>
              <w:jc w:val="both"/>
            </w:pPr>
            <w:r>
              <w:t>Vastapuolen yksilöllinen LEI-tunnus. Jos LEI-tunnusta ei ole, on käytettävä yhteisön yksilöllistä EKP:n rahalaitostunnusta (MFI ID), jota käytetään RIAD-tietokannassa. Jos kumpaakaan tunnistetta ei ole, voidaan käyttää sisäistä tunnistetta.</w:t>
            </w:r>
          </w:p>
          <w:p w14:paraId="7FE1CF30" w14:textId="585107E3" w:rsidR="00B81226" w:rsidRDefault="00B81226">
            <w:pPr>
              <w:pStyle w:val="TableParagraph"/>
              <w:spacing w:before="108"/>
              <w:ind w:left="85"/>
              <w:jc w:val="both"/>
              <w:rPr>
                <w:rFonts w:ascii="Times New Roman" w:eastAsia="Times New Roman" w:hAnsi="Times New Roman" w:cs="Times New Roman"/>
                <w:sz w:val="20"/>
                <w:szCs w:val="20"/>
              </w:rPr>
            </w:pPr>
          </w:p>
        </w:tc>
      </w:tr>
      <w:tr w:rsidR="00B81226" w14:paraId="7FE1CF35" w14:textId="77777777">
        <w:tc>
          <w:tcPr>
            <w:tcW w:w="1244" w:type="dxa"/>
            <w:tcBorders>
              <w:top w:val="single" w:sz="8" w:space="0" w:color="1A171C"/>
              <w:left w:val="nil"/>
              <w:bottom w:val="single" w:sz="8" w:space="0" w:color="1A171C"/>
              <w:right w:val="single" w:sz="8" w:space="0" w:color="1A171C"/>
            </w:tcBorders>
            <w:vAlign w:val="center"/>
          </w:tcPr>
          <w:p w14:paraId="7FE1CF32" w14:textId="37A8736C" w:rsidR="00B81226" w:rsidRDefault="00B82AC2">
            <w:pPr>
              <w:pStyle w:val="P68B1DB1-Normal31"/>
            </w:pPr>
            <w:r>
              <w:t>0053</w:t>
            </w:r>
          </w:p>
        </w:tc>
        <w:tc>
          <w:tcPr>
            <w:tcW w:w="7782" w:type="dxa"/>
            <w:gridSpan w:val="2"/>
            <w:tcBorders>
              <w:top w:val="single" w:sz="8" w:space="0" w:color="1A171C"/>
              <w:left w:val="single" w:sz="8" w:space="0" w:color="1A171C"/>
              <w:bottom w:val="single" w:sz="8" w:space="0" w:color="1A171C"/>
              <w:right w:val="nil"/>
            </w:tcBorders>
            <w:vAlign w:val="bottom"/>
          </w:tcPr>
          <w:p w14:paraId="7FE1CF33" w14:textId="77777777" w:rsidR="00B81226" w:rsidRDefault="00B82AC2">
            <w:pPr>
              <w:pStyle w:val="P68B1DB1-TableParagraph73"/>
              <w:spacing w:before="108"/>
              <w:ind w:left="85"/>
              <w:jc w:val="both"/>
              <w:rPr>
                <w:bCs/>
              </w:rPr>
            </w:pPr>
            <w:r>
              <w:t>Tunnustyyppi</w:t>
            </w:r>
          </w:p>
          <w:p w14:paraId="7FE1CF34" w14:textId="77777777" w:rsidR="00B81226" w:rsidRDefault="00B82AC2">
            <w:pPr>
              <w:pStyle w:val="P68B1DB1-TableParagraph40"/>
              <w:spacing w:before="108"/>
              <w:ind w:left="85"/>
              <w:jc w:val="both"/>
            </w:pPr>
            <w:r>
              <w:t>Tässä on valittava seuraavista vaihtoehdoista: LEI-tunnus, MFI-tunnus tai muu tunnisteen tyyppi kuin LEI- tai MFI-tunnus</w:t>
            </w:r>
          </w:p>
        </w:tc>
      </w:tr>
      <w:tr w:rsidR="00B81226" w14:paraId="7FE1CF39" w14:textId="77777777">
        <w:tc>
          <w:tcPr>
            <w:tcW w:w="1244" w:type="dxa"/>
            <w:tcBorders>
              <w:top w:val="single" w:sz="8" w:space="0" w:color="1A171C"/>
              <w:left w:val="nil"/>
              <w:bottom w:val="single" w:sz="8" w:space="0" w:color="1A171C"/>
              <w:right w:val="single" w:sz="8" w:space="0" w:color="1A171C"/>
            </w:tcBorders>
            <w:vAlign w:val="center"/>
          </w:tcPr>
          <w:p w14:paraId="7FE1CF36" w14:textId="5460B58C" w:rsidR="00B81226" w:rsidRDefault="00B82AC2">
            <w:pPr>
              <w:pStyle w:val="P68B1DB1-Normal31"/>
            </w:pPr>
            <w:r>
              <w:t>0055</w:t>
            </w:r>
          </w:p>
        </w:tc>
        <w:tc>
          <w:tcPr>
            <w:tcW w:w="7782" w:type="dxa"/>
            <w:gridSpan w:val="2"/>
            <w:tcBorders>
              <w:top w:val="single" w:sz="8" w:space="0" w:color="1A171C"/>
              <w:left w:val="single" w:sz="8" w:space="0" w:color="1A171C"/>
              <w:bottom w:val="single" w:sz="8" w:space="0" w:color="1A171C"/>
              <w:right w:val="nil"/>
            </w:tcBorders>
            <w:vAlign w:val="bottom"/>
          </w:tcPr>
          <w:p w14:paraId="7FE1CF37" w14:textId="1D21A85C" w:rsidR="00B81226" w:rsidRDefault="00B82AC2">
            <w:pPr>
              <w:pStyle w:val="P68B1DB1-TableParagraph73"/>
              <w:spacing w:before="108"/>
              <w:ind w:left="85"/>
              <w:jc w:val="both"/>
              <w:rPr>
                <w:bCs/>
              </w:rPr>
            </w:pPr>
            <w:r>
              <w:t>Suhde vastapuoleen</w:t>
            </w:r>
          </w:p>
          <w:p w14:paraId="7FE1CF38" w14:textId="1D86F34C" w:rsidR="00B81226" w:rsidRDefault="00B82AC2">
            <w:pPr>
              <w:pStyle w:val="P68B1DB1-TableParagraph40"/>
              <w:spacing w:before="108"/>
              <w:ind w:left="85"/>
              <w:jc w:val="both"/>
            </w:pPr>
            <w:r>
              <w:t>Tässä kentässä kerrotaan, mikä luotonantajayhteisön suhde raportoivaan yhteisöön on. Tässä kentässä on luettelo arvoista: vastapuoli voi olla joko ”suora tai välillinen emoyritys”, ”suora tai välillinen tytäryritys” tai vaihtoehtoisesti ”sisar”.</w:t>
            </w:r>
          </w:p>
        </w:tc>
      </w:tr>
      <w:tr w:rsidR="00B81226" w14:paraId="7FE1CF3D" w14:textId="77777777">
        <w:tc>
          <w:tcPr>
            <w:tcW w:w="1244" w:type="dxa"/>
            <w:tcBorders>
              <w:top w:val="single" w:sz="8" w:space="0" w:color="1A171C"/>
              <w:left w:val="nil"/>
              <w:bottom w:val="single" w:sz="8" w:space="0" w:color="1A171C"/>
              <w:right w:val="single" w:sz="8" w:space="0" w:color="1A171C"/>
            </w:tcBorders>
            <w:vAlign w:val="center"/>
          </w:tcPr>
          <w:p w14:paraId="7FE1CF3A" w14:textId="77777777" w:rsidR="00B81226" w:rsidRDefault="00B82AC2">
            <w:pPr>
              <w:pStyle w:val="P68B1DB1-Normal31"/>
            </w:pPr>
            <w:r>
              <w:t>0056</w:t>
            </w:r>
          </w:p>
        </w:tc>
        <w:tc>
          <w:tcPr>
            <w:tcW w:w="7782" w:type="dxa"/>
            <w:gridSpan w:val="2"/>
            <w:tcBorders>
              <w:top w:val="single" w:sz="8" w:space="0" w:color="1A171C"/>
              <w:left w:val="single" w:sz="8" w:space="0" w:color="1A171C"/>
              <w:bottom w:val="single" w:sz="8" w:space="0" w:color="1A171C"/>
              <w:right w:val="nil"/>
            </w:tcBorders>
            <w:vAlign w:val="bottom"/>
          </w:tcPr>
          <w:p w14:paraId="7FE1CF3B" w14:textId="5D306713" w:rsidR="00B81226" w:rsidRDefault="00B82AC2">
            <w:pPr>
              <w:pStyle w:val="P68B1DB1-TableParagraph73"/>
              <w:spacing w:before="108"/>
              <w:ind w:left="85"/>
              <w:jc w:val="both"/>
              <w:rPr>
                <w:bCs/>
              </w:rPr>
            </w:pPr>
            <w:r>
              <w:t>Vastuutyyppi</w:t>
            </w:r>
          </w:p>
          <w:p w14:paraId="7FE1CF3C" w14:textId="07B04D08" w:rsidR="00B81226" w:rsidRDefault="00B82AC2">
            <w:pPr>
              <w:pStyle w:val="P68B1DB1-TableParagraph40"/>
              <w:spacing w:before="108"/>
              <w:ind w:left="85"/>
              <w:jc w:val="both"/>
            </w:pPr>
            <w:r>
              <w:t xml:space="preserve">Niiden velkojen osalta, jotka on ilmoitettu rivillä Z02.00–c0020-rivillä ”r0210 – Velat muihin </w:t>
            </w:r>
            <w:r>
              <w:lastRenderedPageBreak/>
              <w:t>kriisinratkaisun kohteena olevaan konserniin kuuluviin yhteisöihin”, ilmoitetaan velan tyyppi sellaisena kuin se olisi ilmoitettu lomakkeessa Z02.00, jos velkaa ei olisi pidetty poissuljettuna.</w:t>
            </w:r>
          </w:p>
        </w:tc>
      </w:tr>
      <w:tr w:rsidR="00B81226" w14:paraId="7FE1CF41" w14:textId="77777777">
        <w:tc>
          <w:tcPr>
            <w:tcW w:w="1244" w:type="dxa"/>
            <w:tcBorders>
              <w:top w:val="single" w:sz="8" w:space="0" w:color="1A171C"/>
              <w:left w:val="nil"/>
              <w:bottom w:val="single" w:sz="8" w:space="0" w:color="1A171C"/>
              <w:right w:val="single" w:sz="8" w:space="0" w:color="1A171C"/>
            </w:tcBorders>
            <w:vAlign w:val="center"/>
          </w:tcPr>
          <w:p w14:paraId="7FE1CF3E" w14:textId="23D0ECF1" w:rsidR="00B81226" w:rsidRDefault="00B82AC2">
            <w:pPr>
              <w:pStyle w:val="P68B1DB1-Normal31"/>
            </w:pPr>
            <w:r>
              <w:lastRenderedPageBreak/>
              <w:t>0060</w:t>
            </w:r>
          </w:p>
        </w:tc>
        <w:tc>
          <w:tcPr>
            <w:tcW w:w="7782" w:type="dxa"/>
            <w:gridSpan w:val="2"/>
            <w:tcBorders>
              <w:top w:val="single" w:sz="8" w:space="0" w:color="1A171C"/>
              <w:left w:val="single" w:sz="8" w:space="0" w:color="1A171C"/>
              <w:bottom w:val="single" w:sz="8" w:space="0" w:color="1A171C"/>
              <w:right w:val="nil"/>
            </w:tcBorders>
            <w:vAlign w:val="bottom"/>
          </w:tcPr>
          <w:p w14:paraId="7FE1CF3F" w14:textId="211E9426" w:rsidR="00B81226" w:rsidRDefault="00B82AC2">
            <w:pPr>
              <w:pStyle w:val="P68B1DB1-TableParagraph73"/>
              <w:spacing w:before="108"/>
              <w:ind w:left="85"/>
              <w:jc w:val="both"/>
              <w:rPr>
                <w:bCs/>
              </w:rPr>
            </w:pPr>
            <w:r>
              <w:t>Sovellettava laki</w:t>
            </w:r>
          </w:p>
          <w:p w14:paraId="7FE1CF40" w14:textId="2C49BDFC" w:rsidR="00B81226" w:rsidRDefault="00B82AC2">
            <w:pPr>
              <w:pStyle w:val="P68B1DB1-TableParagraph40"/>
              <w:spacing w:before="108"/>
              <w:ind w:left="85"/>
              <w:jc w:val="both"/>
            </w:pPr>
            <w:r>
              <w:t xml:space="preserve">Sen maan ISO 3166–1 alpha-2 -koodi, jonka lakia instrumenttiin sovelletaan (käytetään ISO 3166–2 -koodia, kun hallinnollisen alajaon laki on relevantti, esim. ”US-NY”). Jos sopimukseen sovelletaan useamman kuin yhden maan lakia, ilmoitetaan maa, jonka laki on merkityksellisin velkakirjojen arvon alaskirjaus- ja muuntamisvaltuuksien tunnustamisen osalta.  </w:t>
            </w:r>
          </w:p>
        </w:tc>
      </w:tr>
      <w:tr w:rsidR="00B81226" w14:paraId="7FE1CF4A" w14:textId="77777777">
        <w:tc>
          <w:tcPr>
            <w:tcW w:w="1244" w:type="dxa"/>
            <w:tcBorders>
              <w:top w:val="single" w:sz="8" w:space="0" w:color="1A171C"/>
              <w:left w:val="nil"/>
              <w:bottom w:val="single" w:sz="8" w:space="0" w:color="1A171C"/>
              <w:right w:val="single" w:sz="8" w:space="0" w:color="1A171C"/>
            </w:tcBorders>
            <w:vAlign w:val="center"/>
          </w:tcPr>
          <w:p w14:paraId="7FE1CF42" w14:textId="77777777" w:rsidR="00B81226" w:rsidRDefault="00B82AC2">
            <w:pPr>
              <w:pStyle w:val="P68B1DB1-Normal31"/>
            </w:pPr>
            <w:r>
              <w:t>0070</w:t>
            </w:r>
          </w:p>
        </w:tc>
        <w:tc>
          <w:tcPr>
            <w:tcW w:w="7782" w:type="dxa"/>
            <w:gridSpan w:val="2"/>
            <w:tcBorders>
              <w:top w:val="single" w:sz="8" w:space="0" w:color="1A171C"/>
              <w:left w:val="single" w:sz="8" w:space="0" w:color="1A171C"/>
              <w:bottom w:val="single" w:sz="8" w:space="0" w:color="1A171C"/>
              <w:right w:val="nil"/>
            </w:tcBorders>
            <w:vAlign w:val="bottom"/>
          </w:tcPr>
          <w:p w14:paraId="7FE1CF43" w14:textId="37132E78" w:rsidR="00B81226" w:rsidRDefault="00B82AC2">
            <w:pPr>
              <w:pStyle w:val="P68B1DB1-TableParagraph73"/>
              <w:spacing w:before="108"/>
              <w:ind w:left="85"/>
              <w:jc w:val="both"/>
              <w:rPr>
                <w:bCs/>
              </w:rPr>
            </w:pPr>
            <w:r>
              <w:t xml:space="preserve">Jos kyseessä on kolmannen maan lainsäädäntö, sopimusperusteinen tunnustaminen </w:t>
            </w:r>
          </w:p>
          <w:p w14:paraId="7FE1CF45" w14:textId="77777777" w:rsidR="00B81226" w:rsidRDefault="00B82AC2">
            <w:pPr>
              <w:pStyle w:val="P68B1DB1-TableParagraph40"/>
              <w:spacing w:before="108"/>
              <w:ind w:left="85"/>
              <w:jc w:val="both"/>
            </w:pPr>
            <w:r>
              <w:t xml:space="preserve">Määritetään sopimusmääräykset velkakirjojen arvon alaskirjausvaltuuksien tunnustamiseksi pankkien elvytys- ja kriisinratkaisudirektiivin 55 artiklan mukaisesti, joko </w:t>
            </w:r>
          </w:p>
          <w:p w14:paraId="7FE1CF46" w14:textId="77777777" w:rsidR="00B81226" w:rsidRDefault="00B82AC2">
            <w:pPr>
              <w:pStyle w:val="P68B1DB1-TableParagraph40"/>
              <w:spacing w:before="108"/>
              <w:ind w:left="85"/>
              <w:jc w:val="both"/>
            </w:pPr>
            <w:r>
              <w:t>”Kyllä, jota tuetaan oikeudellisella lausunnolla” = velkaan sisältyy pankkien elvytys- ja kriisinratkaisudirektiivin 55 artiklan mukainen velkakirjojen arvon alaskirjauksen tunnustamista koskeva lauseke, jota tuetaan oikeudellisella lausunnolla;</w:t>
            </w:r>
          </w:p>
          <w:p w14:paraId="7FE1CF47" w14:textId="77777777" w:rsidR="00B81226" w:rsidRDefault="00B82AC2">
            <w:pPr>
              <w:pStyle w:val="P68B1DB1-TableParagraph40"/>
              <w:spacing w:before="108"/>
              <w:ind w:left="85"/>
              <w:jc w:val="both"/>
            </w:pPr>
            <w:r>
              <w:t>”Kyllä, jota ei tueta oikeudellisella lausunnolla” = velkaan sisältyy pankkien elvytys- ja kriisinratkaisudirektiivin 55 artiklan mukainen velkakirjojen arvon alaskirjauksen tunnustamista koskeva lauseke, jota ei tällä hetkellä tueta oikeudellisella lausunnolla;</w:t>
            </w:r>
          </w:p>
          <w:p w14:paraId="7FE1CF48" w14:textId="7427A49E" w:rsidR="00B81226" w:rsidRDefault="00B82AC2">
            <w:pPr>
              <w:pStyle w:val="P68B1DB1-TableParagraph40"/>
              <w:spacing w:before="108"/>
              <w:ind w:left="85"/>
              <w:jc w:val="both"/>
            </w:pPr>
            <w:r>
              <w:t>”Ei” = velkaan ei sisälly velkakirjojen arvon alaskirjauksen tunnustamista koskevaa lauseketta;</w:t>
            </w:r>
          </w:p>
          <w:p w14:paraId="7FE1CF49" w14:textId="2FE33A69" w:rsidR="00B81226" w:rsidRDefault="00B82AC2">
            <w:pPr>
              <w:pStyle w:val="P68B1DB1-TableParagraph40"/>
              <w:spacing w:before="108"/>
              <w:ind w:left="85"/>
              <w:jc w:val="both"/>
            </w:pPr>
            <w:r>
              <w:t>”Ei sovelleta”.  etukäteen määritetystä luettelosta.</w:t>
            </w:r>
          </w:p>
        </w:tc>
      </w:tr>
      <w:tr w:rsidR="00B81226" w14:paraId="7FE1CF4E" w14:textId="77777777">
        <w:tc>
          <w:tcPr>
            <w:tcW w:w="1244" w:type="dxa"/>
            <w:vAlign w:val="center"/>
          </w:tcPr>
          <w:p w14:paraId="7FE1CF4B" w14:textId="77777777" w:rsidR="00B81226" w:rsidRDefault="00B82AC2">
            <w:pPr>
              <w:pStyle w:val="P68B1DB1-Normal31"/>
            </w:pPr>
            <w:r>
              <w:t>0080</w:t>
            </w:r>
          </w:p>
        </w:tc>
        <w:tc>
          <w:tcPr>
            <w:tcW w:w="7782" w:type="dxa"/>
            <w:gridSpan w:val="2"/>
            <w:tcBorders>
              <w:top w:val="single" w:sz="8" w:space="0" w:color="1A171C"/>
              <w:left w:val="single" w:sz="8" w:space="0" w:color="1A171C"/>
              <w:bottom w:val="single" w:sz="8" w:space="0" w:color="1A171C"/>
              <w:right w:val="nil"/>
            </w:tcBorders>
            <w:vAlign w:val="bottom"/>
          </w:tcPr>
          <w:p w14:paraId="7FE1CF4C" w14:textId="5032EB27" w:rsidR="00B81226" w:rsidRDefault="00B82AC2">
            <w:pPr>
              <w:pStyle w:val="P68B1DB1-TableParagraph73"/>
              <w:spacing w:before="108"/>
              <w:ind w:left="85"/>
              <w:jc w:val="both"/>
              <w:rPr>
                <w:bCs/>
              </w:rPr>
            </w:pPr>
            <w:r>
              <w:t xml:space="preserve">Maksamatta oleva pääoman määrä </w:t>
            </w:r>
          </w:p>
          <w:p w14:paraId="7FE1CF4D" w14:textId="1F7D6035" w:rsidR="00B81226" w:rsidRDefault="00B82AC2">
            <w:pPr>
              <w:pStyle w:val="P68B1DB1-TableParagraph40"/>
              <w:spacing w:before="108"/>
              <w:ind w:left="85"/>
              <w:jc w:val="both"/>
            </w:pPr>
            <w:r>
              <w:t>Velan jäljellä oleva pääoma.</w:t>
            </w:r>
          </w:p>
        </w:tc>
      </w:tr>
      <w:tr w:rsidR="00B81226" w14:paraId="7FE1CF52" w14:textId="77777777">
        <w:tc>
          <w:tcPr>
            <w:tcW w:w="1244" w:type="dxa"/>
            <w:tcBorders>
              <w:top w:val="single" w:sz="8" w:space="0" w:color="1A171C"/>
              <w:left w:val="nil"/>
              <w:bottom w:val="single" w:sz="8" w:space="0" w:color="1A171C"/>
              <w:right w:val="single" w:sz="8" w:space="0" w:color="1A171C"/>
            </w:tcBorders>
            <w:vAlign w:val="center"/>
          </w:tcPr>
          <w:p w14:paraId="7FE1CF4F" w14:textId="77777777" w:rsidR="00B81226" w:rsidRDefault="00B82AC2">
            <w:pPr>
              <w:pStyle w:val="P68B1DB1-Normal31"/>
            </w:pPr>
            <w:r>
              <w:t>0090</w:t>
            </w:r>
          </w:p>
        </w:tc>
        <w:tc>
          <w:tcPr>
            <w:tcW w:w="7782" w:type="dxa"/>
            <w:gridSpan w:val="2"/>
            <w:tcBorders>
              <w:top w:val="single" w:sz="8" w:space="0" w:color="1A171C"/>
              <w:left w:val="single" w:sz="8" w:space="0" w:color="1A171C"/>
              <w:bottom w:val="single" w:sz="8" w:space="0" w:color="1A171C"/>
              <w:right w:val="nil"/>
            </w:tcBorders>
            <w:vAlign w:val="bottom"/>
          </w:tcPr>
          <w:p w14:paraId="7FE1CF50" w14:textId="77777777" w:rsidR="00B81226" w:rsidRDefault="00B82AC2">
            <w:pPr>
              <w:pStyle w:val="P68B1DB1-TableParagraph73"/>
              <w:spacing w:before="108"/>
              <w:ind w:left="85"/>
              <w:jc w:val="both"/>
              <w:rPr>
                <w:bCs/>
              </w:rPr>
            </w:pPr>
            <w:r>
              <w:t>Kertynyt korko</w:t>
            </w:r>
          </w:p>
          <w:p w14:paraId="7FE1CF51" w14:textId="6BF1C45C" w:rsidR="00B81226" w:rsidRDefault="00B82AC2">
            <w:pPr>
              <w:pStyle w:val="P68B1DB1-TableParagraph40"/>
              <w:spacing w:before="108"/>
              <w:ind w:left="85"/>
              <w:jc w:val="both"/>
            </w:pPr>
            <w:r>
              <w:t>Velasta kertyneet jäljellä olevat korot.</w:t>
            </w:r>
          </w:p>
        </w:tc>
      </w:tr>
      <w:tr w:rsidR="00B81226" w14:paraId="7FE1CF56" w14:textId="77777777">
        <w:tc>
          <w:tcPr>
            <w:tcW w:w="1244" w:type="dxa"/>
            <w:tcBorders>
              <w:top w:val="single" w:sz="8" w:space="0" w:color="1A171C"/>
              <w:left w:val="nil"/>
              <w:bottom w:val="single" w:sz="8" w:space="0" w:color="1A171C"/>
              <w:right w:val="single" w:sz="8" w:space="0" w:color="1A171C"/>
            </w:tcBorders>
            <w:vAlign w:val="center"/>
          </w:tcPr>
          <w:p w14:paraId="7FE1CF53" w14:textId="77777777" w:rsidR="00B81226" w:rsidRDefault="00B82AC2">
            <w:pPr>
              <w:pStyle w:val="P68B1DB1-Normal31"/>
            </w:pPr>
            <w:r>
              <w:t>0100</w:t>
            </w:r>
          </w:p>
        </w:tc>
        <w:tc>
          <w:tcPr>
            <w:tcW w:w="7782" w:type="dxa"/>
            <w:gridSpan w:val="2"/>
            <w:tcBorders>
              <w:top w:val="single" w:sz="8" w:space="0" w:color="1A171C"/>
              <w:left w:val="single" w:sz="8" w:space="0" w:color="1A171C"/>
              <w:bottom w:val="single" w:sz="8" w:space="0" w:color="1A171C"/>
              <w:right w:val="nil"/>
            </w:tcBorders>
            <w:vAlign w:val="bottom"/>
          </w:tcPr>
          <w:p w14:paraId="7FE1CF54" w14:textId="3506FC94" w:rsidR="00B81226" w:rsidRDefault="00B82AC2">
            <w:pPr>
              <w:pStyle w:val="P68B1DB1-TableParagraph73"/>
              <w:spacing w:before="108"/>
              <w:ind w:left="85"/>
              <w:jc w:val="both"/>
              <w:rPr>
                <w:bCs/>
              </w:rPr>
            </w:pPr>
            <w:r>
              <w:t>Valuutta</w:t>
            </w:r>
          </w:p>
          <w:p w14:paraId="7FE1CF55" w14:textId="7419E4E6" w:rsidR="00B81226" w:rsidRDefault="00B82AC2">
            <w:pPr>
              <w:pStyle w:val="P68B1DB1-TableParagraph40"/>
              <w:spacing w:before="108"/>
              <w:ind w:left="85"/>
              <w:jc w:val="both"/>
            </w:pPr>
            <w:r>
              <w:t>Velan valuutta sen kolmikirjaimisen ISO 4217 -koodin mukaisesti.</w:t>
            </w:r>
          </w:p>
        </w:tc>
      </w:tr>
      <w:tr w:rsidR="00B81226" w14:paraId="7FE1CF5A" w14:textId="77777777">
        <w:tc>
          <w:tcPr>
            <w:tcW w:w="1244" w:type="dxa"/>
            <w:tcBorders>
              <w:top w:val="single" w:sz="8" w:space="0" w:color="1A171C"/>
              <w:left w:val="nil"/>
              <w:bottom w:val="single" w:sz="8" w:space="0" w:color="1A171C"/>
              <w:right w:val="single" w:sz="8" w:space="0" w:color="1A171C"/>
            </w:tcBorders>
            <w:vAlign w:val="center"/>
          </w:tcPr>
          <w:p w14:paraId="7FE1CF57" w14:textId="77777777" w:rsidR="00B81226" w:rsidRDefault="00B82AC2">
            <w:pPr>
              <w:pStyle w:val="P68B1DB1-Normal31"/>
            </w:pPr>
            <w:r>
              <w:t>0110</w:t>
            </w:r>
          </w:p>
        </w:tc>
        <w:tc>
          <w:tcPr>
            <w:tcW w:w="7782" w:type="dxa"/>
            <w:gridSpan w:val="2"/>
            <w:tcBorders>
              <w:top w:val="single" w:sz="8" w:space="0" w:color="1A171C"/>
              <w:left w:val="single" w:sz="8" w:space="0" w:color="1A171C"/>
              <w:bottom w:val="single" w:sz="8" w:space="0" w:color="1A171C"/>
              <w:right w:val="nil"/>
            </w:tcBorders>
            <w:vAlign w:val="bottom"/>
          </w:tcPr>
          <w:p w14:paraId="7FE1CF58" w14:textId="77777777" w:rsidR="00B81226" w:rsidRDefault="00B82AC2">
            <w:pPr>
              <w:pStyle w:val="P68B1DB1-TableParagraph73"/>
              <w:spacing w:before="108"/>
              <w:ind w:left="85"/>
              <w:jc w:val="both"/>
              <w:rPr>
                <w:bCs/>
              </w:rPr>
            </w:pPr>
            <w:r>
              <w:t>Todistuksen antamispäivä</w:t>
            </w:r>
          </w:p>
          <w:p w14:paraId="7FE1CF59" w14:textId="77777777" w:rsidR="00B81226" w:rsidRDefault="00B82AC2">
            <w:pPr>
              <w:pStyle w:val="P68B1DB1-TableParagraph40"/>
              <w:spacing w:before="108"/>
              <w:ind w:left="85"/>
              <w:jc w:val="both"/>
            </w:pPr>
            <w:r>
              <w:t>Velan alkuperäinen liikkeeseenlaskupäivä. Arvopapereiden rahoitustransaktioille, joihin sovelletaan nettoutussopimusta ja jotka ilmoitetaan nettoutusryhmänä, voidaan käyttää ilmoituspäivää myös antopäivänä.</w:t>
            </w:r>
          </w:p>
        </w:tc>
      </w:tr>
      <w:tr w:rsidR="00B81226" w14:paraId="7FE1CF5E" w14:textId="77777777">
        <w:tc>
          <w:tcPr>
            <w:tcW w:w="1244" w:type="dxa"/>
            <w:tcBorders>
              <w:top w:val="single" w:sz="8" w:space="0" w:color="1A171C"/>
              <w:left w:val="nil"/>
              <w:bottom w:val="single" w:sz="8" w:space="0" w:color="1A171C"/>
              <w:right w:val="single" w:sz="8" w:space="0" w:color="1A171C"/>
            </w:tcBorders>
            <w:vAlign w:val="center"/>
          </w:tcPr>
          <w:p w14:paraId="7FE1CF5B" w14:textId="77777777" w:rsidR="00B81226" w:rsidRDefault="00B82AC2">
            <w:pPr>
              <w:pStyle w:val="P68B1DB1-Normal31"/>
            </w:pPr>
            <w:r>
              <w:t>0120</w:t>
            </w:r>
          </w:p>
        </w:tc>
        <w:tc>
          <w:tcPr>
            <w:tcW w:w="7782" w:type="dxa"/>
            <w:gridSpan w:val="2"/>
            <w:tcBorders>
              <w:top w:val="single" w:sz="8" w:space="0" w:color="1A171C"/>
              <w:left w:val="single" w:sz="8" w:space="0" w:color="1A171C"/>
              <w:bottom w:val="single" w:sz="8" w:space="0" w:color="1A171C"/>
              <w:right w:val="nil"/>
            </w:tcBorders>
            <w:vAlign w:val="bottom"/>
          </w:tcPr>
          <w:p w14:paraId="7FE1CF5C" w14:textId="77777777" w:rsidR="00B81226" w:rsidRDefault="00B82AC2">
            <w:pPr>
              <w:pStyle w:val="P68B1DB1-TableParagraph73"/>
              <w:spacing w:before="108"/>
              <w:ind w:left="85"/>
              <w:jc w:val="both"/>
              <w:rPr>
                <w:bCs/>
              </w:rPr>
            </w:pPr>
            <w:r>
              <w:t>Aikaisin erääntymispäivä</w:t>
            </w:r>
          </w:p>
          <w:p w14:paraId="7FE1CF5D" w14:textId="206F36C8" w:rsidR="00B81226" w:rsidRDefault="00B82AC2">
            <w:pPr>
              <w:pStyle w:val="P68B1DB1-TableParagraph40"/>
              <w:spacing w:before="108"/>
              <w:ind w:left="85"/>
              <w:jc w:val="both"/>
            </w:pPr>
            <w:r>
              <w:t>Jos velkojalla on mahdollisuus pyytää aikaista takaisinmaksua tai jos sopimuksessa on määritetty aikaisen takaisinmaksun ehdot, aikaisin tapahtumapäivä on ilmoitettava. Jos aikainen takaisinmaksu liittyy vain osaan velasta (esimerkiksi vain 50 prosenttia nimellissummasta maksetaan aikaisemmin takaisin), jaa velka siten, että tämä osittaista aikaista erääntymistä koskeva lauseke voidaan ottaa huomioon. Arvopapereiden rahoitustransaktioille, joihin sovelletaan nettoutussopimusta ja jotka ilmoitetaan nettoutus</w:t>
            </w:r>
            <w:r>
              <w:t>ryhmänä, on käytettävä ilmoituspäivän jälkeistä päivää.</w:t>
            </w:r>
          </w:p>
        </w:tc>
      </w:tr>
      <w:tr w:rsidR="00B81226" w14:paraId="7FE1CF63" w14:textId="77777777">
        <w:tc>
          <w:tcPr>
            <w:tcW w:w="1244" w:type="dxa"/>
            <w:tcBorders>
              <w:top w:val="single" w:sz="8" w:space="0" w:color="1A171C"/>
              <w:left w:val="nil"/>
              <w:bottom w:val="single" w:sz="8" w:space="0" w:color="1A171C"/>
              <w:right w:val="single" w:sz="8" w:space="0" w:color="1A171C"/>
            </w:tcBorders>
            <w:vAlign w:val="center"/>
          </w:tcPr>
          <w:p w14:paraId="7FE1CF5F" w14:textId="77777777" w:rsidR="00B81226" w:rsidRDefault="00B82AC2">
            <w:pPr>
              <w:pStyle w:val="P68B1DB1-Normal31"/>
            </w:pPr>
            <w:r>
              <w:t>0130</w:t>
            </w:r>
          </w:p>
        </w:tc>
        <w:tc>
          <w:tcPr>
            <w:tcW w:w="7782" w:type="dxa"/>
            <w:gridSpan w:val="2"/>
            <w:tcBorders>
              <w:top w:val="single" w:sz="8" w:space="0" w:color="1A171C"/>
              <w:left w:val="single" w:sz="8" w:space="0" w:color="1A171C"/>
              <w:bottom w:val="single" w:sz="8" w:space="0" w:color="1A171C"/>
              <w:right w:val="nil"/>
            </w:tcBorders>
            <w:vAlign w:val="bottom"/>
          </w:tcPr>
          <w:p w14:paraId="7FE1CF60" w14:textId="77777777" w:rsidR="00B81226" w:rsidRDefault="00B82AC2">
            <w:pPr>
              <w:pStyle w:val="P68B1DB1-TableParagraph73"/>
              <w:spacing w:before="108"/>
              <w:ind w:left="85"/>
              <w:jc w:val="both"/>
              <w:rPr>
                <w:bCs/>
              </w:rPr>
            </w:pPr>
            <w:r>
              <w:t>Laillinen erääntyminen</w:t>
            </w:r>
          </w:p>
          <w:p w14:paraId="7FE1CF61" w14:textId="6595476F" w:rsidR="00B81226" w:rsidRDefault="00B82AC2">
            <w:pPr>
              <w:pStyle w:val="P68B1DB1-TableParagraph40"/>
              <w:spacing w:before="108"/>
              <w:ind w:left="85"/>
              <w:jc w:val="both"/>
            </w:pPr>
            <w:r>
              <w:t>Velan lainmukainen ja lopullinen erääntymispäivä. Perpetual-instrumenttien osalta merkitään ”2099–01–31”.</w:t>
            </w:r>
          </w:p>
          <w:p w14:paraId="7FE1CF62" w14:textId="77777777" w:rsidR="00B81226" w:rsidRDefault="00B82AC2">
            <w:pPr>
              <w:pStyle w:val="P68B1DB1-TableParagraph40"/>
              <w:spacing w:before="108"/>
              <w:ind w:left="85"/>
              <w:jc w:val="both"/>
            </w:pPr>
            <w:r>
              <w:t>Arvopapereiden rahoitustransaktioille, joihin sovelletaan nettoutussopimusta ja jotka ilmoitetaan nettoutusryhmänä, on käytettävä ilmoituspäivän jälkeistä päivää.</w:t>
            </w:r>
          </w:p>
        </w:tc>
      </w:tr>
      <w:tr w:rsidR="00B81226" w14:paraId="7FE1CF67" w14:textId="77777777">
        <w:tc>
          <w:tcPr>
            <w:tcW w:w="1244" w:type="dxa"/>
            <w:tcBorders>
              <w:top w:val="single" w:sz="8" w:space="0" w:color="1A171C"/>
              <w:left w:val="nil"/>
              <w:bottom w:val="single" w:sz="8" w:space="0" w:color="1A171C"/>
              <w:right w:val="single" w:sz="8" w:space="0" w:color="1A171C"/>
            </w:tcBorders>
            <w:vAlign w:val="center"/>
          </w:tcPr>
          <w:p w14:paraId="7FE1CF64" w14:textId="77777777" w:rsidR="00B81226" w:rsidRDefault="00B82AC2">
            <w:pPr>
              <w:pStyle w:val="P68B1DB1-Normal31"/>
            </w:pPr>
            <w:r>
              <w:t>0150</w:t>
            </w:r>
          </w:p>
        </w:tc>
        <w:tc>
          <w:tcPr>
            <w:tcW w:w="7782" w:type="dxa"/>
            <w:gridSpan w:val="2"/>
            <w:tcBorders>
              <w:top w:val="single" w:sz="8" w:space="0" w:color="1A171C"/>
              <w:left w:val="single" w:sz="8" w:space="0" w:color="1A171C"/>
              <w:bottom w:val="single" w:sz="8" w:space="0" w:color="1A171C"/>
              <w:right w:val="nil"/>
            </w:tcBorders>
            <w:vAlign w:val="bottom"/>
          </w:tcPr>
          <w:p w14:paraId="7FE1CF65" w14:textId="2AE250AE" w:rsidR="00B81226" w:rsidRDefault="00B82AC2">
            <w:pPr>
              <w:pStyle w:val="P68B1DB1-TableParagraph73"/>
              <w:spacing w:before="108"/>
              <w:ind w:left="85"/>
              <w:jc w:val="both"/>
              <w:rPr>
                <w:bCs/>
              </w:rPr>
            </w:pPr>
            <w:r>
              <w:t>Takauksen, pantin tai vakuuden määrä</w:t>
            </w:r>
          </w:p>
          <w:p w14:paraId="7FE1CF66" w14:textId="77777777" w:rsidR="00B81226" w:rsidRDefault="00B82AC2">
            <w:pPr>
              <w:pStyle w:val="P68B1DB1-TableParagraph40"/>
              <w:spacing w:before="108"/>
              <w:ind w:left="85"/>
              <w:jc w:val="both"/>
            </w:pPr>
            <w:r>
              <w:t xml:space="preserve">Jos velasta on annettu takaus, pantti tai vakuus, sen bruttoarvo on ilmoitettava. Muussa tapauksessa vakuudettomien velkojen osalta tämä luokka ilmoitetaan nollana. Tämä määrä </w:t>
            </w:r>
            <w:r>
              <w:lastRenderedPageBreak/>
              <w:t>määrittää minkä tahansa vakuudellisen velan vakuudellisen ja mahdollisesti vakuudettoman osan. Jos vakuuspoolin vakuudet koskevat useita rivikohtia, määritä kokonaiskattavuus ja sovella määräsuhteen mukaisesti kaikkiin tämän poolin kattamiin rivikohtiin.</w:t>
            </w:r>
          </w:p>
        </w:tc>
      </w:tr>
      <w:tr w:rsidR="00B81226" w14:paraId="7FE1CF6B" w14:textId="77777777">
        <w:tc>
          <w:tcPr>
            <w:tcW w:w="1244" w:type="dxa"/>
            <w:tcBorders>
              <w:top w:val="single" w:sz="8" w:space="0" w:color="1A171C"/>
              <w:left w:val="nil"/>
              <w:bottom w:val="single" w:sz="8" w:space="0" w:color="1A171C"/>
              <w:right w:val="single" w:sz="8" w:space="0" w:color="1A171C"/>
            </w:tcBorders>
            <w:vAlign w:val="center"/>
          </w:tcPr>
          <w:p w14:paraId="7FE1CF68" w14:textId="77777777" w:rsidR="00B81226" w:rsidRDefault="00B82AC2">
            <w:pPr>
              <w:pStyle w:val="P68B1DB1-Normal31"/>
            </w:pPr>
            <w:r>
              <w:lastRenderedPageBreak/>
              <w:t>0160</w:t>
            </w:r>
          </w:p>
        </w:tc>
        <w:tc>
          <w:tcPr>
            <w:tcW w:w="7782" w:type="dxa"/>
            <w:gridSpan w:val="2"/>
            <w:tcBorders>
              <w:top w:val="single" w:sz="8" w:space="0" w:color="1A171C"/>
              <w:left w:val="single" w:sz="8" w:space="0" w:color="1A171C"/>
              <w:bottom w:val="single" w:sz="8" w:space="0" w:color="1A171C"/>
              <w:right w:val="nil"/>
            </w:tcBorders>
            <w:vAlign w:val="bottom"/>
          </w:tcPr>
          <w:p w14:paraId="7FE1CF69" w14:textId="77777777" w:rsidR="00B81226" w:rsidRDefault="00B82AC2">
            <w:pPr>
              <w:pStyle w:val="P68B1DB1-TableParagraph73"/>
              <w:spacing w:before="108"/>
              <w:ind w:left="85"/>
              <w:jc w:val="both"/>
              <w:rPr>
                <w:bCs/>
              </w:rPr>
            </w:pPr>
            <w:r>
              <w:t>Tarvittaessa takaaja</w:t>
            </w:r>
          </w:p>
          <w:p w14:paraId="7FE1CF6A" w14:textId="77777777" w:rsidR="00B81226" w:rsidRDefault="00B82AC2">
            <w:pPr>
              <w:pStyle w:val="P68B1DB1-TableParagraph40"/>
              <w:spacing w:before="108"/>
              <w:ind w:left="85"/>
              <w:jc w:val="both"/>
            </w:pPr>
            <w:r>
              <w:t>Jos instrumentille on annettu takauksia, takaajasta on annettava tarkat tunnistetiedot (LEI-tunnus, hallinnon ISO 3166–1 -standardin mukainen kaksikirjaiminen maatunnus jne.). Jos takaajia on useita, kaikkien tunnisteet on ilmoitettava puolipisteellä eroteltuina.</w:t>
            </w:r>
          </w:p>
        </w:tc>
      </w:tr>
      <w:tr w:rsidR="00B81226" w14:paraId="7FE1CF70" w14:textId="77777777">
        <w:tc>
          <w:tcPr>
            <w:tcW w:w="1244" w:type="dxa"/>
            <w:tcBorders>
              <w:top w:val="single" w:sz="8" w:space="0" w:color="1A171C"/>
              <w:left w:val="nil"/>
              <w:bottom w:val="single" w:sz="8" w:space="0" w:color="1A171C"/>
              <w:right w:val="single" w:sz="8" w:space="0" w:color="1A171C"/>
            </w:tcBorders>
            <w:vAlign w:val="center"/>
          </w:tcPr>
          <w:p w14:paraId="7FE1CF6C" w14:textId="77777777" w:rsidR="00B81226" w:rsidRDefault="00B82AC2">
            <w:pPr>
              <w:pStyle w:val="P68B1DB1-Normal31"/>
            </w:pPr>
            <w:r>
              <w:t>0175</w:t>
            </w:r>
          </w:p>
        </w:tc>
        <w:tc>
          <w:tcPr>
            <w:tcW w:w="7782" w:type="dxa"/>
            <w:gridSpan w:val="2"/>
            <w:tcBorders>
              <w:top w:val="single" w:sz="8" w:space="0" w:color="1A171C"/>
              <w:left w:val="single" w:sz="8" w:space="0" w:color="1A171C"/>
              <w:bottom w:val="single" w:sz="8" w:space="0" w:color="1A171C"/>
              <w:right w:val="nil"/>
            </w:tcBorders>
            <w:vAlign w:val="bottom"/>
          </w:tcPr>
          <w:p w14:paraId="7FE1CF6D" w14:textId="2F4CF6F7" w:rsidR="00B81226" w:rsidRDefault="00B82AC2">
            <w:pPr>
              <w:pStyle w:val="P68B1DB1-TableParagraph73"/>
              <w:spacing w:before="108"/>
              <w:ind w:left="85"/>
              <w:jc w:val="both"/>
              <w:rPr>
                <w:bCs/>
              </w:rPr>
            </w:pPr>
            <w:r>
              <w:t>Määrä täyttää omia varoja ja hyväksyttäviä velkoja koskevan vähimmäisvaatimuksen ehdot</w:t>
            </w:r>
          </w:p>
          <w:p w14:paraId="7FE1CF6F" w14:textId="4E658BD3" w:rsidR="00B81226" w:rsidRDefault="00B82AC2">
            <w:pPr>
              <w:pStyle w:val="P68B1DB1-TableParagraph40"/>
              <w:spacing w:before="108"/>
              <w:ind w:left="85"/>
              <w:jc w:val="both"/>
            </w:pPr>
            <w:r>
              <w:t xml:space="preserve">Direktiivin 2014/59/EU 45 artiklan 1 kohdan mukaisesti asetetun vaatimuksen täyttämiseksi huomioon otettava omien varojen ja hyväksyttävien velkojen määrä. </w:t>
            </w:r>
          </w:p>
        </w:tc>
      </w:tr>
      <w:tr w:rsidR="00B81226" w14:paraId="7FE1CF76" w14:textId="77777777">
        <w:tc>
          <w:tcPr>
            <w:tcW w:w="1244" w:type="dxa"/>
            <w:tcBorders>
              <w:top w:val="single" w:sz="8" w:space="0" w:color="1A171C"/>
              <w:left w:val="nil"/>
              <w:bottom w:val="single" w:sz="8" w:space="0" w:color="1A171C"/>
              <w:right w:val="single" w:sz="8" w:space="0" w:color="1A171C"/>
            </w:tcBorders>
            <w:vAlign w:val="center"/>
          </w:tcPr>
          <w:p w14:paraId="7FE1CF71" w14:textId="77777777" w:rsidR="00B81226" w:rsidRDefault="00B82AC2">
            <w:pPr>
              <w:pStyle w:val="P68B1DB1-Normal31"/>
            </w:pPr>
            <w:r>
              <w:t>0180</w:t>
            </w:r>
          </w:p>
        </w:tc>
        <w:tc>
          <w:tcPr>
            <w:tcW w:w="7782" w:type="dxa"/>
            <w:gridSpan w:val="2"/>
            <w:tcBorders>
              <w:top w:val="single" w:sz="8" w:space="0" w:color="1A171C"/>
              <w:left w:val="single" w:sz="8" w:space="0" w:color="1A171C"/>
              <w:bottom w:val="single" w:sz="8" w:space="0" w:color="1A171C"/>
              <w:right w:val="nil"/>
            </w:tcBorders>
            <w:vAlign w:val="bottom"/>
          </w:tcPr>
          <w:p w14:paraId="7FE1CF72" w14:textId="77777777" w:rsidR="00B81226" w:rsidRDefault="00B82AC2">
            <w:pPr>
              <w:pStyle w:val="P68B1DB1-TableParagraph73"/>
              <w:spacing w:before="108"/>
              <w:ind w:left="85"/>
              <w:jc w:val="both"/>
              <w:rPr>
                <w:bCs/>
              </w:rPr>
            </w:pPr>
            <w:r>
              <w:t>Katsotaan omiksi varoiksi</w:t>
            </w:r>
          </w:p>
          <w:p w14:paraId="7FE1CF73" w14:textId="52056531" w:rsidR="00B81226" w:rsidRDefault="00B82AC2">
            <w:pPr>
              <w:pStyle w:val="P68B1DB1-TableParagraph40"/>
              <w:spacing w:before="108"/>
              <w:ind w:left="85"/>
              <w:jc w:val="both"/>
            </w:pPr>
            <w:r>
              <w:t>Ilmoitetaan, sisältyykö kyseinen instrumentti omiin varoihin, ja jos sisältyy, millä tasolla, porrastettua käytöstäpoistoa ja uusista säännöksistä siirtymäajaksi vapauttamista koskevien tietojen lisäksi. Arvoksi valitaan valmiista luettelosta joko ”Ei”, ”Osittain AT1, T1 ja T2”, ”Porrastetusti käytöstä poistettava T2”, ”Uusista säännöksistä siirtymäajaksi vapautettu T2”, ”Täysin vaatimustenmukainen T2”, ”Uusista säännöksistä siirtymäajaksi vapautettu AT1”, ”Täysin vaatimustenmukainen AT1” tai ”CET1”.</w:t>
            </w:r>
          </w:p>
          <w:p w14:paraId="7FE1CF74" w14:textId="77777777" w:rsidR="00B81226" w:rsidRDefault="00B82AC2">
            <w:pPr>
              <w:pStyle w:val="P68B1DB1-TableParagraph40"/>
              <w:spacing w:before="108"/>
              <w:ind w:left="85"/>
              <w:jc w:val="both"/>
            </w:pPr>
            <w:r>
              <w:t>Vaihtoehtojen luettelossa oleva ilmaisu ”porrastettu käytöstäpoisto” tarkoittaa minkä tahansa T2-instrumentin maturiteettia edeltävää viiden vuoden ajanjaksoa, jonka aikana vain tietty osuus hyväksytään maturiteettiin kuluvan ajan perusteella. Ilmaisu ”uusista säännöksistä siirtymäajaksi vapautettu” tarkoittaa kaikkia T2-instrumenttiin sovellettavia siirtymäajan toimia, joihin ”porrastettu käytöstäpoisto” ei kuulu. Siirtymäajan aikana hyväksyntä voidaan tehdä kokonaan tai osittain.</w:t>
            </w:r>
          </w:p>
          <w:p w14:paraId="7FE1CF75" w14:textId="77777777" w:rsidR="00B81226" w:rsidRDefault="00B81226">
            <w:pPr>
              <w:pStyle w:val="TableParagraph"/>
              <w:spacing w:before="108"/>
              <w:ind w:left="85"/>
              <w:jc w:val="both"/>
              <w:rPr>
                <w:rFonts w:ascii="Times New Roman" w:eastAsia="Times New Roman" w:hAnsi="Times New Roman" w:cs="Times New Roman"/>
                <w:sz w:val="20"/>
                <w:szCs w:val="20"/>
              </w:rPr>
            </w:pPr>
          </w:p>
        </w:tc>
      </w:tr>
      <w:tr w:rsidR="00B81226" w14:paraId="7FE1CF7A" w14:textId="77777777">
        <w:tc>
          <w:tcPr>
            <w:tcW w:w="1244" w:type="dxa"/>
            <w:tcBorders>
              <w:top w:val="single" w:sz="8" w:space="0" w:color="1A171C"/>
              <w:left w:val="nil"/>
              <w:bottom w:val="single" w:sz="8" w:space="0" w:color="1A171C"/>
              <w:right w:val="single" w:sz="8" w:space="0" w:color="1A171C"/>
            </w:tcBorders>
            <w:vAlign w:val="center"/>
          </w:tcPr>
          <w:p w14:paraId="7FE1CF77" w14:textId="77777777" w:rsidR="00B81226" w:rsidRDefault="00B82AC2">
            <w:pPr>
              <w:pStyle w:val="P68B1DB1-Normal31"/>
            </w:pPr>
            <w:r>
              <w:t>0190</w:t>
            </w:r>
          </w:p>
        </w:tc>
        <w:tc>
          <w:tcPr>
            <w:tcW w:w="7782" w:type="dxa"/>
            <w:gridSpan w:val="2"/>
            <w:tcBorders>
              <w:top w:val="single" w:sz="8" w:space="0" w:color="1A171C"/>
              <w:left w:val="single" w:sz="8" w:space="0" w:color="1A171C"/>
              <w:bottom w:val="single" w:sz="8" w:space="0" w:color="1A171C"/>
              <w:right w:val="nil"/>
            </w:tcBorders>
            <w:vAlign w:val="bottom"/>
          </w:tcPr>
          <w:p w14:paraId="7FE1CF78" w14:textId="2BF371BF" w:rsidR="00B81226" w:rsidRDefault="00B82AC2">
            <w:pPr>
              <w:pStyle w:val="P68B1DB1-TableParagraph73"/>
              <w:spacing w:before="108"/>
              <w:ind w:left="85"/>
              <w:jc w:val="both"/>
              <w:rPr>
                <w:bCs/>
              </w:rPr>
            </w:pPr>
            <w:r>
              <w:t>Määrä, joka hyväksytään omiksi varoiksi</w:t>
            </w:r>
          </w:p>
          <w:p w14:paraId="7FE1CF79" w14:textId="28EFFBCF" w:rsidR="00B81226" w:rsidRDefault="00B82AC2">
            <w:pPr>
              <w:pStyle w:val="P68B1DB1-TableParagraph40"/>
              <w:spacing w:before="108"/>
              <w:ind w:left="85"/>
              <w:jc w:val="both"/>
            </w:pPr>
            <w:r>
              <w:t>Omia varoja koskevat ehdot täyttävän instrumentin määrä.</w:t>
            </w:r>
          </w:p>
        </w:tc>
      </w:tr>
    </w:tbl>
    <w:p w14:paraId="7FE1CF7B" w14:textId="77777777" w:rsidR="00B81226" w:rsidRDefault="00B81226">
      <w:pPr>
        <w:pStyle w:val="Instructionsberschrift2"/>
        <w:ind w:left="357"/>
        <w:rPr>
          <w:rFonts w:ascii="Times New Roman" w:eastAsia="Calibri" w:hAnsi="Times New Roman" w:cs="Times New Roman"/>
          <w:szCs w:val="20"/>
        </w:rPr>
      </w:pPr>
    </w:p>
    <w:p w14:paraId="7FE1CF7C" w14:textId="78CE26C4" w:rsidR="00B81226" w:rsidRDefault="00B82AC2">
      <w:pPr>
        <w:pStyle w:val="Instructionsberschrift2"/>
        <w:numPr>
          <w:ilvl w:val="1"/>
          <w:numId w:val="49"/>
        </w:numPr>
        <w:spacing w:before="0"/>
        <w:ind w:left="357" w:hanging="357"/>
        <w:rPr>
          <w:rFonts w:ascii="Times New Roman" w:hAnsi="Times New Roman" w:cs="Times New Roman"/>
        </w:rPr>
      </w:pPr>
      <w:bookmarkStart w:id="244" w:name="_Toc208245467"/>
      <w:r>
        <w:rPr>
          <w:rFonts w:ascii="Times New Roman" w:hAnsi="Times New Roman" w:cs="Times New Roman"/>
          <w:color w:val="000000" w:themeColor="text1"/>
        </w:rPr>
        <w:t xml:space="preserve">Z 12.00 – </w:t>
      </w:r>
      <w:r>
        <w:rPr>
          <w:rFonts w:ascii="Times New Roman" w:eastAsia="Cambria" w:hAnsi="Times New Roman" w:cs="Times New Roman"/>
        </w:rPr>
        <w:t>arvopaperit (mukaan lukien ydinpääoman (CET1), ensisijaisen lisäpääoman (AT1) ja toissijaisen pääoman (T2) instrumentit; ei sisällä konsernia)</w:t>
      </w:r>
      <w:bookmarkEnd w:id="243"/>
      <w:r>
        <w:rPr>
          <w:rFonts w:ascii="Times New Roman" w:eastAsia="Cambria" w:hAnsi="Times New Roman" w:cs="Times New Roman"/>
        </w:rPr>
        <w:t xml:space="preserve"> </w:t>
      </w:r>
      <w:r>
        <w:rPr>
          <w:rFonts w:ascii="Times New Roman" w:eastAsia="Calibri" w:hAnsi="Times New Roman" w:cs="Times New Roman"/>
          <w:szCs w:val="20"/>
        </w:rPr>
        <w:t>(LIAB-G-2)</w:t>
      </w:r>
      <w:bookmarkEnd w:id="244"/>
    </w:p>
    <w:p w14:paraId="7FE1CF7D" w14:textId="77777777" w:rsidR="00B81226" w:rsidRDefault="00B82AC2">
      <w:pPr>
        <w:pStyle w:val="P68B1DB1-Numberedtitlelevel372"/>
      </w:pPr>
      <w:r>
        <w:t>Yleiset huomautukset</w:t>
      </w:r>
    </w:p>
    <w:p w14:paraId="7FE1CF7F" w14:textId="048C4053" w:rsidR="00B81226" w:rsidRDefault="00B82AC2">
      <w:pPr>
        <w:pStyle w:val="InstructionsText2"/>
        <w:spacing w:before="0"/>
        <w:ind w:left="1134"/>
        <w:rPr>
          <w:rFonts w:ascii="Times New Roman" w:eastAsiaTheme="majorEastAsia" w:hAnsi="Times New Roman" w:cs="Times New Roman"/>
          <w:sz w:val="20"/>
          <w:szCs w:val="20"/>
        </w:rPr>
      </w:pPr>
      <w:r>
        <w:rPr>
          <w:rFonts w:ascii="Times New Roman" w:eastAsia="Cambria" w:hAnsi="Times New Roman" w:cs="Times New Roman"/>
          <w:sz w:val="20"/>
          <w:szCs w:val="20"/>
        </w:rPr>
        <w:t>Arvopaperi on useammassa erässä liikkeeseen laskettava ja siirtokelpoinen rahoitusinstrumentti, jolla on taloudellista arvoa sen varsinaisista ominaispiirteistä riippumatta (ts. nämä instrumentit voivat olla joko vakuudellisia tai vakuudettomia). Tähän taulukkoon on sisällytettävä myös omien varojen välineet</w:t>
      </w:r>
      <w:r>
        <w:rPr>
          <w:rStyle w:val="FootnoteReference"/>
          <w:rFonts w:eastAsia="Cambria" w:cs="Times New Roman"/>
        </w:rPr>
        <w:footnoteReference w:id="36"/>
      </w:r>
      <w:r>
        <w:rPr>
          <w:rFonts w:ascii="Times New Roman" w:eastAsia="Cambria" w:hAnsi="Times New Roman" w:cs="Times New Roman"/>
          <w:sz w:val="20"/>
          <w:szCs w:val="20"/>
        </w:rPr>
        <w:t>. Ydinpääoman (CET1) instrumenttien osalta osakkeiden jäljelle jäävä vaade kirjanpidollisen oman pääoman kokonaismäärästä (määritelty standardissa Z 02.00–r0511) ilmoitetaan instrumenttitasolla.</w:t>
      </w:r>
    </w:p>
    <w:p w14:paraId="7FE1CF81" w14:textId="262B713C" w:rsidR="00B81226" w:rsidRDefault="00B82AC2">
      <w:pPr>
        <w:pStyle w:val="P68B1DB1-InstructionsText286"/>
        <w:numPr>
          <w:ilvl w:val="2"/>
          <w:numId w:val="209"/>
        </w:numPr>
        <w:spacing w:before="0"/>
        <w:ind w:left="1134"/>
      </w:pPr>
      <w:r>
        <w:t>Jos velkojan tunnistetta (sarake 0210) ei ole saatavilla (esim. kun on kyse instrumenteista, joilla käydään kauppaa alustoilla), kukin rivi on ilmoitettava tämän kentän osalta aggregoidulla tasolla.</w:t>
      </w:r>
    </w:p>
    <w:p w14:paraId="7FE1CF83" w14:textId="77777777" w:rsidR="00B81226" w:rsidRDefault="00B82AC2">
      <w:pPr>
        <w:pStyle w:val="P68B1DB1-InstructionsText286"/>
        <w:numPr>
          <w:ilvl w:val="2"/>
          <w:numId w:val="209"/>
        </w:numPr>
        <w:spacing w:before="0"/>
        <w:ind w:left="1134"/>
      </w:pPr>
      <w:r>
        <w:t>Tässä taulukossa velat ilmoitetaan riveillä pyydettyjen kenttien määrittelemällä tarkkuustasolla.</w:t>
      </w:r>
    </w:p>
    <w:p w14:paraId="7FE1CF86" w14:textId="77777777" w:rsidR="00B81226" w:rsidRDefault="00B81226">
      <w:pPr>
        <w:spacing w:line="276" w:lineRule="auto"/>
        <w:rPr>
          <w:rFonts w:ascii="Times New Roman" w:hAnsi="Times New Roman" w:cs="Times New Roman"/>
          <w:sz w:val="20"/>
          <w:szCs w:val="20"/>
        </w:rPr>
      </w:pPr>
    </w:p>
    <w:p w14:paraId="7FE1CF87" w14:textId="77777777" w:rsidR="00B81226" w:rsidRDefault="00B82AC2">
      <w:pPr>
        <w:pStyle w:val="P68B1DB1-Numberedtitlelevel372"/>
      </w:pPr>
      <w:r>
        <w:lastRenderedPageBreak/>
        <w:t>Tiettyjä kohtia koskevat ohjeet</w:t>
      </w:r>
    </w:p>
    <w:p w14:paraId="7FE1CF88" w14:textId="77777777" w:rsidR="00B81226" w:rsidRDefault="00B81226">
      <w:pPr>
        <w:pStyle w:val="body"/>
        <w:rPr>
          <w:rFonts w:ascii="Times New Roman" w:hAnsi="Times New Roman" w:cs="Times New Roman"/>
          <w:color w:val="000000" w:themeColor="text1"/>
          <w:sz w:val="20"/>
          <w:szCs w:val="20"/>
        </w:rPr>
      </w:pPr>
    </w:p>
    <w:tbl>
      <w:tblPr>
        <w:tblW w:w="0" w:type="auto"/>
        <w:tblLook w:val="01E0" w:firstRow="1" w:lastRow="1" w:firstColumn="1" w:lastColumn="1" w:noHBand="0" w:noVBand="0"/>
      </w:tblPr>
      <w:tblGrid>
        <w:gridCol w:w="1415"/>
        <w:gridCol w:w="7547"/>
        <w:gridCol w:w="64"/>
      </w:tblGrid>
      <w:tr w:rsidR="00B81226" w14:paraId="7FE1CF8B" w14:textId="77777777">
        <w:trPr>
          <w:gridAfter w:val="1"/>
          <w:wAfter w:w="64" w:type="dxa"/>
          <w:tblHeader/>
        </w:trPr>
        <w:tc>
          <w:tcPr>
            <w:tcW w:w="1415" w:type="dxa"/>
            <w:tcBorders>
              <w:top w:val="single" w:sz="4" w:space="0" w:color="1A171C"/>
              <w:left w:val="nil"/>
              <w:bottom w:val="single" w:sz="4" w:space="0" w:color="1A171C"/>
              <w:right w:val="single" w:sz="4" w:space="0" w:color="1A171C"/>
            </w:tcBorders>
            <w:shd w:val="clear" w:color="auto" w:fill="E4E5E5"/>
          </w:tcPr>
          <w:p w14:paraId="7FE1CF89" w14:textId="77777777" w:rsidR="00B81226" w:rsidRDefault="00B82AC2">
            <w:pPr>
              <w:pStyle w:val="P68B1DB1-TableParagraph17"/>
              <w:spacing w:before="108"/>
              <w:ind w:left="85"/>
            </w:pPr>
            <w:r>
              <w:t>Sarakkeet</w:t>
            </w:r>
          </w:p>
        </w:tc>
        <w:tc>
          <w:tcPr>
            <w:tcW w:w="7547" w:type="dxa"/>
            <w:tcBorders>
              <w:top w:val="single" w:sz="4" w:space="0" w:color="1A171C"/>
              <w:left w:val="single" w:sz="4" w:space="0" w:color="1A171C"/>
              <w:bottom w:val="single" w:sz="4" w:space="0" w:color="1A171C"/>
              <w:right w:val="nil"/>
            </w:tcBorders>
            <w:shd w:val="clear" w:color="auto" w:fill="E4E5E5"/>
          </w:tcPr>
          <w:p w14:paraId="7FE1CF8A" w14:textId="77777777" w:rsidR="00B81226" w:rsidRDefault="00B82AC2">
            <w:pPr>
              <w:pStyle w:val="P68B1DB1-TableParagraph17"/>
              <w:spacing w:before="108"/>
              <w:ind w:left="85" w:right="1"/>
            </w:pPr>
            <w:r>
              <w:t>Ohjeet</w:t>
            </w:r>
          </w:p>
        </w:tc>
      </w:tr>
      <w:tr w:rsidR="00B81226" w14:paraId="7FE1CF8F" w14:textId="77777777">
        <w:tc>
          <w:tcPr>
            <w:tcW w:w="1415" w:type="dxa"/>
            <w:tcBorders>
              <w:top w:val="single" w:sz="8" w:space="0" w:color="1A171C"/>
              <w:left w:val="nil"/>
              <w:bottom w:val="single" w:sz="8" w:space="0" w:color="1A171C"/>
              <w:right w:val="single" w:sz="8" w:space="0" w:color="1A171C"/>
            </w:tcBorders>
            <w:vAlign w:val="center"/>
          </w:tcPr>
          <w:p w14:paraId="7FE1CF8C" w14:textId="77777777" w:rsidR="00B81226" w:rsidRDefault="00B82AC2">
            <w:pPr>
              <w:pStyle w:val="P68B1DB1-Normal31"/>
            </w:pPr>
            <w:r>
              <w:t>0010</w:t>
            </w:r>
          </w:p>
        </w:tc>
        <w:tc>
          <w:tcPr>
            <w:tcW w:w="7611" w:type="dxa"/>
            <w:gridSpan w:val="2"/>
            <w:tcBorders>
              <w:top w:val="single" w:sz="8" w:space="0" w:color="1A171C"/>
              <w:left w:val="single" w:sz="8" w:space="0" w:color="1A171C"/>
              <w:bottom w:val="single" w:sz="8" w:space="0" w:color="1A171C"/>
              <w:right w:val="nil"/>
            </w:tcBorders>
            <w:vAlign w:val="bottom"/>
          </w:tcPr>
          <w:p w14:paraId="7FE1CF8D" w14:textId="77777777" w:rsidR="00B81226" w:rsidRDefault="00B82AC2">
            <w:pPr>
              <w:pStyle w:val="P68B1DB1-TableParagraph40"/>
              <w:spacing w:before="108"/>
              <w:ind w:left="85"/>
              <w:jc w:val="both"/>
              <w:rPr>
                <w:b/>
                <w:bCs/>
              </w:rPr>
            </w:pPr>
            <w:r>
              <w:t xml:space="preserve"> </w:t>
            </w:r>
            <w:r>
              <w:rPr>
                <w:b/>
              </w:rPr>
              <w:t>NRO</w:t>
            </w:r>
          </w:p>
          <w:p w14:paraId="7FE1CF8E" w14:textId="77777777" w:rsidR="00B81226" w:rsidRDefault="00B82AC2">
            <w:pPr>
              <w:pStyle w:val="P68B1DB1-TableParagraph40"/>
              <w:spacing w:before="108"/>
              <w:ind w:left="85"/>
              <w:jc w:val="both"/>
            </w:pPr>
            <w:r>
              <w:t>Yksilöllinen numero/ensisijainen tunniste rivikohtien tunnistamiseen.</w:t>
            </w:r>
          </w:p>
        </w:tc>
      </w:tr>
      <w:tr w:rsidR="00B81226" w14:paraId="7FE1CF93" w14:textId="77777777">
        <w:tc>
          <w:tcPr>
            <w:tcW w:w="1415" w:type="dxa"/>
            <w:tcBorders>
              <w:top w:val="single" w:sz="8" w:space="0" w:color="1A171C"/>
              <w:left w:val="nil"/>
              <w:bottom w:val="single" w:sz="8" w:space="0" w:color="1A171C"/>
              <w:right w:val="single" w:sz="8" w:space="0" w:color="1A171C"/>
            </w:tcBorders>
            <w:vAlign w:val="center"/>
          </w:tcPr>
          <w:p w14:paraId="7FE1CF90" w14:textId="77777777" w:rsidR="00B81226" w:rsidRDefault="00B82AC2">
            <w:pPr>
              <w:pStyle w:val="P68B1DB1-Normal31"/>
            </w:pPr>
            <w:r>
              <w:t>0020</w:t>
            </w:r>
          </w:p>
        </w:tc>
        <w:tc>
          <w:tcPr>
            <w:tcW w:w="7611" w:type="dxa"/>
            <w:gridSpan w:val="2"/>
            <w:tcBorders>
              <w:top w:val="single" w:sz="8" w:space="0" w:color="1A171C"/>
              <w:left w:val="single" w:sz="8" w:space="0" w:color="1A171C"/>
              <w:bottom w:val="single" w:sz="8" w:space="0" w:color="1A171C"/>
              <w:right w:val="nil"/>
            </w:tcBorders>
            <w:vAlign w:val="bottom"/>
          </w:tcPr>
          <w:p w14:paraId="7FE1CF91" w14:textId="2D0C3327" w:rsidR="00B81226" w:rsidRDefault="00B82AC2">
            <w:pPr>
              <w:pStyle w:val="P68B1DB1-TableParagraph73"/>
              <w:spacing w:before="108"/>
              <w:ind w:left="85"/>
              <w:jc w:val="both"/>
              <w:rPr>
                <w:bCs/>
              </w:rPr>
            </w:pPr>
            <w:r>
              <w:t>Rivi</w:t>
            </w:r>
          </w:p>
          <w:p w14:paraId="7FE1CF92" w14:textId="771261C9" w:rsidR="00B81226" w:rsidRDefault="00B82AC2">
            <w:pPr>
              <w:pStyle w:val="P68B1DB1-TableParagraph40"/>
              <w:spacing w:before="108"/>
              <w:ind w:left="85"/>
              <w:jc w:val="both"/>
            </w:pPr>
            <w:r>
              <w:t>Jokaisesta raportoidusta rivistä on esitettävä täsmäytys taulukon 02.00 velkarakenteen velkaluokkiin maturiteetin tasolla.Arvot valitaan valmiista luettelosta.</w:t>
            </w:r>
          </w:p>
        </w:tc>
      </w:tr>
      <w:tr w:rsidR="00B81226" w14:paraId="7FE1CF97" w14:textId="77777777">
        <w:tc>
          <w:tcPr>
            <w:tcW w:w="1415" w:type="dxa"/>
            <w:tcBorders>
              <w:top w:val="single" w:sz="8" w:space="0" w:color="1A171C"/>
              <w:left w:val="nil"/>
              <w:bottom w:val="single" w:sz="8" w:space="0" w:color="1A171C"/>
              <w:right w:val="single" w:sz="8" w:space="0" w:color="1A171C"/>
            </w:tcBorders>
            <w:vAlign w:val="center"/>
          </w:tcPr>
          <w:p w14:paraId="7FE1CF94" w14:textId="77777777" w:rsidR="00B81226" w:rsidRDefault="00B82AC2">
            <w:pPr>
              <w:pStyle w:val="P68B1DB1-Normal31"/>
            </w:pPr>
            <w:r>
              <w:t>0030</w:t>
            </w:r>
          </w:p>
        </w:tc>
        <w:tc>
          <w:tcPr>
            <w:tcW w:w="7611" w:type="dxa"/>
            <w:gridSpan w:val="2"/>
            <w:tcBorders>
              <w:top w:val="single" w:sz="8" w:space="0" w:color="1A171C"/>
              <w:left w:val="single" w:sz="8" w:space="0" w:color="1A171C"/>
              <w:bottom w:val="single" w:sz="8" w:space="0" w:color="1A171C"/>
              <w:right w:val="nil"/>
            </w:tcBorders>
            <w:vAlign w:val="bottom"/>
          </w:tcPr>
          <w:p w14:paraId="7FE1CF95" w14:textId="77777777" w:rsidR="00B81226" w:rsidRDefault="00B82AC2">
            <w:pPr>
              <w:pStyle w:val="P68B1DB1-TableParagraph73"/>
              <w:spacing w:before="108"/>
              <w:ind w:left="85"/>
              <w:jc w:val="both"/>
              <w:rPr>
                <w:bCs/>
              </w:rPr>
            </w:pPr>
            <w:r>
              <w:t xml:space="preserve">Sarake </w:t>
            </w:r>
          </w:p>
          <w:p w14:paraId="7FE1CF96" w14:textId="68A01AA0" w:rsidR="00B81226" w:rsidRDefault="00B82AC2">
            <w:pPr>
              <w:pStyle w:val="P68B1DB1-TableParagraph40"/>
              <w:spacing w:before="108"/>
              <w:ind w:left="85"/>
              <w:jc w:val="both"/>
            </w:pPr>
            <w:r>
              <w:t>Jokaisesta raportoidusta rivistä on esitettävä täsmäytys taulukon 02.00 siihen vastapuoliluokkaan, johon velka on maksettava.Arvot valitaan valmiista luettelosta.</w:t>
            </w:r>
          </w:p>
        </w:tc>
      </w:tr>
      <w:tr w:rsidR="00B81226" w14:paraId="7FE1CF9B" w14:textId="77777777">
        <w:tc>
          <w:tcPr>
            <w:tcW w:w="1415" w:type="dxa"/>
            <w:tcBorders>
              <w:top w:val="single" w:sz="8" w:space="0" w:color="1A171C"/>
              <w:left w:val="nil"/>
              <w:bottom w:val="single" w:sz="8" w:space="0" w:color="1A171C"/>
              <w:right w:val="single" w:sz="8" w:space="0" w:color="1A171C"/>
            </w:tcBorders>
            <w:vAlign w:val="center"/>
          </w:tcPr>
          <w:p w14:paraId="7FE1CF98" w14:textId="77777777" w:rsidR="00B81226" w:rsidRDefault="00B82AC2">
            <w:pPr>
              <w:pStyle w:val="P68B1DB1-Normal31"/>
            </w:pPr>
            <w:r>
              <w:t>0040</w:t>
            </w:r>
          </w:p>
        </w:tc>
        <w:tc>
          <w:tcPr>
            <w:tcW w:w="7611" w:type="dxa"/>
            <w:gridSpan w:val="2"/>
            <w:tcBorders>
              <w:top w:val="single" w:sz="8" w:space="0" w:color="1A171C"/>
              <w:left w:val="single" w:sz="8" w:space="0" w:color="1A171C"/>
              <w:bottom w:val="single" w:sz="8" w:space="0" w:color="1A171C"/>
              <w:right w:val="nil"/>
            </w:tcBorders>
            <w:vAlign w:val="bottom"/>
          </w:tcPr>
          <w:p w14:paraId="7FE1CF99" w14:textId="612A6BCD" w:rsidR="00B81226" w:rsidRDefault="00B82AC2">
            <w:pPr>
              <w:pStyle w:val="P68B1DB1-TableParagraph40"/>
              <w:spacing w:before="108"/>
              <w:ind w:left="85"/>
              <w:jc w:val="both"/>
              <w:rPr>
                <w:b/>
                <w:bCs/>
              </w:rPr>
            </w:pPr>
            <w:r>
              <w:t xml:space="preserve"> </w:t>
            </w:r>
            <w:r>
              <w:rPr>
                <w:b/>
              </w:rPr>
              <w:t>Maksukyvyttömyysluokka</w:t>
            </w:r>
          </w:p>
          <w:p w14:paraId="7FE1CF9A" w14:textId="33768518" w:rsidR="00B81226" w:rsidRDefault="00B82AC2">
            <w:pPr>
              <w:pStyle w:val="P68B1DB1-TableParagraph40"/>
              <w:spacing w:before="108"/>
              <w:ind w:left="85"/>
              <w:jc w:val="both"/>
            </w:pPr>
            <w:r>
              <w:t xml:space="preserve">Maksukyvyttömyysluokan on oltava jokin kyseisen lainkäyttöalueen kriisinratkaisuviranomaisen julkaisemiin maksukyvyttömyysluokituksiin kuuluvista luokista. </w:t>
            </w:r>
          </w:p>
        </w:tc>
      </w:tr>
      <w:tr w:rsidR="00B81226" w14:paraId="7FE1CF9F" w14:textId="77777777">
        <w:tc>
          <w:tcPr>
            <w:tcW w:w="1415" w:type="dxa"/>
            <w:tcBorders>
              <w:top w:val="single" w:sz="8" w:space="0" w:color="1A171C"/>
              <w:left w:val="nil"/>
              <w:bottom w:val="single" w:sz="8" w:space="0" w:color="1A171C"/>
              <w:right w:val="single" w:sz="8" w:space="0" w:color="1A171C"/>
            </w:tcBorders>
            <w:vAlign w:val="center"/>
          </w:tcPr>
          <w:p w14:paraId="7FE1CF9C" w14:textId="77777777" w:rsidR="00B81226" w:rsidRDefault="00B82AC2">
            <w:pPr>
              <w:pStyle w:val="P68B1DB1-Normal31"/>
            </w:pPr>
            <w:r>
              <w:t>0050</w:t>
            </w:r>
          </w:p>
        </w:tc>
        <w:tc>
          <w:tcPr>
            <w:tcW w:w="7611" w:type="dxa"/>
            <w:gridSpan w:val="2"/>
            <w:tcBorders>
              <w:top w:val="single" w:sz="8" w:space="0" w:color="1A171C"/>
              <w:left w:val="single" w:sz="8" w:space="0" w:color="1A171C"/>
              <w:bottom w:val="single" w:sz="8" w:space="0" w:color="1A171C"/>
              <w:right w:val="nil"/>
            </w:tcBorders>
            <w:vAlign w:val="bottom"/>
          </w:tcPr>
          <w:p w14:paraId="7FE1CF9D" w14:textId="77777777" w:rsidR="00B81226" w:rsidRDefault="00B82AC2">
            <w:pPr>
              <w:pStyle w:val="P68B1DB1-TableParagraph73"/>
              <w:spacing w:before="108"/>
              <w:ind w:left="85"/>
              <w:jc w:val="both"/>
              <w:rPr>
                <w:bCs/>
              </w:rPr>
            </w:pPr>
            <w:r>
              <w:t>ISIN</w:t>
            </w:r>
          </w:p>
          <w:p w14:paraId="7FE1CF9E" w14:textId="02C8C7D3" w:rsidR="00B81226" w:rsidRDefault="00B82AC2">
            <w:pPr>
              <w:pStyle w:val="P68B1DB1-TableParagraph40"/>
              <w:spacing w:before="108"/>
              <w:ind w:left="85"/>
              <w:jc w:val="both"/>
            </w:pPr>
            <w:r>
              <w:t>Ilmoitetaan ISIN-koodi tai, jos ISIN-koodia ei ole saatavilla, muu instrumentin sopimustunniste.</w:t>
            </w:r>
          </w:p>
        </w:tc>
      </w:tr>
      <w:tr w:rsidR="00B81226" w14:paraId="7FE1CFAC" w14:textId="77777777">
        <w:tc>
          <w:tcPr>
            <w:tcW w:w="1415" w:type="dxa"/>
            <w:tcBorders>
              <w:top w:val="single" w:sz="8" w:space="0" w:color="1A171C"/>
              <w:left w:val="nil"/>
              <w:bottom w:val="single" w:sz="8" w:space="0" w:color="1A171C"/>
              <w:right w:val="single" w:sz="8" w:space="0" w:color="1A171C"/>
            </w:tcBorders>
            <w:vAlign w:val="center"/>
          </w:tcPr>
          <w:p w14:paraId="7FE1CFA0" w14:textId="77777777" w:rsidR="00B81226" w:rsidRDefault="00B82AC2">
            <w:pPr>
              <w:pStyle w:val="P68B1DB1-Normal31"/>
            </w:pPr>
            <w:r>
              <w:t>0060</w:t>
            </w:r>
          </w:p>
        </w:tc>
        <w:tc>
          <w:tcPr>
            <w:tcW w:w="7611" w:type="dxa"/>
            <w:gridSpan w:val="2"/>
            <w:tcBorders>
              <w:top w:val="single" w:sz="8" w:space="0" w:color="1A171C"/>
              <w:left w:val="single" w:sz="8" w:space="0" w:color="1A171C"/>
              <w:bottom w:val="single" w:sz="8" w:space="0" w:color="1A171C"/>
              <w:right w:val="nil"/>
            </w:tcBorders>
            <w:vAlign w:val="bottom"/>
          </w:tcPr>
          <w:p w14:paraId="7FE1CFA1" w14:textId="6BA6A7B1" w:rsidR="00B81226" w:rsidRDefault="00B82AC2">
            <w:pPr>
              <w:pStyle w:val="P68B1DB1-TableParagraph73"/>
              <w:spacing w:before="108"/>
              <w:ind w:left="85"/>
              <w:jc w:val="both"/>
              <w:rPr>
                <w:bCs/>
              </w:rPr>
            </w:pPr>
            <w:r>
              <w:t xml:space="preserve">Toteutusväline  </w:t>
            </w:r>
          </w:p>
          <w:p w14:paraId="7FE1CFA2" w14:textId="77777777" w:rsidR="00B81226" w:rsidRDefault="00B82AC2">
            <w:pPr>
              <w:pStyle w:val="P68B1DB1-TableParagraph40"/>
              <w:spacing w:before="108"/>
              <w:ind w:left="85"/>
              <w:jc w:val="both"/>
            </w:pPr>
            <w:r>
              <w:t xml:space="preserve">Instrumenttityypin tunnistetiedot, joko </w:t>
            </w:r>
          </w:p>
          <w:p w14:paraId="7FE1CFA3" w14:textId="77777777" w:rsidR="00B81226" w:rsidRDefault="00B82AC2">
            <w:pPr>
              <w:pStyle w:val="P68B1DB1-TableParagraph40"/>
              <w:spacing w:before="108"/>
              <w:ind w:left="85"/>
              <w:jc w:val="both"/>
            </w:pPr>
            <w:r>
              <w:t>— Rekisteröity joukkolaina</w:t>
            </w:r>
          </w:p>
          <w:p w14:paraId="7FE1CFA4" w14:textId="77777777" w:rsidR="00B81226" w:rsidRDefault="00B82AC2">
            <w:pPr>
              <w:pStyle w:val="P68B1DB1-TableParagraph40"/>
              <w:spacing w:before="108"/>
              <w:ind w:left="85"/>
              <w:jc w:val="both"/>
            </w:pPr>
            <w:r>
              <w:t>— Haltijajoukkolaina</w:t>
            </w:r>
          </w:p>
          <w:p w14:paraId="7FE1CFA5" w14:textId="77777777" w:rsidR="00B81226" w:rsidRDefault="00B82AC2">
            <w:pPr>
              <w:pStyle w:val="P68B1DB1-TableParagraph40"/>
              <w:spacing w:before="108"/>
              <w:ind w:left="85"/>
              <w:jc w:val="both"/>
            </w:pPr>
            <w:r>
              <w:t>— Lainanottajan velkakirjalaina</w:t>
            </w:r>
          </w:p>
          <w:p w14:paraId="7FE1CFA7" w14:textId="3E3D590C" w:rsidR="00B81226" w:rsidRDefault="00B82AC2">
            <w:pPr>
              <w:pStyle w:val="P68B1DB1-TableParagraph40"/>
              <w:spacing w:before="108"/>
              <w:ind w:left="85"/>
              <w:jc w:val="both"/>
            </w:pPr>
            <w:r>
              <w:t>— Talletustodistus/kauppapaperi</w:t>
            </w:r>
          </w:p>
          <w:p w14:paraId="7FE1CFA8" w14:textId="77777777" w:rsidR="00B81226" w:rsidRDefault="00B82AC2">
            <w:pPr>
              <w:pStyle w:val="P68B1DB1-TableParagraph40"/>
              <w:spacing w:before="108"/>
              <w:ind w:left="85"/>
              <w:jc w:val="both"/>
            </w:pPr>
            <w:r>
              <w:t>— Omistusoikeus</w:t>
            </w:r>
          </w:p>
          <w:p w14:paraId="7FE1CFA9" w14:textId="77777777" w:rsidR="00B81226" w:rsidRDefault="00B82AC2">
            <w:pPr>
              <w:pStyle w:val="P68B1DB1-TableParagraph40"/>
              <w:spacing w:before="108"/>
              <w:ind w:left="85"/>
              <w:jc w:val="both"/>
            </w:pPr>
            <w:r>
              <w:t>Muut</w:t>
            </w:r>
          </w:p>
          <w:p w14:paraId="7FE1CFAA" w14:textId="2BCDE67E" w:rsidR="00B81226" w:rsidRDefault="00B82AC2">
            <w:pPr>
              <w:pStyle w:val="P68B1DB1-TableParagraph40"/>
              <w:spacing w:before="108"/>
              <w:ind w:left="85"/>
              <w:jc w:val="both"/>
            </w:pPr>
            <w:r>
              <w:t xml:space="preserve"> </w:t>
            </w:r>
          </w:p>
          <w:p w14:paraId="7FE1CFAB" w14:textId="77777777" w:rsidR="00B81226" w:rsidRDefault="00B82AC2">
            <w:pPr>
              <w:pStyle w:val="P68B1DB1-TableParagraph40"/>
              <w:spacing w:before="108"/>
              <w:ind w:left="85"/>
              <w:jc w:val="both"/>
            </w:pPr>
            <w:r>
              <w:t>etukäteen määritetystä luettelosta.</w:t>
            </w:r>
          </w:p>
        </w:tc>
      </w:tr>
      <w:tr w:rsidR="00B81226" w14:paraId="7FE1CFB0" w14:textId="77777777">
        <w:tc>
          <w:tcPr>
            <w:tcW w:w="1415" w:type="dxa"/>
            <w:tcBorders>
              <w:top w:val="single" w:sz="8" w:space="0" w:color="1A171C"/>
              <w:left w:val="nil"/>
              <w:bottom w:val="single" w:sz="8" w:space="0" w:color="1A171C"/>
              <w:right w:val="single" w:sz="8" w:space="0" w:color="1A171C"/>
            </w:tcBorders>
            <w:vAlign w:val="center"/>
          </w:tcPr>
          <w:p w14:paraId="7FE1CFAD" w14:textId="77777777" w:rsidR="00B81226" w:rsidRDefault="00B82AC2">
            <w:pPr>
              <w:pStyle w:val="P68B1DB1-Normal31"/>
            </w:pPr>
            <w:r>
              <w:t>0070</w:t>
            </w:r>
          </w:p>
        </w:tc>
        <w:tc>
          <w:tcPr>
            <w:tcW w:w="7611" w:type="dxa"/>
            <w:gridSpan w:val="2"/>
            <w:tcBorders>
              <w:top w:val="single" w:sz="8" w:space="0" w:color="1A171C"/>
              <w:left w:val="single" w:sz="8" w:space="0" w:color="1A171C"/>
              <w:bottom w:val="single" w:sz="8" w:space="0" w:color="1A171C"/>
              <w:right w:val="nil"/>
            </w:tcBorders>
            <w:vAlign w:val="bottom"/>
          </w:tcPr>
          <w:p w14:paraId="7FE1CFAE" w14:textId="15104C03" w:rsidR="00B81226" w:rsidRDefault="00B82AC2">
            <w:pPr>
              <w:pStyle w:val="P68B1DB1-TableParagraph73"/>
              <w:spacing w:before="108"/>
              <w:ind w:left="85"/>
              <w:jc w:val="both"/>
              <w:rPr>
                <w:bCs/>
              </w:rPr>
            </w:pPr>
            <w:r>
              <w:t xml:space="preserve">Sovellet-tava lainsää-däntö  </w:t>
            </w:r>
          </w:p>
          <w:p w14:paraId="7FE1CFAF" w14:textId="2BE77EA5" w:rsidR="00B81226" w:rsidRDefault="00B82AC2">
            <w:pPr>
              <w:pStyle w:val="P68B1DB1-TableParagraph40"/>
              <w:spacing w:before="108"/>
              <w:ind w:left="85"/>
              <w:jc w:val="both"/>
            </w:pPr>
            <w:r>
              <w:t xml:space="preserve">Sen maan ISO 3166–1 alpha-2 -koodi, jonka lakia instrumenttiin sovelletaan (käytetään ISO 3166–2 -koodia, kun hallinnollisen alajaon laki on relevantti, esim. ”US-NY”). Jos sopimukseen sovelletaan useamman kuin yhden maan lakia, ilmoitetaan maa, jonka laki on merkityksellisin velkakirjojen arvon alaskirjaus- ja muuntamisvaltuuksien tunnustamisen osalta.  </w:t>
            </w:r>
          </w:p>
        </w:tc>
      </w:tr>
      <w:tr w:rsidR="00B81226" w14:paraId="7FE1CFB9" w14:textId="77777777">
        <w:tc>
          <w:tcPr>
            <w:tcW w:w="1415" w:type="dxa"/>
            <w:tcBorders>
              <w:top w:val="single" w:sz="8" w:space="0" w:color="1A171C"/>
              <w:left w:val="nil"/>
              <w:bottom w:val="single" w:sz="8" w:space="0" w:color="1A171C"/>
              <w:right w:val="single" w:sz="8" w:space="0" w:color="1A171C"/>
            </w:tcBorders>
            <w:vAlign w:val="center"/>
          </w:tcPr>
          <w:p w14:paraId="7FE1CFB1" w14:textId="77777777" w:rsidR="00B81226" w:rsidRDefault="00B82AC2">
            <w:pPr>
              <w:pStyle w:val="P68B1DB1-Normal31"/>
            </w:pPr>
            <w:r>
              <w:t>0080</w:t>
            </w:r>
          </w:p>
        </w:tc>
        <w:tc>
          <w:tcPr>
            <w:tcW w:w="7611" w:type="dxa"/>
            <w:gridSpan w:val="2"/>
            <w:tcBorders>
              <w:top w:val="single" w:sz="8" w:space="0" w:color="1A171C"/>
              <w:left w:val="single" w:sz="8" w:space="0" w:color="1A171C"/>
              <w:bottom w:val="single" w:sz="8" w:space="0" w:color="1A171C"/>
              <w:right w:val="nil"/>
            </w:tcBorders>
            <w:vAlign w:val="bottom"/>
          </w:tcPr>
          <w:p w14:paraId="7FE1CFB2" w14:textId="5EBC9195" w:rsidR="00B81226" w:rsidRDefault="00B82AC2">
            <w:pPr>
              <w:pStyle w:val="P68B1DB1-TableParagraph73"/>
              <w:spacing w:before="108"/>
              <w:ind w:left="85"/>
              <w:jc w:val="both"/>
              <w:rPr>
                <w:bCs/>
              </w:rPr>
            </w:pPr>
            <w:r>
              <w:t xml:space="preserve">Jos kyseessä on kolmannen maan lainsäädäntö, sopimusperusteinen tunnustaminen </w:t>
            </w:r>
          </w:p>
          <w:p w14:paraId="7FE1CFB3" w14:textId="0329FBCA" w:rsidR="00B81226" w:rsidRDefault="00B82AC2">
            <w:pPr>
              <w:pStyle w:val="P68B1DB1-TableParagraph40"/>
              <w:spacing w:before="108"/>
              <w:ind w:left="85"/>
              <w:jc w:val="both"/>
            </w:pPr>
            <w:r>
              <w:t>Määritetään sopimusmääräykset, jotka koskevat velkakirjojen arvon alaskirjausvaltuuksien tunnustamista pankkien elvytys- ja kriisinratkaisudirektiivin 55 artiklan mukaisesti, joko</w:t>
            </w:r>
          </w:p>
          <w:p w14:paraId="7FE1CFB4" w14:textId="7CAD351E" w:rsidR="00B81226" w:rsidRDefault="00B82AC2">
            <w:pPr>
              <w:pStyle w:val="P68B1DB1-TableParagraph40"/>
              <w:spacing w:before="108"/>
              <w:ind w:left="85"/>
              <w:jc w:val="both"/>
            </w:pPr>
            <w:r>
              <w:t>”Kyllä, jota tuetaan oikeudellisella lausunnolla” = velkaan sisältyy pankkien elvytys- ja kriisinratkaisudirektiivin 55 artiklan mukainen velkakirjojen arvon alaskirjauksen tunnustamista koskeva lauseke, jota tuetaan oikeudellisella lausunnolla;</w:t>
            </w:r>
          </w:p>
          <w:p w14:paraId="7FE1CFB5" w14:textId="77777777" w:rsidR="00B81226" w:rsidRDefault="00B82AC2">
            <w:pPr>
              <w:pStyle w:val="P68B1DB1-TableParagraph40"/>
              <w:spacing w:before="108"/>
              <w:ind w:left="85"/>
              <w:jc w:val="both"/>
            </w:pPr>
            <w:r>
              <w:t>”Kyllä, jota ei tueta oikeudellisella lausunnolla” = velkaan sisältyy pankkien elvytys- ja kriisinratkaisudirektiivin 55 artiklan mukainen velkakirjojen arvon alaskirjauksen tunnustamista koskeva lauseke, jota ei tällä hetkellä tueta oikeudellisella lausunnolla;</w:t>
            </w:r>
          </w:p>
          <w:p w14:paraId="7FE1CFB6" w14:textId="77777777" w:rsidR="00B81226" w:rsidRDefault="00B82AC2">
            <w:pPr>
              <w:pStyle w:val="P68B1DB1-TableParagraph40"/>
              <w:spacing w:before="108"/>
              <w:ind w:left="85"/>
              <w:jc w:val="both"/>
            </w:pPr>
            <w:r>
              <w:t xml:space="preserve">”Ei” = velkaan ei sisälly velkakirjojen arvon alaskirjauksen tunnustamista koskevaa </w:t>
            </w:r>
            <w:r>
              <w:lastRenderedPageBreak/>
              <w:t>lauseketta;</w:t>
            </w:r>
          </w:p>
          <w:p w14:paraId="7FE1CFB7" w14:textId="58099242" w:rsidR="00B81226" w:rsidRDefault="00B82AC2">
            <w:pPr>
              <w:pStyle w:val="P68B1DB1-TableParagraph40"/>
              <w:spacing w:before="108"/>
              <w:ind w:left="85"/>
              <w:jc w:val="both"/>
            </w:pPr>
            <w:r>
              <w:t xml:space="preserve">”Ei täytetä”.  </w:t>
            </w:r>
          </w:p>
          <w:p w14:paraId="7FE1CFB8" w14:textId="77777777" w:rsidR="00B81226" w:rsidRDefault="00B82AC2">
            <w:pPr>
              <w:pStyle w:val="P68B1DB1-TableParagraph40"/>
              <w:spacing w:before="108"/>
              <w:ind w:left="85"/>
              <w:jc w:val="both"/>
            </w:pPr>
            <w:r>
              <w:t>etukäteen määritetystä luettelosta.</w:t>
            </w:r>
          </w:p>
        </w:tc>
      </w:tr>
      <w:tr w:rsidR="00B81226" w14:paraId="7FE1CFBD" w14:textId="77777777">
        <w:tc>
          <w:tcPr>
            <w:tcW w:w="1415" w:type="dxa"/>
            <w:tcBorders>
              <w:top w:val="single" w:sz="8" w:space="0" w:color="1A171C"/>
              <w:left w:val="nil"/>
              <w:bottom w:val="single" w:sz="8" w:space="0" w:color="1A171C"/>
              <w:right w:val="single" w:sz="8" w:space="0" w:color="1A171C"/>
            </w:tcBorders>
            <w:vAlign w:val="center"/>
          </w:tcPr>
          <w:p w14:paraId="7FE1CFBA" w14:textId="77777777" w:rsidR="00B81226" w:rsidRDefault="00B82AC2">
            <w:pPr>
              <w:pStyle w:val="P68B1DB1-Normal31"/>
            </w:pPr>
            <w:r>
              <w:lastRenderedPageBreak/>
              <w:t>0090</w:t>
            </w:r>
          </w:p>
        </w:tc>
        <w:tc>
          <w:tcPr>
            <w:tcW w:w="7611" w:type="dxa"/>
            <w:gridSpan w:val="2"/>
            <w:tcBorders>
              <w:top w:val="single" w:sz="8" w:space="0" w:color="1A171C"/>
              <w:left w:val="single" w:sz="8" w:space="0" w:color="1A171C"/>
              <w:bottom w:val="single" w:sz="8" w:space="0" w:color="1A171C"/>
              <w:right w:val="nil"/>
            </w:tcBorders>
            <w:vAlign w:val="bottom"/>
          </w:tcPr>
          <w:p w14:paraId="7FE1CFBB" w14:textId="023CCF16" w:rsidR="00B81226" w:rsidRDefault="00B82AC2">
            <w:pPr>
              <w:pStyle w:val="P68B1DB1-TableParagraph73"/>
              <w:spacing w:before="108"/>
              <w:ind w:left="85"/>
              <w:jc w:val="both"/>
              <w:rPr>
                <w:bCs/>
              </w:rPr>
            </w:pPr>
            <w:r>
              <w:t xml:space="preserve">Valuutta </w:t>
            </w:r>
          </w:p>
          <w:p w14:paraId="7FE1CFBC" w14:textId="71E1420D" w:rsidR="00B81226" w:rsidRDefault="00B82AC2">
            <w:pPr>
              <w:pStyle w:val="P68B1DB1-TableParagraph40"/>
              <w:spacing w:before="108"/>
              <w:ind w:left="85"/>
              <w:jc w:val="both"/>
            </w:pPr>
            <w:r>
              <w:t>Velan valuutta sen kolmikirjaimisen ISO 4217 -koodin mukaisesti.</w:t>
            </w:r>
          </w:p>
        </w:tc>
      </w:tr>
      <w:tr w:rsidR="00B81226" w14:paraId="7FE1CFC8" w14:textId="77777777">
        <w:trPr>
          <w:trHeight w:val="2041"/>
        </w:trPr>
        <w:tc>
          <w:tcPr>
            <w:tcW w:w="1415" w:type="dxa"/>
            <w:tcBorders>
              <w:top w:val="single" w:sz="8" w:space="0" w:color="1A171C"/>
              <w:left w:val="nil"/>
              <w:bottom w:val="single" w:sz="8" w:space="0" w:color="1A171C"/>
              <w:right w:val="single" w:sz="8" w:space="0" w:color="1A171C"/>
            </w:tcBorders>
            <w:vAlign w:val="center"/>
          </w:tcPr>
          <w:p w14:paraId="7FE1CFC2" w14:textId="77777777" w:rsidR="00B81226" w:rsidRDefault="00B82AC2">
            <w:pPr>
              <w:pStyle w:val="P68B1DB1-Normal31"/>
            </w:pPr>
            <w:r>
              <w:t>0110</w:t>
            </w:r>
          </w:p>
          <w:p w14:paraId="7FE1CFC3" w14:textId="77777777" w:rsidR="00B81226" w:rsidRDefault="00B82AC2">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CFC4" w14:textId="77777777" w:rsidR="00B81226" w:rsidRDefault="00B82AC2">
            <w:pPr>
              <w:pStyle w:val="P68B1DB1-TableParagraph73"/>
              <w:spacing w:before="108"/>
              <w:ind w:left="85"/>
              <w:jc w:val="both"/>
              <w:rPr>
                <w:bCs/>
              </w:rPr>
            </w:pPr>
            <w:r>
              <w:t xml:space="preserve">Jäljellä oleva pääoma  </w:t>
            </w:r>
          </w:p>
          <w:p w14:paraId="7FE1CFC5" w14:textId="3E328E9E" w:rsidR="00B81226" w:rsidRDefault="00B82AC2">
            <w:pPr>
              <w:pStyle w:val="P68B1DB1-TableParagraph40"/>
              <w:spacing w:before="108"/>
              <w:ind w:left="85"/>
              <w:jc w:val="both"/>
            </w:pPr>
            <w:r>
              <w:t xml:space="preserve">Sarakkeessa 0210 määritetyn vastapuolen hallussa oleva instrumentin jäljellä oleva pääoman määrä. Jos vastapuoli ei ole käytettävissä, koska velkojia ei voida yksilöidä, jäljellä olevat pääomamäärät on ryhmiteltävä siten, että vastapuolta ei oteta huomioon. Osakkeiden osalta tähän määrään sisältyvät varaukset kohtaan Z02.00-r0511 liittyvien ohjeiden mukaisesti. </w:t>
            </w:r>
          </w:p>
          <w:p w14:paraId="7FE1CFC7" w14:textId="1EFD62D1" w:rsidR="00B81226" w:rsidRDefault="00B81226">
            <w:pPr>
              <w:pStyle w:val="TableParagraph"/>
              <w:spacing w:before="108"/>
              <w:ind w:left="85"/>
              <w:jc w:val="both"/>
              <w:rPr>
                <w:rFonts w:ascii="Times New Roman" w:eastAsia="Times New Roman" w:hAnsi="Times New Roman" w:cs="Times New Roman"/>
                <w:sz w:val="20"/>
                <w:szCs w:val="20"/>
              </w:rPr>
            </w:pPr>
          </w:p>
        </w:tc>
      </w:tr>
      <w:tr w:rsidR="00B81226" w14:paraId="7FE1CFCC" w14:textId="77777777">
        <w:tc>
          <w:tcPr>
            <w:tcW w:w="1415" w:type="dxa"/>
            <w:tcBorders>
              <w:top w:val="single" w:sz="8" w:space="0" w:color="1A171C"/>
              <w:left w:val="nil"/>
              <w:bottom w:val="single" w:sz="8" w:space="0" w:color="1A171C"/>
              <w:right w:val="single" w:sz="8" w:space="0" w:color="1A171C"/>
            </w:tcBorders>
            <w:vAlign w:val="center"/>
          </w:tcPr>
          <w:p w14:paraId="7FE1CFC9" w14:textId="77777777" w:rsidR="00B81226" w:rsidRDefault="00B82AC2">
            <w:pPr>
              <w:pStyle w:val="P68B1DB1-Normal31"/>
            </w:pPr>
            <w:r>
              <w:t>0120</w:t>
            </w:r>
          </w:p>
        </w:tc>
        <w:tc>
          <w:tcPr>
            <w:tcW w:w="7611" w:type="dxa"/>
            <w:gridSpan w:val="2"/>
            <w:tcBorders>
              <w:top w:val="single" w:sz="8" w:space="0" w:color="1A171C"/>
              <w:left w:val="single" w:sz="8" w:space="0" w:color="1A171C"/>
              <w:bottom w:val="single" w:sz="8" w:space="0" w:color="1A171C"/>
              <w:right w:val="nil"/>
            </w:tcBorders>
            <w:vAlign w:val="bottom"/>
          </w:tcPr>
          <w:p w14:paraId="7FE1CFCA" w14:textId="099C67A4" w:rsidR="00B81226" w:rsidRDefault="00B82AC2">
            <w:pPr>
              <w:pStyle w:val="P68B1DB1-TableParagraph73"/>
              <w:spacing w:before="108"/>
              <w:ind w:left="85"/>
              <w:jc w:val="both"/>
              <w:rPr>
                <w:bCs/>
              </w:rPr>
            </w:pPr>
            <w:r>
              <w:t xml:space="preserve">Kertynyt korko </w:t>
            </w:r>
          </w:p>
          <w:p w14:paraId="7FE1CFCB" w14:textId="5040BFD7" w:rsidR="00B81226" w:rsidRDefault="00B82AC2">
            <w:pPr>
              <w:pStyle w:val="P68B1DB1-TableParagraph40"/>
              <w:spacing w:before="108"/>
              <w:ind w:left="85"/>
              <w:jc w:val="both"/>
            </w:pPr>
            <w:r>
              <w:t>Instrumentille kertyneet jäljellä olevat korot.</w:t>
            </w:r>
          </w:p>
        </w:tc>
      </w:tr>
      <w:tr w:rsidR="00B81226" w14:paraId="7FE1CFD0" w14:textId="77777777">
        <w:tc>
          <w:tcPr>
            <w:tcW w:w="1415" w:type="dxa"/>
            <w:tcBorders>
              <w:top w:val="single" w:sz="8" w:space="0" w:color="1A171C"/>
              <w:left w:val="nil"/>
              <w:bottom w:val="single" w:sz="8" w:space="0" w:color="1A171C"/>
              <w:right w:val="single" w:sz="8" w:space="0" w:color="1A171C"/>
            </w:tcBorders>
            <w:vAlign w:val="center"/>
          </w:tcPr>
          <w:p w14:paraId="7FE1CFCD" w14:textId="77777777" w:rsidR="00B81226" w:rsidRDefault="00B82AC2">
            <w:pPr>
              <w:pStyle w:val="P68B1DB1-Normal31"/>
            </w:pPr>
            <w:r>
              <w:t>0130</w:t>
            </w:r>
          </w:p>
        </w:tc>
        <w:tc>
          <w:tcPr>
            <w:tcW w:w="7611" w:type="dxa"/>
            <w:gridSpan w:val="2"/>
            <w:tcBorders>
              <w:top w:val="single" w:sz="8" w:space="0" w:color="1A171C"/>
              <w:left w:val="single" w:sz="8" w:space="0" w:color="1A171C"/>
              <w:bottom w:val="single" w:sz="8" w:space="0" w:color="1A171C"/>
              <w:right w:val="nil"/>
            </w:tcBorders>
            <w:vAlign w:val="bottom"/>
          </w:tcPr>
          <w:p w14:paraId="7FE1CFCE" w14:textId="7D22CBBF" w:rsidR="00B81226" w:rsidRDefault="00B82AC2">
            <w:pPr>
              <w:pStyle w:val="P68B1DB1-TableParagraph73"/>
              <w:spacing w:before="108"/>
              <w:ind w:left="85"/>
              <w:jc w:val="both"/>
              <w:rPr>
                <w:bCs/>
              </w:rPr>
            </w:pPr>
            <w:r>
              <w:t xml:space="preserve">Coupon type (Korkotyyppi) </w:t>
            </w:r>
          </w:p>
          <w:p w14:paraId="7FE1CFCF" w14:textId="77777777" w:rsidR="00B81226" w:rsidRDefault="00B82AC2">
            <w:pPr>
              <w:pStyle w:val="P68B1DB1-TableParagraph40"/>
              <w:spacing w:before="108"/>
              <w:ind w:left="85"/>
              <w:jc w:val="both"/>
            </w:pPr>
            <w:r>
              <w:t>Nykyisen korkomaksun tyypin yksilöinti valitsemalla valmiista luettelosta jokin seuraavista:”kiinteä korko”, ”vaihtuva korko”, ”strukturoitu korko” tai ”nollakorko”.</w:t>
            </w:r>
          </w:p>
        </w:tc>
      </w:tr>
      <w:tr w:rsidR="00B81226" w14:paraId="7FE1CFD4" w14:textId="77777777">
        <w:tc>
          <w:tcPr>
            <w:tcW w:w="1415" w:type="dxa"/>
            <w:tcBorders>
              <w:top w:val="single" w:sz="8" w:space="0" w:color="1A171C"/>
              <w:left w:val="nil"/>
              <w:bottom w:val="single" w:sz="8" w:space="0" w:color="1A171C"/>
              <w:right w:val="single" w:sz="8" w:space="0" w:color="1A171C"/>
            </w:tcBorders>
            <w:vAlign w:val="center"/>
          </w:tcPr>
          <w:p w14:paraId="7FE1CFD1" w14:textId="77777777" w:rsidR="00B81226" w:rsidRDefault="00B82AC2">
            <w:pPr>
              <w:pStyle w:val="P68B1DB1-Normal31"/>
            </w:pPr>
            <w:r>
              <w:t>0140</w:t>
            </w:r>
          </w:p>
        </w:tc>
        <w:tc>
          <w:tcPr>
            <w:tcW w:w="7611" w:type="dxa"/>
            <w:gridSpan w:val="2"/>
            <w:tcBorders>
              <w:top w:val="single" w:sz="8" w:space="0" w:color="1A171C"/>
              <w:left w:val="single" w:sz="8" w:space="0" w:color="1A171C"/>
              <w:bottom w:val="single" w:sz="8" w:space="0" w:color="1A171C"/>
              <w:right w:val="nil"/>
            </w:tcBorders>
            <w:vAlign w:val="bottom"/>
          </w:tcPr>
          <w:p w14:paraId="7FE1CFD2" w14:textId="49072AC0" w:rsidR="00B81226" w:rsidRDefault="00B82AC2">
            <w:pPr>
              <w:pStyle w:val="P68B1DB1-TableParagraph73"/>
              <w:spacing w:before="108"/>
              <w:ind w:left="85"/>
              <w:jc w:val="both"/>
              <w:rPr>
                <w:bCs/>
              </w:rPr>
            </w:pPr>
            <w:r>
              <w:t>Voimassa oleva kuponki %</w:t>
            </w:r>
          </w:p>
          <w:p w14:paraId="7FE1CFD3" w14:textId="32FFE809" w:rsidR="00B81226" w:rsidRDefault="00B82AC2">
            <w:pPr>
              <w:pStyle w:val="P68B1DB1-TableParagraph40"/>
              <w:spacing w:before="108"/>
              <w:ind w:left="85"/>
              <w:jc w:val="both"/>
            </w:pPr>
            <w:r>
              <w:t xml:space="preserve">Instrumenttiin raportointipäivänä sovellettavan kuponkikoron taso. </w:t>
            </w:r>
          </w:p>
        </w:tc>
      </w:tr>
      <w:tr w:rsidR="00B81226" w14:paraId="7FE1CFD8" w14:textId="77777777">
        <w:tc>
          <w:tcPr>
            <w:tcW w:w="1415" w:type="dxa"/>
            <w:tcBorders>
              <w:top w:val="single" w:sz="8" w:space="0" w:color="1A171C"/>
              <w:left w:val="nil"/>
              <w:bottom w:val="single" w:sz="8" w:space="0" w:color="1A171C"/>
              <w:right w:val="single" w:sz="8" w:space="0" w:color="1A171C"/>
            </w:tcBorders>
            <w:vAlign w:val="center"/>
          </w:tcPr>
          <w:p w14:paraId="7FE1CFD5" w14:textId="77777777" w:rsidR="00B81226" w:rsidRDefault="00B82AC2">
            <w:pPr>
              <w:pStyle w:val="P68B1DB1-Normal31"/>
            </w:pPr>
            <w:r>
              <w:t>0150</w:t>
            </w:r>
          </w:p>
        </w:tc>
        <w:tc>
          <w:tcPr>
            <w:tcW w:w="7611" w:type="dxa"/>
            <w:gridSpan w:val="2"/>
            <w:tcBorders>
              <w:top w:val="single" w:sz="8" w:space="0" w:color="1A171C"/>
              <w:left w:val="single" w:sz="8" w:space="0" w:color="1A171C"/>
              <w:bottom w:val="single" w:sz="8" w:space="0" w:color="1A171C"/>
              <w:right w:val="nil"/>
            </w:tcBorders>
            <w:vAlign w:val="bottom"/>
          </w:tcPr>
          <w:p w14:paraId="7FE1CFD6" w14:textId="5C828CFC" w:rsidR="00B81226" w:rsidRDefault="00B82AC2">
            <w:pPr>
              <w:pStyle w:val="P68B1DB1-TableParagraph73"/>
              <w:spacing w:before="108"/>
              <w:ind w:left="85"/>
              <w:jc w:val="both"/>
              <w:rPr>
                <w:bCs/>
              </w:rPr>
            </w:pPr>
            <w:r>
              <w:t xml:space="preserve">Myöntämispäivä </w:t>
            </w:r>
          </w:p>
          <w:p w14:paraId="7FE1CFD7" w14:textId="77777777" w:rsidR="00B81226" w:rsidRDefault="00B82AC2">
            <w:pPr>
              <w:pStyle w:val="P68B1DB1-TableParagraph40"/>
              <w:spacing w:before="108"/>
              <w:ind w:left="85"/>
              <w:jc w:val="both"/>
            </w:pPr>
            <w:r>
              <w:t>Instrumentin alkuperäinen liikkeeseenlaskupäivä.</w:t>
            </w:r>
          </w:p>
        </w:tc>
      </w:tr>
      <w:tr w:rsidR="00B81226" w14:paraId="7FE1CFDC" w14:textId="77777777">
        <w:tc>
          <w:tcPr>
            <w:tcW w:w="1415" w:type="dxa"/>
            <w:tcBorders>
              <w:top w:val="single" w:sz="8" w:space="0" w:color="1A171C"/>
              <w:left w:val="nil"/>
              <w:bottom w:val="single" w:sz="8" w:space="0" w:color="1A171C"/>
              <w:right w:val="single" w:sz="8" w:space="0" w:color="1A171C"/>
            </w:tcBorders>
            <w:vAlign w:val="center"/>
          </w:tcPr>
          <w:p w14:paraId="7FE1CFD9" w14:textId="77777777" w:rsidR="00B81226" w:rsidRDefault="00B82AC2">
            <w:pPr>
              <w:pStyle w:val="P68B1DB1-Normal31"/>
            </w:pPr>
            <w:r>
              <w:t>0160</w:t>
            </w:r>
          </w:p>
        </w:tc>
        <w:tc>
          <w:tcPr>
            <w:tcW w:w="7611" w:type="dxa"/>
            <w:gridSpan w:val="2"/>
            <w:tcBorders>
              <w:top w:val="single" w:sz="8" w:space="0" w:color="1A171C"/>
              <w:left w:val="single" w:sz="8" w:space="0" w:color="1A171C"/>
              <w:bottom w:val="single" w:sz="8" w:space="0" w:color="1A171C"/>
              <w:right w:val="nil"/>
            </w:tcBorders>
            <w:vAlign w:val="bottom"/>
          </w:tcPr>
          <w:p w14:paraId="7FE1CFDA" w14:textId="6E864D46" w:rsidR="00B81226" w:rsidRDefault="00B82AC2">
            <w:pPr>
              <w:pStyle w:val="P68B1DB1-TableParagraph73"/>
              <w:spacing w:before="108"/>
              <w:ind w:left="85"/>
              <w:jc w:val="both"/>
              <w:rPr>
                <w:bCs/>
              </w:rPr>
            </w:pPr>
            <w:r>
              <w:t xml:space="preserve">Aikaisin erääntymispäivä  </w:t>
            </w:r>
          </w:p>
          <w:p w14:paraId="7FE1CFDB" w14:textId="2A33C765" w:rsidR="00B81226" w:rsidRDefault="00B82AC2">
            <w:pPr>
              <w:pStyle w:val="P68B1DB1-TableParagraph40"/>
              <w:spacing w:before="108"/>
              <w:ind w:left="85"/>
              <w:jc w:val="both"/>
            </w:pPr>
            <w:r>
              <w:t>Jos instrumentin haltijoilla on mahdollisuus pyytää aikaista takaisinmaksua tai jos sopimuksessa on määritetty aikaisen takaisinmaksun ehdot, ilmoita aikaisin tapahtumapäivä. Jos tällaiset lopettamistapahtumat eivät liity päivämäärään vaan siihen, tapahtuuko jokin tapahtuma tulevaisuudessa, ilmoitetaan aikaisin ajankohta, jona tapahtuma voi tapahtua. Jos aikainen takaisinmaksu liittyy vain osaan velasta (esimerkiksi vain 50 prosenttia nimellissummasta maksetaan aikaisemmin takaisin), jaa velka siten, että t</w:t>
            </w:r>
            <w:r>
              <w:t>ämä osittaista aikaista erääntymistä koskeva lauseke voidaan ottaa huomioon.</w:t>
            </w:r>
          </w:p>
        </w:tc>
      </w:tr>
      <w:tr w:rsidR="00B81226" w14:paraId="7FE1CFE0" w14:textId="77777777">
        <w:tc>
          <w:tcPr>
            <w:tcW w:w="1415" w:type="dxa"/>
            <w:tcBorders>
              <w:top w:val="single" w:sz="8" w:space="0" w:color="1A171C"/>
              <w:left w:val="nil"/>
              <w:bottom w:val="single" w:sz="8" w:space="0" w:color="1A171C"/>
              <w:right w:val="single" w:sz="8" w:space="0" w:color="1A171C"/>
            </w:tcBorders>
            <w:vAlign w:val="center"/>
          </w:tcPr>
          <w:p w14:paraId="7FE1CFDD" w14:textId="77777777" w:rsidR="00B81226" w:rsidRDefault="00B82AC2">
            <w:pPr>
              <w:pStyle w:val="P68B1DB1-Normal31"/>
            </w:pPr>
            <w:r>
              <w:t>0170</w:t>
            </w:r>
          </w:p>
        </w:tc>
        <w:tc>
          <w:tcPr>
            <w:tcW w:w="7611" w:type="dxa"/>
            <w:gridSpan w:val="2"/>
            <w:tcBorders>
              <w:top w:val="single" w:sz="8" w:space="0" w:color="1A171C"/>
              <w:left w:val="single" w:sz="8" w:space="0" w:color="1A171C"/>
              <w:bottom w:val="single" w:sz="8" w:space="0" w:color="1A171C"/>
              <w:right w:val="nil"/>
            </w:tcBorders>
            <w:vAlign w:val="bottom"/>
          </w:tcPr>
          <w:p w14:paraId="7FE1CFDE" w14:textId="7C85BAAB" w:rsidR="00B81226" w:rsidRDefault="00B82AC2">
            <w:pPr>
              <w:pStyle w:val="P68B1DB1-TableParagraph73"/>
              <w:spacing w:before="108"/>
              <w:ind w:left="85"/>
              <w:jc w:val="both"/>
              <w:rPr>
                <w:bCs/>
              </w:rPr>
            </w:pPr>
            <w:r>
              <w:t xml:space="preserve">Laillinen erääntyminen </w:t>
            </w:r>
          </w:p>
          <w:p w14:paraId="7FE1CFDF" w14:textId="3157371F" w:rsidR="00B81226" w:rsidRDefault="00B82AC2">
            <w:pPr>
              <w:pStyle w:val="P68B1DB1-TableParagraph40"/>
              <w:spacing w:before="108"/>
              <w:ind w:left="85"/>
              <w:jc w:val="both"/>
            </w:pPr>
            <w:r>
              <w:t>Instrumentin laillinen lopullinen erääntymispäivä. Perpetual-instrumenttien osalta merkitään ”2099–01–31”.</w:t>
            </w:r>
          </w:p>
        </w:tc>
      </w:tr>
      <w:tr w:rsidR="00B81226" w14:paraId="7FE1CFE4" w14:textId="77777777">
        <w:tc>
          <w:tcPr>
            <w:tcW w:w="1415" w:type="dxa"/>
            <w:tcBorders>
              <w:top w:val="single" w:sz="8" w:space="0" w:color="1A171C"/>
              <w:left w:val="nil"/>
              <w:bottom w:val="single" w:sz="8" w:space="0" w:color="1A171C"/>
              <w:right w:val="single" w:sz="8" w:space="0" w:color="1A171C"/>
            </w:tcBorders>
            <w:vAlign w:val="center"/>
          </w:tcPr>
          <w:p w14:paraId="7FE1CFE1" w14:textId="77777777" w:rsidR="00B81226" w:rsidRDefault="00B82AC2">
            <w:pPr>
              <w:pStyle w:val="P68B1DB1-Normal31"/>
            </w:pPr>
            <w:r>
              <w:t>0180</w:t>
            </w:r>
          </w:p>
        </w:tc>
        <w:tc>
          <w:tcPr>
            <w:tcW w:w="7611" w:type="dxa"/>
            <w:gridSpan w:val="2"/>
            <w:tcBorders>
              <w:top w:val="single" w:sz="8" w:space="0" w:color="1A171C"/>
              <w:left w:val="single" w:sz="8" w:space="0" w:color="1A171C"/>
              <w:bottom w:val="single" w:sz="8" w:space="0" w:color="1A171C"/>
              <w:right w:val="nil"/>
            </w:tcBorders>
            <w:vAlign w:val="bottom"/>
          </w:tcPr>
          <w:p w14:paraId="7FE1CFE2" w14:textId="2FFCAFEB" w:rsidR="00B81226" w:rsidRDefault="00B82AC2">
            <w:pPr>
              <w:pStyle w:val="P68B1DB1-TableParagraph73"/>
              <w:spacing w:before="108"/>
              <w:ind w:left="85"/>
              <w:jc w:val="both"/>
              <w:rPr>
                <w:bCs/>
              </w:rPr>
            </w:pPr>
            <w:r>
              <w:t xml:space="preserve">Julkinen/yksityinen sijoitus </w:t>
            </w:r>
          </w:p>
          <w:p w14:paraId="7FE1CFE3" w14:textId="77777777" w:rsidR="00B81226" w:rsidRDefault="00B82AC2">
            <w:pPr>
              <w:pStyle w:val="P68B1DB1-TableParagraph40"/>
              <w:spacing w:before="108"/>
              <w:ind w:left="85"/>
              <w:jc w:val="both"/>
            </w:pPr>
            <w:r>
              <w:t>Yleisöannissa yhteisö on julkistanut osakeannin, jonka tarjousmenettelylle on määritetty tietty aika. Sitä vastoin suunnatuista anneista neuvotellaan yksittäisten osapuolten kesken joko omaan lukuunsa kolmansien lukuun. Tässä kohdassa valmiista luettelosta voi valita arvoksi ”Public Placement” tai ”Private Placement”.</w:t>
            </w:r>
          </w:p>
        </w:tc>
      </w:tr>
      <w:tr w:rsidR="00B81226" w14:paraId="7FE1CFE8" w14:textId="77777777">
        <w:tc>
          <w:tcPr>
            <w:tcW w:w="1415" w:type="dxa"/>
            <w:tcBorders>
              <w:top w:val="single" w:sz="8" w:space="0" w:color="1A171C"/>
              <w:left w:val="nil"/>
              <w:bottom w:val="single" w:sz="8" w:space="0" w:color="1A171C"/>
              <w:right w:val="single" w:sz="8" w:space="0" w:color="1A171C"/>
            </w:tcBorders>
            <w:vAlign w:val="center"/>
          </w:tcPr>
          <w:p w14:paraId="7FE1CFE5" w14:textId="77777777" w:rsidR="00B81226" w:rsidRDefault="00B82AC2">
            <w:pPr>
              <w:pStyle w:val="P68B1DB1-Normal31"/>
            </w:pPr>
            <w:r>
              <w:t>0190</w:t>
            </w:r>
          </w:p>
        </w:tc>
        <w:tc>
          <w:tcPr>
            <w:tcW w:w="7611" w:type="dxa"/>
            <w:gridSpan w:val="2"/>
            <w:tcBorders>
              <w:top w:val="single" w:sz="8" w:space="0" w:color="1A171C"/>
              <w:left w:val="single" w:sz="8" w:space="0" w:color="1A171C"/>
              <w:bottom w:val="single" w:sz="8" w:space="0" w:color="1A171C"/>
              <w:right w:val="nil"/>
            </w:tcBorders>
            <w:vAlign w:val="bottom"/>
          </w:tcPr>
          <w:p w14:paraId="7FE1CFE6" w14:textId="652BB104" w:rsidR="00B81226" w:rsidRDefault="00B82AC2">
            <w:pPr>
              <w:pStyle w:val="P68B1DB1-TableParagraph73"/>
              <w:spacing w:before="108"/>
              <w:ind w:left="85"/>
              <w:jc w:val="both"/>
              <w:rPr>
                <w:bCs/>
              </w:rPr>
            </w:pPr>
            <w:r>
              <w:t xml:space="preserve">Maksun välittäjä </w:t>
            </w:r>
          </w:p>
          <w:p w14:paraId="7FE1CFE7" w14:textId="77777777" w:rsidR="00B81226" w:rsidRDefault="00B82AC2">
            <w:pPr>
              <w:pStyle w:val="P68B1DB1-TableParagraph40"/>
              <w:spacing w:before="108"/>
              <w:ind w:left="85"/>
              <w:jc w:val="both"/>
            </w:pPr>
            <w:r>
              <w:t>Yksilöidään instrumentin maksuasiamies käyttämällä sen LEI-tunnusta. ”Maksuasiamies” on laitos, yleensä investointipankki, joka ottaa vastaan varoja arvopaperin liikkeeseenlaskijalta ja jakaa ne arvopaperin haltijoille. Osakkeiden osalta maksun välittäjä jakaa osinkoja osakkeenomistajille. Jos kyse on joukkovelkakirjalainoista, se jakaa korkomaksuja ja takaisinmaksettua pääomaa joukkovelkakirjan haltijoille.</w:t>
            </w:r>
          </w:p>
        </w:tc>
      </w:tr>
      <w:tr w:rsidR="00B81226" w14:paraId="7FE1CFF0" w14:textId="77777777">
        <w:tc>
          <w:tcPr>
            <w:tcW w:w="1415" w:type="dxa"/>
            <w:tcBorders>
              <w:top w:val="single" w:sz="8" w:space="0" w:color="1A171C"/>
              <w:left w:val="nil"/>
              <w:bottom w:val="single" w:sz="8" w:space="0" w:color="1A171C"/>
              <w:right w:val="single" w:sz="8" w:space="0" w:color="1A171C"/>
            </w:tcBorders>
            <w:vAlign w:val="center"/>
          </w:tcPr>
          <w:p w14:paraId="7FE1CFED" w14:textId="77777777" w:rsidR="00B81226" w:rsidRDefault="00B82AC2">
            <w:pPr>
              <w:pStyle w:val="P68B1DB1-TableParagraph40"/>
              <w:spacing w:before="108"/>
              <w:ind w:left="85"/>
              <w:jc w:val="both"/>
            </w:pPr>
            <w:r>
              <w:t>0210</w:t>
            </w:r>
          </w:p>
        </w:tc>
        <w:tc>
          <w:tcPr>
            <w:tcW w:w="7611" w:type="dxa"/>
            <w:gridSpan w:val="2"/>
            <w:tcBorders>
              <w:top w:val="single" w:sz="8" w:space="0" w:color="1A171C"/>
              <w:left w:val="single" w:sz="8" w:space="0" w:color="1A171C"/>
              <w:bottom w:val="single" w:sz="8" w:space="0" w:color="1A171C"/>
              <w:right w:val="nil"/>
            </w:tcBorders>
            <w:vAlign w:val="bottom"/>
          </w:tcPr>
          <w:p w14:paraId="7FE1CFEE" w14:textId="07CBB79D" w:rsidR="00B81226" w:rsidRDefault="00B82AC2">
            <w:pPr>
              <w:pStyle w:val="P68B1DB1-TableParagraph73"/>
              <w:spacing w:before="108"/>
              <w:ind w:left="85"/>
              <w:jc w:val="both"/>
              <w:rPr>
                <w:bCs/>
              </w:rPr>
            </w:pPr>
            <w:r>
              <w:t xml:space="preserve">Vastapuolen tunniste </w:t>
            </w:r>
          </w:p>
          <w:p w14:paraId="7FE1CFEF" w14:textId="599C6555" w:rsidR="00B81226" w:rsidRDefault="00B82AC2">
            <w:pPr>
              <w:pStyle w:val="P68B1DB1-TableParagraph40"/>
              <w:spacing w:before="108"/>
              <w:ind w:left="85"/>
              <w:jc w:val="both"/>
            </w:pPr>
            <w:r>
              <w:lastRenderedPageBreak/>
              <w:t>Ilmoitetaan velkojan LEI-tunnus. Jos oikeushenkilötunnusta ei ole, pankkien osalta ilmoitetaan RIAD-tietokannassa käytetty EKP:n rahalaitosten tunniste (MFI ID). Jos näistä tunnisteista kumpaakaan ei ole, raportoi sisäinen tunniste.</w:t>
            </w:r>
          </w:p>
        </w:tc>
      </w:tr>
      <w:tr w:rsidR="00B81226" w14:paraId="7FE1CFF4" w14:textId="77777777">
        <w:tc>
          <w:tcPr>
            <w:tcW w:w="1415" w:type="dxa"/>
            <w:tcBorders>
              <w:top w:val="single" w:sz="8" w:space="0" w:color="1A171C"/>
              <w:left w:val="nil"/>
              <w:bottom w:val="single" w:sz="8" w:space="0" w:color="1A171C"/>
              <w:right w:val="single" w:sz="8" w:space="0" w:color="1A171C"/>
            </w:tcBorders>
            <w:vAlign w:val="center"/>
          </w:tcPr>
          <w:p w14:paraId="7FE1CFF1" w14:textId="77777777" w:rsidR="00B81226" w:rsidRDefault="00B82AC2">
            <w:pPr>
              <w:pStyle w:val="P68B1DB1-Normal31"/>
            </w:pPr>
            <w:r>
              <w:lastRenderedPageBreak/>
              <w:t>0215</w:t>
            </w:r>
          </w:p>
        </w:tc>
        <w:tc>
          <w:tcPr>
            <w:tcW w:w="7611" w:type="dxa"/>
            <w:gridSpan w:val="2"/>
            <w:tcBorders>
              <w:top w:val="single" w:sz="8" w:space="0" w:color="1A171C"/>
              <w:left w:val="single" w:sz="8" w:space="0" w:color="1A171C"/>
              <w:bottom w:val="single" w:sz="8" w:space="0" w:color="1A171C"/>
              <w:right w:val="nil"/>
            </w:tcBorders>
            <w:vAlign w:val="bottom"/>
          </w:tcPr>
          <w:p w14:paraId="7FE1CFF2" w14:textId="77777777" w:rsidR="00B81226" w:rsidRDefault="00B82AC2">
            <w:pPr>
              <w:pStyle w:val="P68B1DB1-TableParagraph73"/>
              <w:spacing w:before="108"/>
              <w:ind w:left="85"/>
              <w:jc w:val="both"/>
              <w:rPr>
                <w:bCs/>
              </w:rPr>
            </w:pPr>
            <w:r>
              <w:t xml:space="preserve">Tunnustyyppi </w:t>
            </w:r>
          </w:p>
          <w:p w14:paraId="7FE1CFF3" w14:textId="77777777" w:rsidR="00B81226" w:rsidRDefault="00B82AC2">
            <w:pPr>
              <w:pStyle w:val="P68B1DB1-TableParagraph40"/>
              <w:spacing w:before="108"/>
              <w:ind w:left="85"/>
              <w:jc w:val="both"/>
            </w:pPr>
            <w:r>
              <w:t>Tässä on valittava seuraavista vaihtoehdoista: LEI-tunnus, MFI-tunnus tai muu tunnisteen tyyppi kuin LEI- tai MFI-tunnus</w:t>
            </w:r>
          </w:p>
        </w:tc>
      </w:tr>
      <w:tr w:rsidR="00B81226" w14:paraId="7FE1CFF8" w14:textId="77777777">
        <w:tc>
          <w:tcPr>
            <w:tcW w:w="1415" w:type="dxa"/>
            <w:tcBorders>
              <w:top w:val="single" w:sz="8" w:space="0" w:color="1A171C"/>
              <w:left w:val="nil"/>
              <w:bottom w:val="single" w:sz="8" w:space="0" w:color="1A171C"/>
              <w:right w:val="single" w:sz="8" w:space="0" w:color="1A171C"/>
            </w:tcBorders>
            <w:vAlign w:val="center"/>
          </w:tcPr>
          <w:p w14:paraId="7FE1CFF5" w14:textId="77777777" w:rsidR="00B81226" w:rsidRDefault="00B82AC2">
            <w:pPr>
              <w:pStyle w:val="P68B1DB1-Normal31"/>
            </w:pPr>
            <w:r>
              <w:t>0220</w:t>
            </w:r>
          </w:p>
        </w:tc>
        <w:tc>
          <w:tcPr>
            <w:tcW w:w="7611" w:type="dxa"/>
            <w:gridSpan w:val="2"/>
            <w:tcBorders>
              <w:top w:val="single" w:sz="8" w:space="0" w:color="1A171C"/>
              <w:left w:val="single" w:sz="8" w:space="0" w:color="1A171C"/>
              <w:bottom w:val="single" w:sz="8" w:space="0" w:color="1A171C"/>
              <w:right w:val="nil"/>
            </w:tcBorders>
            <w:vAlign w:val="bottom"/>
          </w:tcPr>
          <w:p w14:paraId="7FE1CFF6" w14:textId="5FE84F49" w:rsidR="00B81226" w:rsidRDefault="00B82AC2">
            <w:pPr>
              <w:pStyle w:val="P68B1DB1-TableParagraph73"/>
              <w:spacing w:before="108"/>
              <w:ind w:left="85"/>
              <w:jc w:val="both"/>
              <w:rPr>
                <w:bCs/>
              </w:rPr>
            </w:pPr>
            <w:r>
              <w:t xml:space="preserve">Pörssiarvopaperit on listattu </w:t>
            </w:r>
          </w:p>
          <w:p w14:paraId="7FE1CFF7" w14:textId="3C377B4D" w:rsidR="00B81226" w:rsidRDefault="00B82AC2">
            <w:pPr>
              <w:pStyle w:val="P68B1DB1-TableParagraph40"/>
              <w:spacing w:before="108"/>
              <w:ind w:left="85"/>
              <w:jc w:val="both"/>
            </w:pPr>
            <w:r>
              <w:t>Jos instrumentit on listattu vaihtopalvelussa, anna se/ne. Jos vaihtopalveluita on useita, ne erotetaan toisistaan puolipisteellä.</w:t>
            </w:r>
          </w:p>
        </w:tc>
      </w:tr>
      <w:tr w:rsidR="00B81226" w14:paraId="7FE1CFFC" w14:textId="77777777">
        <w:tc>
          <w:tcPr>
            <w:tcW w:w="1415" w:type="dxa"/>
            <w:tcBorders>
              <w:top w:val="single" w:sz="8" w:space="0" w:color="1A171C"/>
              <w:left w:val="nil"/>
              <w:bottom w:val="single" w:sz="8" w:space="0" w:color="1A171C"/>
              <w:right w:val="single" w:sz="8" w:space="0" w:color="1A171C"/>
            </w:tcBorders>
            <w:vAlign w:val="center"/>
          </w:tcPr>
          <w:p w14:paraId="7FE1CFF9" w14:textId="77777777" w:rsidR="00B81226" w:rsidRDefault="00B82AC2">
            <w:pPr>
              <w:pStyle w:val="P68B1DB1-Normal31"/>
            </w:pPr>
            <w:r>
              <w:t>0230</w:t>
            </w:r>
          </w:p>
        </w:tc>
        <w:tc>
          <w:tcPr>
            <w:tcW w:w="7611" w:type="dxa"/>
            <w:gridSpan w:val="2"/>
            <w:tcBorders>
              <w:top w:val="single" w:sz="8" w:space="0" w:color="1A171C"/>
              <w:left w:val="single" w:sz="8" w:space="0" w:color="1A171C"/>
              <w:bottom w:val="single" w:sz="8" w:space="0" w:color="1A171C"/>
              <w:right w:val="nil"/>
            </w:tcBorders>
            <w:vAlign w:val="bottom"/>
          </w:tcPr>
          <w:p w14:paraId="7FE1CFFA" w14:textId="124C9BEE" w:rsidR="00B81226" w:rsidRDefault="00B82AC2">
            <w:pPr>
              <w:pStyle w:val="P68B1DB1-TableParagraph73"/>
              <w:spacing w:before="108"/>
              <w:ind w:left="85"/>
              <w:jc w:val="both"/>
              <w:rPr>
                <w:bCs/>
              </w:rPr>
            </w:pPr>
            <w:r>
              <w:t xml:space="preserve">Selvitysjärjestelmät;  </w:t>
            </w:r>
          </w:p>
          <w:p w14:paraId="7FE1CFFB" w14:textId="2006B3AF" w:rsidR="00B81226" w:rsidRDefault="00B82AC2">
            <w:pPr>
              <w:pStyle w:val="P68B1DB1-TableParagraph40"/>
              <w:spacing w:before="108"/>
              <w:ind w:left="85"/>
              <w:jc w:val="both"/>
            </w:pPr>
            <w:r>
              <w:t>Ilmoitetaan ne arvopapereiden selvityspalvelut, joissa näitä arvopapereita koskevia selvityksiä voidaan tehdä. Jos selvityspalveluja on useita, erottele ne toisistaan puolipisteellä.</w:t>
            </w:r>
          </w:p>
        </w:tc>
      </w:tr>
      <w:tr w:rsidR="00B81226" w14:paraId="7FE1D000" w14:textId="77777777">
        <w:tc>
          <w:tcPr>
            <w:tcW w:w="1415" w:type="dxa"/>
            <w:tcBorders>
              <w:top w:val="single" w:sz="8" w:space="0" w:color="1A171C"/>
              <w:left w:val="nil"/>
              <w:bottom w:val="single" w:sz="8" w:space="0" w:color="1A171C"/>
              <w:right w:val="single" w:sz="8" w:space="0" w:color="1A171C"/>
            </w:tcBorders>
            <w:vAlign w:val="center"/>
          </w:tcPr>
          <w:p w14:paraId="7FE1CFFD" w14:textId="77777777" w:rsidR="00B81226" w:rsidRDefault="00B82AC2">
            <w:pPr>
              <w:pStyle w:val="P68B1DB1-Normal31"/>
            </w:pPr>
            <w:r>
              <w:t>0240</w:t>
            </w:r>
          </w:p>
        </w:tc>
        <w:tc>
          <w:tcPr>
            <w:tcW w:w="7611" w:type="dxa"/>
            <w:gridSpan w:val="2"/>
            <w:tcBorders>
              <w:top w:val="single" w:sz="8" w:space="0" w:color="1A171C"/>
              <w:left w:val="single" w:sz="8" w:space="0" w:color="1A171C"/>
              <w:bottom w:val="single" w:sz="8" w:space="0" w:color="1A171C"/>
              <w:right w:val="nil"/>
            </w:tcBorders>
            <w:vAlign w:val="bottom"/>
          </w:tcPr>
          <w:p w14:paraId="7FE1CFFE" w14:textId="6490BF78" w:rsidR="00B81226" w:rsidRDefault="00B82AC2">
            <w:pPr>
              <w:pStyle w:val="P68B1DB1-TableParagraph73"/>
              <w:spacing w:before="108"/>
              <w:ind w:left="85"/>
              <w:jc w:val="both"/>
              <w:rPr>
                <w:bCs/>
              </w:rPr>
            </w:pPr>
            <w:r>
              <w:t xml:space="preserve">Kirjaaja </w:t>
            </w:r>
          </w:p>
          <w:p w14:paraId="7FE1CFFF" w14:textId="77777777" w:rsidR="00B81226" w:rsidRDefault="00B82AC2">
            <w:pPr>
              <w:pStyle w:val="P68B1DB1-TableParagraph40"/>
              <w:spacing w:before="108"/>
              <w:ind w:left="85"/>
              <w:jc w:val="both"/>
            </w:pPr>
            <w:r>
              <w:t xml:space="preserve">Ilmoitetaan rekisterinpitäjä (joka vastaa arvopapereiden omistajien rekisteristä). Rekisterinpitäjä on tavallisesti itse liikkeeseenlaskija, arvopaperikeskus tai muu yhteisö. </w:t>
            </w:r>
          </w:p>
        </w:tc>
      </w:tr>
      <w:tr w:rsidR="00B81226" w14:paraId="7FE1D004" w14:textId="77777777">
        <w:tc>
          <w:tcPr>
            <w:tcW w:w="1415" w:type="dxa"/>
            <w:tcBorders>
              <w:top w:val="single" w:sz="8" w:space="0" w:color="1A171C"/>
              <w:left w:val="nil"/>
              <w:right w:val="single" w:sz="8" w:space="0" w:color="1A171C"/>
            </w:tcBorders>
            <w:vAlign w:val="center"/>
          </w:tcPr>
          <w:p w14:paraId="7FE1D001" w14:textId="77777777" w:rsidR="00B81226" w:rsidRDefault="00B82AC2">
            <w:pPr>
              <w:pStyle w:val="P68B1DB1-Normal31"/>
            </w:pPr>
            <w:r>
              <w:t>c250</w:t>
            </w:r>
          </w:p>
        </w:tc>
        <w:tc>
          <w:tcPr>
            <w:tcW w:w="7611" w:type="dxa"/>
            <w:gridSpan w:val="2"/>
            <w:tcBorders>
              <w:top w:val="single" w:sz="8" w:space="0" w:color="1A171C"/>
              <w:left w:val="single" w:sz="8" w:space="0" w:color="1A171C"/>
              <w:right w:val="nil"/>
            </w:tcBorders>
            <w:vAlign w:val="bottom"/>
          </w:tcPr>
          <w:p w14:paraId="7FE1D002" w14:textId="200E4E8A" w:rsidR="00B81226" w:rsidRDefault="00B82AC2">
            <w:pPr>
              <w:pStyle w:val="P68B1DB1-TableParagraph73"/>
              <w:spacing w:before="108"/>
              <w:ind w:left="85"/>
              <w:jc w:val="both"/>
              <w:rPr>
                <w:bCs/>
              </w:rPr>
            </w:pPr>
            <w:r>
              <w:t xml:space="preserve">Arvopaperikeskus </w:t>
            </w:r>
          </w:p>
          <w:p w14:paraId="7FE1D003" w14:textId="77777777" w:rsidR="00B81226" w:rsidRDefault="00B82AC2">
            <w:pPr>
              <w:pStyle w:val="P68B1DB1-TableParagraph40"/>
              <w:spacing w:before="108"/>
              <w:ind w:left="85"/>
              <w:jc w:val="both"/>
            </w:pPr>
            <w:r>
              <w:t>Ilmoitetaan arvopaperin liikkeeseen laskeva arvopaperikeskus.</w:t>
            </w:r>
          </w:p>
        </w:tc>
      </w:tr>
      <w:tr w:rsidR="00B81226" w14:paraId="7FE1D02F" w14:textId="77777777">
        <w:tc>
          <w:tcPr>
            <w:tcW w:w="1415" w:type="dxa"/>
            <w:tcBorders>
              <w:left w:val="nil"/>
              <w:bottom w:val="single" w:sz="8" w:space="0" w:color="1A171C"/>
              <w:right w:val="single" w:sz="8" w:space="0" w:color="1A171C"/>
            </w:tcBorders>
            <w:vAlign w:val="center"/>
          </w:tcPr>
          <w:p w14:paraId="7FE1D005" w14:textId="77777777" w:rsidR="00B81226" w:rsidRDefault="00B82AC2">
            <w:pPr>
              <w:pStyle w:val="P68B1DB1-Normal31"/>
            </w:pPr>
            <w:r>
              <w:t xml:space="preserve"> </w:t>
            </w:r>
          </w:p>
        </w:tc>
        <w:tc>
          <w:tcPr>
            <w:tcW w:w="7611" w:type="dxa"/>
            <w:gridSpan w:val="2"/>
            <w:tcBorders>
              <w:left w:val="single" w:sz="8" w:space="0" w:color="1A171C"/>
              <w:bottom w:val="single" w:sz="8" w:space="0" w:color="1A171C"/>
              <w:right w:val="nil"/>
            </w:tcBorders>
            <w:vAlign w:val="bottom"/>
          </w:tcPr>
          <w:p w14:paraId="7FE1D006" w14:textId="599DD4C5" w:rsidR="00B81226" w:rsidRDefault="00B82AC2">
            <w:pPr>
              <w:pStyle w:val="P68B1DB1-TableParagraph40"/>
              <w:spacing w:before="108"/>
              <w:ind w:left="85"/>
              <w:jc w:val="both"/>
            </w:pPr>
            <w:r>
              <w:t>Liikkeeseenlaskevaa arvopaperikeskusta ilmoittaessaan on käytettävä alla olevassa taulukossa ilmoitettua lyhennettä, paitsi jos asianomainen arvopaperikeskus ei ole luettelossa:</w:t>
            </w:r>
          </w:p>
          <w:p w14:paraId="7FE1D007" w14:textId="77777777" w:rsidR="00B81226" w:rsidRDefault="00B82AC2">
            <w:pPr>
              <w:pStyle w:val="P68B1DB1-TableParagraph40"/>
              <w:spacing w:before="108"/>
              <w:ind w:left="85"/>
              <w:jc w:val="both"/>
            </w:pPr>
            <w:r>
              <w:t>ATHEX, ARVOPAPERIKESKUS_EL</w:t>
            </w:r>
          </w:p>
          <w:p w14:paraId="7FE1D008" w14:textId="77777777" w:rsidR="00B81226" w:rsidRDefault="00B82AC2">
            <w:pPr>
              <w:pStyle w:val="P68B1DB1-TableParagraph40"/>
              <w:spacing w:before="108"/>
              <w:ind w:left="85"/>
              <w:jc w:val="both"/>
            </w:pPr>
            <w:r>
              <w:t>KOIRAT_EL</w:t>
            </w:r>
          </w:p>
          <w:p w14:paraId="7FE1D009" w14:textId="77777777" w:rsidR="00B81226" w:rsidRDefault="00B82AC2">
            <w:pPr>
              <w:pStyle w:val="P68B1DB1-TableParagraph40"/>
              <w:spacing w:before="108"/>
              <w:ind w:left="85"/>
              <w:jc w:val="both"/>
            </w:pPr>
            <w:r>
              <w:t>CBF_DE</w:t>
            </w:r>
          </w:p>
          <w:p w14:paraId="7FE1D00A" w14:textId="77777777" w:rsidR="00B81226" w:rsidRDefault="00B82AC2">
            <w:pPr>
              <w:pStyle w:val="P68B1DB1-TableParagraph40"/>
              <w:spacing w:before="108"/>
              <w:ind w:left="85"/>
              <w:jc w:val="both"/>
            </w:pPr>
            <w:r>
              <w:t>CBL_LU</w:t>
            </w:r>
          </w:p>
          <w:p w14:paraId="7FE1D00B" w14:textId="77777777" w:rsidR="00B81226" w:rsidRDefault="00B82AC2">
            <w:pPr>
              <w:pStyle w:val="P68B1DB1-TableParagraph40"/>
              <w:spacing w:before="108"/>
              <w:ind w:left="85"/>
              <w:jc w:val="both"/>
            </w:pPr>
            <w:r>
              <w:t>CDCP SR_SK</w:t>
            </w:r>
          </w:p>
          <w:p w14:paraId="7FE1D00C" w14:textId="77777777" w:rsidR="00B81226" w:rsidRDefault="00B82AC2">
            <w:pPr>
              <w:pStyle w:val="P68B1DB1-TableParagraph40"/>
              <w:spacing w:before="108"/>
              <w:ind w:left="85"/>
              <w:jc w:val="both"/>
            </w:pPr>
            <w:r>
              <w:t>CDCP_CZ</w:t>
            </w:r>
          </w:p>
          <w:p w14:paraId="7FE1D00D" w14:textId="77777777" w:rsidR="00B81226" w:rsidRDefault="00B82AC2">
            <w:pPr>
              <w:pStyle w:val="P68B1DB1-TableParagraph40"/>
              <w:spacing w:before="108"/>
              <w:ind w:left="85"/>
              <w:jc w:val="both"/>
            </w:pPr>
            <w:r>
              <w:t>Keskustalletus- ja selvitysyhtiö_HR</w:t>
            </w:r>
          </w:p>
          <w:p w14:paraId="7FE1D00E" w14:textId="77777777" w:rsidR="00B81226" w:rsidRDefault="00B82AC2">
            <w:pPr>
              <w:pStyle w:val="P68B1DB1-TableParagraph40"/>
              <w:spacing w:before="108"/>
              <w:ind w:left="85"/>
              <w:jc w:val="both"/>
            </w:pPr>
            <w:r>
              <w:t>Central Depository of Securities Prague_CZ</w:t>
            </w:r>
          </w:p>
          <w:p w14:paraId="7FE1D00F" w14:textId="77777777" w:rsidR="00B81226" w:rsidRDefault="00B82AC2">
            <w:pPr>
              <w:pStyle w:val="P68B1DB1-TableParagraph40"/>
              <w:spacing w:before="108"/>
              <w:ind w:left="85"/>
              <w:jc w:val="both"/>
            </w:pPr>
            <w:r>
              <w:t>Keskustallettaja_BG</w:t>
            </w:r>
          </w:p>
          <w:p w14:paraId="7FE1D010" w14:textId="77777777" w:rsidR="00B81226" w:rsidRDefault="00B82AC2">
            <w:pPr>
              <w:pStyle w:val="P68B1DB1-TableParagraph40"/>
              <w:spacing w:before="108"/>
              <w:ind w:left="85"/>
              <w:jc w:val="both"/>
            </w:pPr>
            <w:r>
              <w:t>Kyproksen CDCR_CY</w:t>
            </w:r>
          </w:p>
          <w:p w14:paraId="7FE1D011" w14:textId="77777777" w:rsidR="00B81226" w:rsidRDefault="00B82AC2">
            <w:pPr>
              <w:pStyle w:val="P68B1DB1-TableParagraph40"/>
              <w:spacing w:before="108"/>
              <w:ind w:left="85"/>
              <w:jc w:val="both"/>
            </w:pPr>
            <w:r>
              <w:t>Depozitarul Central_RO</w:t>
            </w:r>
          </w:p>
          <w:p w14:paraId="7FE1D012" w14:textId="77777777" w:rsidR="00B81226" w:rsidRDefault="00B82AC2">
            <w:pPr>
              <w:pStyle w:val="P68B1DB1-TableParagraph40"/>
              <w:spacing w:before="108"/>
              <w:ind w:left="85"/>
              <w:jc w:val="both"/>
            </w:pPr>
            <w:r>
              <w:t>DTC_US</w:t>
            </w:r>
          </w:p>
          <w:p w14:paraId="7FE1D013" w14:textId="77777777" w:rsidR="00B81226" w:rsidRDefault="00B82AC2">
            <w:pPr>
              <w:pStyle w:val="P68B1DB1-TableParagraph40"/>
              <w:spacing w:before="108"/>
              <w:ind w:left="85"/>
              <w:jc w:val="both"/>
            </w:pPr>
            <w:r>
              <w:t>Euroclear Bank_BE</w:t>
            </w:r>
          </w:p>
          <w:p w14:paraId="7FE1D014" w14:textId="77777777" w:rsidR="00B81226" w:rsidRDefault="00B82AC2">
            <w:pPr>
              <w:pStyle w:val="P68B1DB1-TableParagraph40"/>
              <w:spacing w:before="108"/>
              <w:ind w:left="85"/>
              <w:jc w:val="both"/>
            </w:pPr>
            <w:r>
              <w:t>Euroclear Belgium_BE</w:t>
            </w:r>
          </w:p>
          <w:p w14:paraId="7FE1D015" w14:textId="77777777" w:rsidR="00B81226" w:rsidRDefault="00B82AC2">
            <w:pPr>
              <w:pStyle w:val="P68B1DB1-TableParagraph40"/>
              <w:spacing w:before="108"/>
              <w:ind w:left="85"/>
              <w:jc w:val="both"/>
            </w:pPr>
            <w:r>
              <w:t>Euroclear Finland_FI</w:t>
            </w:r>
          </w:p>
          <w:p w14:paraId="7FE1D016" w14:textId="77777777" w:rsidR="00B81226" w:rsidRDefault="00B82AC2">
            <w:pPr>
              <w:pStyle w:val="P68B1DB1-TableParagraph40"/>
              <w:spacing w:before="108"/>
              <w:ind w:left="85"/>
              <w:jc w:val="both"/>
            </w:pPr>
            <w:r>
              <w:t>Euroclear France_FR</w:t>
            </w:r>
          </w:p>
          <w:p w14:paraId="7FE1D017" w14:textId="77777777" w:rsidR="00B81226" w:rsidRDefault="00B82AC2">
            <w:pPr>
              <w:pStyle w:val="P68B1DB1-TableParagraph40"/>
              <w:spacing w:before="108"/>
              <w:ind w:left="85"/>
              <w:jc w:val="both"/>
            </w:pPr>
            <w:r>
              <w:t>Euroclear Alankomaat_NL</w:t>
            </w:r>
          </w:p>
          <w:p w14:paraId="7FE1D018" w14:textId="77777777" w:rsidR="00B81226" w:rsidRDefault="00B82AC2">
            <w:pPr>
              <w:pStyle w:val="P68B1DB1-TableParagraph40"/>
              <w:spacing w:before="108"/>
              <w:ind w:left="85"/>
              <w:jc w:val="both"/>
            </w:pPr>
            <w:r>
              <w:t>Euroclear Sweden_SE</w:t>
            </w:r>
          </w:p>
          <w:p w14:paraId="7FE1D019" w14:textId="77777777" w:rsidR="00B81226" w:rsidRDefault="00B82AC2">
            <w:pPr>
              <w:pStyle w:val="P68B1DB1-TableParagraph40"/>
              <w:spacing w:before="108"/>
              <w:ind w:left="85"/>
              <w:jc w:val="both"/>
            </w:pPr>
            <w:r>
              <w:t>Euroclear UK &amp; Ireland_UK</w:t>
            </w:r>
          </w:p>
          <w:p w14:paraId="7FE1D01A" w14:textId="77777777" w:rsidR="00B81226" w:rsidRDefault="00B82AC2">
            <w:pPr>
              <w:pStyle w:val="P68B1DB1-TableParagraph40"/>
              <w:spacing w:before="108"/>
              <w:ind w:left="85"/>
              <w:jc w:val="both"/>
            </w:pPr>
            <w:r>
              <w:t>Government Securities Depository (GSD)_BG</w:t>
            </w:r>
          </w:p>
          <w:p w14:paraId="7FE1D01B" w14:textId="77777777" w:rsidR="00B81226" w:rsidRDefault="00B82AC2">
            <w:pPr>
              <w:pStyle w:val="P68B1DB1-TableParagraph40"/>
              <w:spacing w:before="108"/>
              <w:ind w:left="85"/>
              <w:jc w:val="both"/>
            </w:pPr>
            <w:r>
              <w:t>Iberclear_ES</w:t>
            </w:r>
          </w:p>
          <w:p w14:paraId="7FE1D01C" w14:textId="77777777" w:rsidR="00B81226" w:rsidRDefault="00B82AC2">
            <w:pPr>
              <w:pStyle w:val="P68B1DB1-TableParagraph40"/>
              <w:spacing w:before="108"/>
              <w:ind w:left="85"/>
              <w:jc w:val="both"/>
            </w:pPr>
            <w:r>
              <w:lastRenderedPageBreak/>
              <w:t>INTERBOLSA_PT</w:t>
            </w:r>
          </w:p>
          <w:p w14:paraId="7FE1D01D" w14:textId="77777777" w:rsidR="00B81226" w:rsidRDefault="00B82AC2">
            <w:pPr>
              <w:pStyle w:val="P68B1DB1-TableParagraph40"/>
              <w:spacing w:before="108"/>
              <w:ind w:left="85"/>
              <w:jc w:val="both"/>
            </w:pPr>
            <w:r>
              <w:t>KDD_SI</w:t>
            </w:r>
          </w:p>
          <w:p w14:paraId="7FE1D01E" w14:textId="77777777" w:rsidR="00B81226" w:rsidRDefault="00B82AC2">
            <w:pPr>
              <w:pStyle w:val="P68B1DB1-TableParagraph40"/>
              <w:spacing w:before="108"/>
              <w:ind w:left="85"/>
              <w:jc w:val="both"/>
            </w:pPr>
            <w:r>
              <w:t>KDPW_PL</w:t>
            </w:r>
          </w:p>
          <w:p w14:paraId="7FE1D01F" w14:textId="77777777" w:rsidR="00B81226" w:rsidRDefault="00B82AC2">
            <w:pPr>
              <w:pStyle w:val="P68B1DB1-TableParagraph40"/>
              <w:spacing w:before="108"/>
              <w:ind w:left="85"/>
              <w:jc w:val="both"/>
            </w:pPr>
            <w:r>
              <w:t>KELER_HU</w:t>
            </w:r>
          </w:p>
          <w:p w14:paraId="7FE1D020" w14:textId="77777777" w:rsidR="00B81226" w:rsidRDefault="00B82AC2">
            <w:pPr>
              <w:pStyle w:val="P68B1DB1-TableParagraph40"/>
              <w:spacing w:before="108"/>
              <w:ind w:left="85"/>
              <w:jc w:val="both"/>
            </w:pPr>
            <w:r>
              <w:t>LUX-ARVOPAPERIKESKUS_LU</w:t>
            </w:r>
          </w:p>
          <w:p w14:paraId="7FE1D021" w14:textId="77777777" w:rsidR="00B81226" w:rsidRDefault="00B82AC2">
            <w:pPr>
              <w:pStyle w:val="P68B1DB1-TableParagraph40"/>
              <w:spacing w:before="108"/>
              <w:ind w:left="85"/>
              <w:jc w:val="both"/>
            </w:pPr>
            <w:r>
              <w:t>Malta Stock Exchange CSD_MT</w:t>
            </w:r>
          </w:p>
          <w:p w14:paraId="7FE1D022" w14:textId="77777777" w:rsidR="00B81226" w:rsidRDefault="00B82AC2">
            <w:pPr>
              <w:pStyle w:val="P68B1DB1-TableParagraph40"/>
              <w:spacing w:before="108"/>
              <w:ind w:left="85"/>
              <w:jc w:val="both"/>
            </w:pPr>
            <w:r>
              <w:t>Euronext Securities Milan_IT</w:t>
            </w:r>
          </w:p>
          <w:p w14:paraId="7FE1D023" w14:textId="77777777" w:rsidR="00B81226" w:rsidRDefault="00B82AC2">
            <w:pPr>
              <w:pStyle w:val="P68B1DB1-TableParagraph40"/>
              <w:spacing w:before="108"/>
              <w:ind w:left="85"/>
              <w:jc w:val="both"/>
            </w:pPr>
            <w:r>
              <w:t>Nasdaq CSD_EE</w:t>
            </w:r>
          </w:p>
          <w:p w14:paraId="7FE1D024" w14:textId="77777777" w:rsidR="00B81226" w:rsidRDefault="00B82AC2">
            <w:pPr>
              <w:pStyle w:val="P68B1DB1-TableParagraph40"/>
              <w:spacing w:before="108"/>
              <w:ind w:left="85"/>
              <w:jc w:val="both"/>
            </w:pPr>
            <w:r>
              <w:t>Nasdaqin arvopaperikeskus_LT</w:t>
            </w:r>
          </w:p>
          <w:p w14:paraId="7FE1D025" w14:textId="77777777" w:rsidR="00B81226" w:rsidRDefault="00B82AC2">
            <w:pPr>
              <w:pStyle w:val="P68B1DB1-TableParagraph40"/>
              <w:spacing w:before="108"/>
              <w:ind w:left="85"/>
              <w:jc w:val="both"/>
            </w:pPr>
            <w:r>
              <w:t>Nasdaq CSD_LV</w:t>
            </w:r>
          </w:p>
          <w:p w14:paraId="7FE1D026" w14:textId="77777777" w:rsidR="00B81226" w:rsidRDefault="00B82AC2">
            <w:pPr>
              <w:pStyle w:val="P68B1DB1-TableParagraph40"/>
              <w:spacing w:before="108"/>
              <w:ind w:left="85"/>
              <w:jc w:val="both"/>
            </w:pPr>
            <w:r>
              <w:t>NBB SSS_BE</w:t>
            </w:r>
          </w:p>
          <w:p w14:paraId="7FE1D027" w14:textId="77777777" w:rsidR="00B81226" w:rsidRDefault="00B82AC2">
            <w:pPr>
              <w:pStyle w:val="P68B1DB1-TableParagraph40"/>
              <w:spacing w:before="108"/>
              <w:ind w:left="85"/>
              <w:jc w:val="both"/>
            </w:pPr>
            <w:r>
              <w:t>nCDCP_SK</w:t>
            </w:r>
          </w:p>
          <w:p w14:paraId="7FE1D028" w14:textId="77777777" w:rsidR="00B81226" w:rsidRDefault="00B82AC2">
            <w:pPr>
              <w:pStyle w:val="P68B1DB1-TableParagraph40"/>
              <w:spacing w:before="108"/>
              <w:ind w:left="85"/>
              <w:jc w:val="both"/>
            </w:pPr>
            <w:r>
              <w:t>OeKB:n arvopaperikeskus_AT</w:t>
            </w:r>
          </w:p>
          <w:p w14:paraId="7FE1D029" w14:textId="77777777" w:rsidR="00B81226" w:rsidRDefault="00B82AC2">
            <w:pPr>
              <w:pStyle w:val="P68B1DB1-TableParagraph40"/>
              <w:spacing w:before="108"/>
              <w:ind w:left="85"/>
              <w:jc w:val="both"/>
            </w:pPr>
            <w:r>
              <w:t>SAFIR_RO</w:t>
            </w:r>
          </w:p>
          <w:p w14:paraId="7FE1D02A" w14:textId="77777777" w:rsidR="00B81226" w:rsidRDefault="00B82AC2">
            <w:pPr>
              <w:pStyle w:val="P68B1DB1-TableParagraph40"/>
              <w:spacing w:before="108"/>
              <w:ind w:left="85"/>
              <w:jc w:val="both"/>
            </w:pPr>
            <w:r>
              <w:t>KUUSI SIS_CH-JÄRJESTELMÄÄ</w:t>
            </w:r>
          </w:p>
          <w:p w14:paraId="7FE1D02B" w14:textId="77777777" w:rsidR="00B81226" w:rsidRDefault="00B82AC2">
            <w:pPr>
              <w:pStyle w:val="P68B1DB1-TableParagraph40"/>
              <w:spacing w:before="108"/>
              <w:ind w:left="85"/>
              <w:jc w:val="both"/>
            </w:pPr>
            <w:r>
              <w:t>SKARBNET4_PL</w:t>
            </w:r>
          </w:p>
          <w:p w14:paraId="7FE1D02C" w14:textId="77777777" w:rsidR="00B81226" w:rsidRDefault="00B82AC2">
            <w:pPr>
              <w:pStyle w:val="P68B1DB1-TableParagraph40"/>
              <w:spacing w:before="108"/>
              <w:ind w:left="85"/>
              <w:jc w:val="both"/>
            </w:pPr>
            <w:r>
              <w:t>SKD_CZ</w:t>
            </w:r>
          </w:p>
          <w:p w14:paraId="7FE1D02D" w14:textId="77777777" w:rsidR="00B81226" w:rsidRDefault="00B82AC2">
            <w:pPr>
              <w:pStyle w:val="P68B1DB1-TableParagraph40"/>
              <w:spacing w:before="108"/>
              <w:ind w:left="85"/>
              <w:jc w:val="both"/>
            </w:pPr>
            <w:r>
              <w:t>VV Securities_DK</w:t>
            </w:r>
          </w:p>
          <w:p w14:paraId="7FE1D02E" w14:textId="77777777" w:rsidR="00B81226" w:rsidRDefault="00B82AC2">
            <w:pPr>
              <w:pStyle w:val="P68B1DB1-TableParagraph40"/>
              <w:spacing w:before="108"/>
              <w:ind w:left="85"/>
              <w:jc w:val="both"/>
            </w:pPr>
            <w:r>
              <w:t>VPS_EI</w:t>
            </w:r>
          </w:p>
        </w:tc>
      </w:tr>
      <w:tr w:rsidR="00B81226" w14:paraId="7FE1D036" w14:textId="77777777">
        <w:tc>
          <w:tcPr>
            <w:tcW w:w="1415" w:type="dxa"/>
            <w:tcBorders>
              <w:top w:val="single" w:sz="8" w:space="0" w:color="1A171C"/>
              <w:left w:val="nil"/>
              <w:bottom w:val="single" w:sz="8" w:space="0" w:color="1A171C"/>
              <w:right w:val="single" w:sz="8" w:space="0" w:color="1A171C"/>
            </w:tcBorders>
            <w:vAlign w:val="center"/>
          </w:tcPr>
          <w:p w14:paraId="7FE1D033" w14:textId="77777777" w:rsidR="00B81226" w:rsidRDefault="00B82AC2">
            <w:pPr>
              <w:pStyle w:val="P68B1DB1-Normal31"/>
            </w:pPr>
            <w:r>
              <w:lastRenderedPageBreak/>
              <w:t>0270</w:t>
            </w:r>
          </w:p>
        </w:tc>
        <w:tc>
          <w:tcPr>
            <w:tcW w:w="7611" w:type="dxa"/>
            <w:gridSpan w:val="2"/>
            <w:tcBorders>
              <w:top w:val="single" w:sz="8" w:space="0" w:color="1A171C"/>
              <w:left w:val="single" w:sz="8" w:space="0" w:color="1A171C"/>
              <w:bottom w:val="single" w:sz="8" w:space="0" w:color="1A171C"/>
              <w:right w:val="nil"/>
            </w:tcBorders>
            <w:vAlign w:val="bottom"/>
          </w:tcPr>
          <w:p w14:paraId="7FE1D034" w14:textId="7763C810" w:rsidR="00B81226" w:rsidRDefault="00B82AC2">
            <w:pPr>
              <w:pStyle w:val="P68B1DB1-TableParagraph73"/>
              <w:spacing w:before="108"/>
              <w:ind w:left="85"/>
              <w:jc w:val="both"/>
              <w:rPr>
                <w:bCs/>
              </w:rPr>
            </w:pPr>
            <w:r>
              <w:t>Takauksen, pantin tai vakuuden määrä</w:t>
            </w:r>
          </w:p>
          <w:p w14:paraId="7FE1D035" w14:textId="01C91AE9" w:rsidR="00B81226" w:rsidRDefault="00B82AC2">
            <w:pPr>
              <w:pStyle w:val="P68B1DB1-TableParagraph40"/>
              <w:spacing w:before="108"/>
              <w:ind w:left="85"/>
              <w:jc w:val="both"/>
            </w:pPr>
            <w:r>
              <w:t>Jos velasta on annettu takaus, pantti tai vakuus, sen bruttomarkkina-arvo on ilmoitettava. Muussa tapauksessa vakuudettomien velkojen osalta tämä luokka ilmoitetaan nollana. Tämä määrä määrittää minkä tahansa vakuudellisen velan vakuudellisen ja mahdollisesti vakuudettoman osan. Sellaisten vakuuspoolien osalta, jotka turvaavat useita eriä, määrittää kokonaiskattavuussuhde ja soveltaa suhteellista osuutta kaikkiin tämän ryhmän kattamiin eriin.</w:t>
            </w:r>
          </w:p>
        </w:tc>
      </w:tr>
      <w:tr w:rsidR="00B81226" w14:paraId="7FE1D03A" w14:textId="77777777">
        <w:tc>
          <w:tcPr>
            <w:tcW w:w="1415" w:type="dxa"/>
            <w:tcBorders>
              <w:top w:val="single" w:sz="8" w:space="0" w:color="1A171C"/>
              <w:left w:val="nil"/>
              <w:bottom w:val="single" w:sz="8" w:space="0" w:color="1A171C"/>
              <w:right w:val="single" w:sz="8" w:space="0" w:color="1A171C"/>
            </w:tcBorders>
            <w:vAlign w:val="center"/>
          </w:tcPr>
          <w:p w14:paraId="7FE1D037" w14:textId="77777777" w:rsidR="00B81226" w:rsidRDefault="00B82AC2">
            <w:pPr>
              <w:pStyle w:val="P68B1DB1-Normal31"/>
            </w:pPr>
            <w:r>
              <w:t>0280</w:t>
            </w:r>
          </w:p>
        </w:tc>
        <w:tc>
          <w:tcPr>
            <w:tcW w:w="7611" w:type="dxa"/>
            <w:gridSpan w:val="2"/>
            <w:tcBorders>
              <w:top w:val="single" w:sz="8" w:space="0" w:color="1A171C"/>
              <w:left w:val="single" w:sz="8" w:space="0" w:color="1A171C"/>
              <w:bottom w:val="single" w:sz="8" w:space="0" w:color="1A171C"/>
              <w:right w:val="nil"/>
            </w:tcBorders>
            <w:vAlign w:val="bottom"/>
          </w:tcPr>
          <w:p w14:paraId="7FE1D038" w14:textId="4F4E64F0" w:rsidR="00B81226" w:rsidRDefault="00B82AC2">
            <w:pPr>
              <w:pStyle w:val="P68B1DB1-TableParagraph73"/>
              <w:spacing w:before="108"/>
              <w:ind w:left="85"/>
              <w:jc w:val="both"/>
              <w:rPr>
                <w:bCs/>
              </w:rPr>
            </w:pPr>
            <w:r>
              <w:t xml:space="preserve">Takaaja </w:t>
            </w:r>
          </w:p>
          <w:p w14:paraId="7FE1D039" w14:textId="7525BFD5" w:rsidR="00B81226" w:rsidRDefault="00B82AC2">
            <w:pPr>
              <w:pStyle w:val="P68B1DB1-TableParagraph40"/>
              <w:spacing w:before="108"/>
              <w:ind w:left="85"/>
              <w:jc w:val="both"/>
            </w:pPr>
            <w:r>
              <w:t>Jos instrumentille on annettu takauksia, takaajasta on annettava tarkat tunnistetiedot (LEI-tunnus, hallinnon ISO 3166–1 -standardin mukainen kaksikirjaiminen maatunnus jne.). Jos takaajia on useita, kaikkien tunnisteet on ilmoitettava puolipisteellä eroteltuina.</w:t>
            </w:r>
          </w:p>
        </w:tc>
      </w:tr>
      <w:tr w:rsidR="00B81226" w14:paraId="7FE1D045" w14:textId="77777777">
        <w:tc>
          <w:tcPr>
            <w:tcW w:w="1415" w:type="dxa"/>
            <w:tcBorders>
              <w:top w:val="single" w:sz="8" w:space="0" w:color="1A171C"/>
              <w:left w:val="nil"/>
              <w:bottom w:val="single" w:sz="8" w:space="0" w:color="1A171C"/>
              <w:right w:val="single" w:sz="8" w:space="0" w:color="1A171C"/>
            </w:tcBorders>
            <w:vAlign w:val="center"/>
          </w:tcPr>
          <w:p w14:paraId="7FE1D042" w14:textId="77777777" w:rsidR="00B81226" w:rsidRDefault="00B82AC2">
            <w:pPr>
              <w:pStyle w:val="P68B1DB1-Normal31"/>
            </w:pPr>
            <w:r>
              <w:t>0305</w:t>
            </w:r>
          </w:p>
        </w:tc>
        <w:tc>
          <w:tcPr>
            <w:tcW w:w="7611" w:type="dxa"/>
            <w:gridSpan w:val="2"/>
            <w:tcBorders>
              <w:top w:val="single" w:sz="8" w:space="0" w:color="1A171C"/>
              <w:left w:val="single" w:sz="8" w:space="0" w:color="1A171C"/>
              <w:bottom w:val="single" w:sz="8" w:space="0" w:color="1A171C"/>
              <w:right w:val="nil"/>
            </w:tcBorders>
            <w:vAlign w:val="bottom"/>
          </w:tcPr>
          <w:p w14:paraId="7FE1D043" w14:textId="77777777" w:rsidR="00B81226" w:rsidRDefault="00B82AC2">
            <w:pPr>
              <w:pStyle w:val="P68B1DB1-TableParagraph73"/>
              <w:spacing w:before="108"/>
              <w:ind w:left="85"/>
              <w:jc w:val="both"/>
              <w:rPr>
                <w:bCs/>
              </w:rPr>
            </w:pPr>
            <w:r>
              <w:t xml:space="preserve">Määrä täyttää omia varoja ja hyväksyttäviä velkoja koskevan vähimmäisvaatimuksen ehdot </w:t>
            </w:r>
          </w:p>
          <w:p w14:paraId="7FE1D044" w14:textId="63D3C63A" w:rsidR="00B81226" w:rsidRDefault="00B82AC2">
            <w:pPr>
              <w:pStyle w:val="P68B1DB1-TableParagraph40"/>
              <w:spacing w:before="108"/>
              <w:ind w:left="85"/>
              <w:jc w:val="both"/>
            </w:pPr>
            <w:r>
              <w:t>Direktiivin 2014/59/EU 45 artiklan 1 kohdan mukaisesti asetetun vaatimuksen täyttämiseksi huomioon otettava omien varojen ja hyväksyttävien velkojen määrä.</w:t>
            </w:r>
          </w:p>
        </w:tc>
      </w:tr>
      <w:tr w:rsidR="00B81226" w14:paraId="7FE1D04C" w14:textId="77777777">
        <w:trPr>
          <w:trHeight w:val="2982"/>
        </w:trPr>
        <w:tc>
          <w:tcPr>
            <w:tcW w:w="1415" w:type="dxa"/>
            <w:tcBorders>
              <w:top w:val="single" w:sz="8" w:space="0" w:color="1A171C"/>
              <w:left w:val="nil"/>
              <w:bottom w:val="single" w:sz="8" w:space="0" w:color="1A171C"/>
              <w:right w:val="single" w:sz="8" w:space="0" w:color="1A171C"/>
            </w:tcBorders>
            <w:vAlign w:val="center"/>
          </w:tcPr>
          <w:p w14:paraId="7FE1D046" w14:textId="77777777" w:rsidR="00B81226" w:rsidRDefault="00B82AC2">
            <w:pPr>
              <w:pStyle w:val="P68B1DB1-Normal31"/>
            </w:pPr>
            <w:r>
              <w:lastRenderedPageBreak/>
              <w:t>0310</w:t>
            </w:r>
          </w:p>
          <w:p w14:paraId="7FE1D047" w14:textId="77777777" w:rsidR="00B81226" w:rsidRDefault="00B82AC2">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D048" w14:textId="1CDBBE51" w:rsidR="00B81226" w:rsidRDefault="00B82AC2">
            <w:pPr>
              <w:pStyle w:val="P68B1DB1-TableParagraph73"/>
              <w:spacing w:before="108"/>
              <w:ind w:left="85"/>
              <w:jc w:val="both"/>
              <w:rPr>
                <w:bCs/>
              </w:rPr>
            </w:pPr>
            <w:r>
              <w:t xml:space="preserve">Omiksi varoiksi katsottavat </w:t>
            </w:r>
          </w:p>
          <w:p w14:paraId="7FE1D049" w14:textId="4AE6A326" w:rsidR="00B81226" w:rsidRDefault="00B82AC2">
            <w:pPr>
              <w:pStyle w:val="P68B1DB1-TableParagraph40"/>
              <w:spacing w:before="108"/>
              <w:ind w:left="85"/>
              <w:jc w:val="both"/>
            </w:pPr>
            <w:r>
              <w:t xml:space="preserve">Ilmoitetaan, sisältyykö kyseinen instrumentti omiin varoihin, ja jos sisältyy, millä tasolla, porrastettua käytöstäpoistoa ja uusista säännöksistä siirtymäajaksi vapauttamista koskevien tietojen lisäksi. Arvoksi valitaan valmiista luettelosta joko ”Ei”, ”Osittain AT1, T1 ja T2”, ”Porrastetusti käytöstä poistettava T2”, ”Uusista säännöksistä siirtymäajaksi vapautettu T2”, ”Täysin vaatimustenmukainen T2”, ”Uusista säännöksistä siirtymäajaksi vapautettu AT1”, ”Täysin vaatimustenmukainen AT1” tai ”CET1”. </w:t>
            </w:r>
          </w:p>
          <w:p w14:paraId="7FE1D04A" w14:textId="62223A6F" w:rsidR="00B81226" w:rsidRDefault="00B82AC2">
            <w:pPr>
              <w:pStyle w:val="P68B1DB1-TableParagraph40"/>
              <w:spacing w:before="108"/>
              <w:ind w:left="85"/>
              <w:jc w:val="both"/>
            </w:pPr>
            <w:r>
              <w:t>Vaihtoehtojen luettelossa oleva ilmaisu ”porrastettu käytöstäpoisto” tarkoittaa minkä tahansa T2-instrumentin maturiteettia edeltävää viiden vuoden ajanjaksoa, jonka aikana vain tietty osuus hyväksytään maturiteettiin kuluvan ajan perusteella. Ilmaisu ”uusista säännöksistä siirtymäajaksi vapautettu” tarkoittaa kaikkia T2-instrumenttiin sovellettavia siirtymäajan toimia, joihin ”porrastettu käytöstäpoisto” ei kuulu. Siirtymäajan aikana hyväksyntä voidaan tehdä kokonaan tai osittain.</w:t>
            </w:r>
          </w:p>
          <w:p w14:paraId="7FE1D04B" w14:textId="56289907" w:rsidR="00B81226" w:rsidRDefault="00B82AC2">
            <w:pPr>
              <w:pStyle w:val="P68B1DB1-TableParagraph40"/>
              <w:spacing w:before="108"/>
              <w:ind w:left="85"/>
              <w:jc w:val="both"/>
            </w:pPr>
            <w:r>
              <w:t xml:space="preserve"> </w:t>
            </w:r>
          </w:p>
        </w:tc>
      </w:tr>
      <w:tr w:rsidR="00B81226" w14:paraId="7FE1D051" w14:textId="77777777">
        <w:tc>
          <w:tcPr>
            <w:tcW w:w="1415" w:type="dxa"/>
            <w:tcBorders>
              <w:top w:val="single" w:sz="8" w:space="0" w:color="1A171C"/>
              <w:left w:val="nil"/>
              <w:bottom w:val="single" w:sz="8" w:space="0" w:color="1A171C"/>
              <w:right w:val="single" w:sz="8" w:space="0" w:color="1A171C"/>
            </w:tcBorders>
            <w:vAlign w:val="center"/>
          </w:tcPr>
          <w:p w14:paraId="7FE1D04D" w14:textId="77777777" w:rsidR="00B81226" w:rsidRDefault="00B82AC2">
            <w:pPr>
              <w:pStyle w:val="P68B1DB1-Normal31"/>
            </w:pPr>
            <w:r>
              <w:t>0320</w:t>
            </w:r>
          </w:p>
        </w:tc>
        <w:tc>
          <w:tcPr>
            <w:tcW w:w="7611" w:type="dxa"/>
            <w:gridSpan w:val="2"/>
            <w:tcBorders>
              <w:top w:val="single" w:sz="8" w:space="0" w:color="1A171C"/>
              <w:left w:val="single" w:sz="8" w:space="0" w:color="1A171C"/>
              <w:bottom w:val="single" w:sz="8" w:space="0" w:color="1A171C"/>
              <w:right w:val="nil"/>
            </w:tcBorders>
            <w:vAlign w:val="bottom"/>
          </w:tcPr>
          <w:p w14:paraId="7FE1D04E" w14:textId="77777777" w:rsidR="00B81226" w:rsidRDefault="00B82AC2">
            <w:pPr>
              <w:pStyle w:val="P68B1DB1-TableParagraph40"/>
              <w:spacing w:before="108"/>
              <w:ind w:left="85"/>
              <w:jc w:val="both"/>
              <w:rPr>
                <w:b/>
                <w:bCs/>
              </w:rPr>
            </w:pPr>
            <w:r>
              <w:t xml:space="preserve"> </w:t>
            </w:r>
            <w:r>
              <w:rPr>
                <w:b/>
              </w:rPr>
              <w:t>Määrä, joka hyväksytään omiksi varoiksi</w:t>
            </w:r>
          </w:p>
          <w:p w14:paraId="7FE1D050" w14:textId="1253231B" w:rsidR="00B81226" w:rsidRDefault="00B82AC2">
            <w:pPr>
              <w:pStyle w:val="P68B1DB1-TableParagraph40"/>
              <w:spacing w:before="108"/>
              <w:ind w:left="85"/>
              <w:jc w:val="both"/>
            </w:pPr>
            <w:r>
              <w:t>Omia varoja koskevat ehdot täyttävän instrumentin määrä.</w:t>
            </w:r>
          </w:p>
        </w:tc>
      </w:tr>
    </w:tbl>
    <w:p w14:paraId="7FE1D052" w14:textId="77777777" w:rsidR="00B81226" w:rsidRDefault="00B81226">
      <w:pPr>
        <w:rPr>
          <w:rFonts w:ascii="Times New Roman" w:hAnsi="Times New Roman" w:cs="Times New Roman"/>
        </w:rPr>
      </w:pPr>
    </w:p>
    <w:p w14:paraId="7FE1D053" w14:textId="77777777" w:rsidR="00B81226" w:rsidRDefault="00B81226">
      <w:pPr>
        <w:pStyle w:val="Instructionsberschrift2"/>
        <w:ind w:left="357"/>
        <w:rPr>
          <w:rFonts w:ascii="Times New Roman" w:eastAsia="Calibri" w:hAnsi="Times New Roman" w:cs="Times New Roman"/>
          <w:szCs w:val="20"/>
        </w:rPr>
      </w:pPr>
    </w:p>
    <w:p w14:paraId="7FE1D054" w14:textId="6B5C3BCC" w:rsidR="00B81226" w:rsidRDefault="00B82AC2">
      <w:pPr>
        <w:pStyle w:val="Instructionsberschrift2"/>
        <w:numPr>
          <w:ilvl w:val="1"/>
          <w:numId w:val="49"/>
        </w:numPr>
        <w:spacing w:before="0"/>
        <w:ind w:left="357" w:hanging="357"/>
        <w:rPr>
          <w:rFonts w:ascii="Times New Roman" w:hAnsi="Times New Roman" w:cs="Times New Roman"/>
        </w:rPr>
      </w:pPr>
      <w:bookmarkStart w:id="245" w:name="_Toc208245468"/>
      <w:r>
        <w:rPr>
          <w:rFonts w:ascii="Times New Roman" w:eastAsiaTheme="minorEastAsia" w:hAnsi="Times New Roman" w:cs="Times New Roman"/>
        </w:rPr>
        <w:t xml:space="preserve">Z 13.00 – Kaikki talletukset (lukuun ottamatta konsernin sisäisiä) </w:t>
      </w:r>
      <w:r>
        <w:rPr>
          <w:rFonts w:ascii="Times New Roman" w:eastAsia="Calibri" w:hAnsi="Times New Roman" w:cs="Times New Roman"/>
          <w:szCs w:val="20"/>
        </w:rPr>
        <w:t>(LIAB-G-3)</w:t>
      </w:r>
      <w:bookmarkEnd w:id="245"/>
    </w:p>
    <w:p w14:paraId="7FE1D057" w14:textId="77777777" w:rsidR="00B81226" w:rsidRDefault="00B82AC2">
      <w:pPr>
        <w:pStyle w:val="P68B1DB1-Numberedtitlelevel372"/>
      </w:pPr>
      <w:r>
        <w:t>Yleiset huomautukset</w:t>
      </w:r>
    </w:p>
    <w:p w14:paraId="7FE1D058" w14:textId="669C462E" w:rsidR="00B81226" w:rsidRDefault="00B82AC2">
      <w:pPr>
        <w:pStyle w:val="P68B1DB1-InstructionsText26"/>
        <w:numPr>
          <w:ilvl w:val="2"/>
          <w:numId w:val="209"/>
        </w:numPr>
        <w:spacing w:before="0"/>
        <w:ind w:left="1418"/>
        <w:rPr>
          <w:rFonts w:eastAsia="Cambria"/>
        </w:rPr>
      </w:pPr>
      <w:r>
        <w:t>Tämän raportin soveltamisala kattaa kaikki talletukset lukuun ottamatta konsernin sisäisiä tapahtumia riippumatta talletuksen luonteesta tai kaudesta. Talletukset olisi yksilöitävä direktiivin 2014/49/EU 2 artiklan 1 kohdan 3 alakohdassa annetun määritelmän perusteella.</w:t>
      </w:r>
    </w:p>
    <w:p w14:paraId="7FE1D05A" w14:textId="4B3AE2E6" w:rsidR="00B81226" w:rsidRDefault="00B82AC2">
      <w:pPr>
        <w:pStyle w:val="P68B1DB1-InstructionsText286"/>
        <w:numPr>
          <w:ilvl w:val="2"/>
          <w:numId w:val="209"/>
        </w:numPr>
        <w:spacing w:before="0"/>
        <w:ind w:left="1418"/>
      </w:pPr>
      <w:r>
        <w:t>Tässä taulukossa ryhmitellään kaikki kattamattomat ja etuuskohteluun oikeuttamattomat talletukset (siten kuin ne on määritelty asiakirjassa Z 02.00-r0320), joiden jäljellä oleva maturiteetti on alle 1 vuosi, kaikki suojatut talletukset ja kattamattomat mutta etuuskohteluun oikeuttamattomat talletukset (siten kuin ne on määritelty asiakirjassa Z 02.00–r0310 ja niiden jäljellä olevasta maturiteetista riippumatta) velkaluokittain (sarake 0020), vastapuolityypin (sarake 0025) ja maksukyvyttömyysmenettelyn ensis</w:t>
      </w:r>
      <w:r>
        <w:t xml:space="preserve">ijaisuusjärjestyksen (sarake 0030) mukaan. Kattamattomat ja etuoikeudettomat talletukset, joiden jäljellä oleva maturiteetti on vähintään yksi vuosi, on ilmoitettava erillisenä rivinä kaikkien pyydettyjen kenttien osalta. </w:t>
      </w:r>
    </w:p>
    <w:p w14:paraId="7FE1D05B" w14:textId="4C000A39" w:rsidR="00B81226" w:rsidRDefault="00B82AC2">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Sen estämättä, mitä 67 kohdassa säädetään, jokainen luottolaitoksen talletus on talletustyypistä riippumatta ilmoitettava erillisenä rivieränä</w:t>
      </w:r>
      <w:r>
        <w:rPr>
          <w:rFonts w:ascii="Times New Roman" w:hAnsi="Times New Roman" w:cs="Times New Roman"/>
        </w:rPr>
        <w:t xml:space="preserve"> kaikkien pyydettyjen kenttien </w:t>
      </w:r>
      <w:r>
        <w:rPr>
          <w:rFonts w:ascii="Times New Roman" w:eastAsia="Cambria" w:hAnsi="Times New Roman" w:cs="Times New Roman"/>
          <w:sz w:val="20"/>
          <w:szCs w:val="20"/>
        </w:rPr>
        <w:t>osalta. Esimerkiksi yksittäinen liiketoimi on ilmoitettava useilla riveillä, jos se liittyy eri maksukyvyttömyysjärjestykseen.</w:t>
      </w:r>
    </w:p>
    <w:p w14:paraId="7FE1D05C" w14:textId="0E610125" w:rsidR="00B81226" w:rsidRDefault="00B82AC2">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Kaikki muut talletukset, joita ei ole nimenomaisesti mainittu edellä, on ilmoitettava erillisenä</w:t>
      </w:r>
      <w:r>
        <w:rPr>
          <w:rFonts w:ascii="Times New Roman" w:hAnsi="Times New Roman" w:cs="Times New Roman"/>
        </w:rPr>
        <w:t xml:space="preserve"> rivieränä </w:t>
      </w:r>
      <w:r>
        <w:rPr>
          <w:rFonts w:ascii="Times New Roman" w:eastAsia="Cambria" w:hAnsi="Times New Roman" w:cs="Times New Roman"/>
          <w:sz w:val="20"/>
          <w:szCs w:val="20"/>
        </w:rPr>
        <w:t>kaikkien pyydettyjen kenttien osalta.</w:t>
      </w:r>
    </w:p>
    <w:p w14:paraId="7FE1D061" w14:textId="77777777" w:rsidR="00B81226" w:rsidRDefault="00B82AC2">
      <w:pPr>
        <w:pStyle w:val="P68B1DB1-InstructionsText287"/>
        <w:numPr>
          <w:ilvl w:val="0"/>
          <w:numId w:val="0"/>
        </w:numPr>
        <w:ind w:left="753"/>
      </w:pPr>
      <w:r>
        <w:t>Tiettyjä kohtia koskevat ohjeet</w:t>
      </w:r>
    </w:p>
    <w:tbl>
      <w:tblPr>
        <w:tblW w:w="0" w:type="auto"/>
        <w:tblLook w:val="01E0" w:firstRow="1" w:lastRow="1" w:firstColumn="1" w:lastColumn="1" w:noHBand="0" w:noVBand="0"/>
      </w:tblPr>
      <w:tblGrid>
        <w:gridCol w:w="1188"/>
        <w:gridCol w:w="7772"/>
        <w:gridCol w:w="66"/>
      </w:tblGrid>
      <w:tr w:rsidR="00B81226" w14:paraId="7FE1D064" w14:textId="77777777">
        <w:trPr>
          <w:gridAfter w:val="1"/>
          <w:wAfter w:w="66" w:type="dxa"/>
          <w:tblHeader/>
        </w:trPr>
        <w:tc>
          <w:tcPr>
            <w:tcW w:w="1188" w:type="dxa"/>
            <w:tcBorders>
              <w:top w:val="single" w:sz="4" w:space="0" w:color="1A171C"/>
              <w:left w:val="nil"/>
              <w:bottom w:val="single" w:sz="4" w:space="0" w:color="1A171C"/>
              <w:right w:val="single" w:sz="4" w:space="0" w:color="1A171C"/>
            </w:tcBorders>
            <w:shd w:val="clear" w:color="auto" w:fill="E4E5E5"/>
          </w:tcPr>
          <w:p w14:paraId="7FE1D062" w14:textId="77777777" w:rsidR="00B81226" w:rsidRDefault="00B82AC2">
            <w:pPr>
              <w:pStyle w:val="P68B1DB1-TableParagraph17"/>
              <w:spacing w:before="108"/>
              <w:ind w:left="85"/>
            </w:pPr>
            <w:r>
              <w:t>Sarakkeet</w:t>
            </w:r>
          </w:p>
        </w:tc>
        <w:tc>
          <w:tcPr>
            <w:tcW w:w="7772" w:type="dxa"/>
            <w:tcBorders>
              <w:top w:val="single" w:sz="4" w:space="0" w:color="1A171C"/>
              <w:left w:val="single" w:sz="4" w:space="0" w:color="1A171C"/>
              <w:bottom w:val="single" w:sz="4" w:space="0" w:color="1A171C"/>
              <w:right w:val="nil"/>
            </w:tcBorders>
            <w:shd w:val="clear" w:color="auto" w:fill="E4E5E5"/>
          </w:tcPr>
          <w:p w14:paraId="7FE1D063" w14:textId="77777777" w:rsidR="00B81226" w:rsidRDefault="00B82AC2">
            <w:pPr>
              <w:pStyle w:val="P68B1DB1-TableParagraph17"/>
              <w:spacing w:before="108"/>
              <w:ind w:left="85" w:right="1"/>
            </w:pPr>
            <w:r>
              <w:t>Ohjeet</w:t>
            </w:r>
          </w:p>
        </w:tc>
      </w:tr>
      <w:tr w:rsidR="00B81226" w14:paraId="7FE1D068" w14:textId="77777777">
        <w:tc>
          <w:tcPr>
            <w:tcW w:w="1188" w:type="dxa"/>
            <w:tcBorders>
              <w:top w:val="single" w:sz="8" w:space="0" w:color="1A171C"/>
              <w:left w:val="nil"/>
              <w:bottom w:val="single" w:sz="8" w:space="0" w:color="1A171C"/>
              <w:right w:val="single" w:sz="8" w:space="0" w:color="1A171C"/>
            </w:tcBorders>
          </w:tcPr>
          <w:p w14:paraId="7FE1D065" w14:textId="77777777" w:rsidR="00B81226" w:rsidRDefault="00B82AC2">
            <w:pPr>
              <w:pStyle w:val="P68B1DB1-Normal31"/>
            </w:pPr>
            <w:r>
              <w:t>0010</w:t>
            </w:r>
          </w:p>
        </w:tc>
        <w:tc>
          <w:tcPr>
            <w:tcW w:w="7838" w:type="dxa"/>
            <w:gridSpan w:val="2"/>
            <w:tcBorders>
              <w:top w:val="single" w:sz="8" w:space="0" w:color="1A171C"/>
              <w:left w:val="single" w:sz="8" w:space="0" w:color="1A171C"/>
              <w:bottom w:val="single" w:sz="8" w:space="0" w:color="1A171C"/>
              <w:right w:val="nil"/>
            </w:tcBorders>
          </w:tcPr>
          <w:p w14:paraId="7FE1D066" w14:textId="6199DB93" w:rsidR="00B81226" w:rsidRDefault="00B82AC2">
            <w:pPr>
              <w:pStyle w:val="P68B1DB1-TableParagraph73"/>
              <w:spacing w:before="108"/>
              <w:ind w:left="85"/>
              <w:jc w:val="both"/>
              <w:rPr>
                <w:bCs/>
              </w:rPr>
            </w:pPr>
            <w:r>
              <w:t xml:space="preserve">NRO </w:t>
            </w:r>
          </w:p>
          <w:p w14:paraId="7FE1D067" w14:textId="43449971" w:rsidR="00B81226" w:rsidRDefault="00B82AC2">
            <w:pPr>
              <w:pStyle w:val="P68B1DB1-TableParagraph40"/>
              <w:spacing w:before="108"/>
              <w:ind w:left="85"/>
              <w:jc w:val="both"/>
            </w:pPr>
            <w:r>
              <w:t>Yksilöllinen numero/ensisijainen tunniste rivikohtien tunnistamiseen.</w:t>
            </w:r>
          </w:p>
        </w:tc>
      </w:tr>
      <w:tr w:rsidR="00B81226" w14:paraId="7FE1D06C" w14:textId="77777777">
        <w:tc>
          <w:tcPr>
            <w:tcW w:w="1188" w:type="dxa"/>
            <w:tcBorders>
              <w:top w:val="single" w:sz="8" w:space="0" w:color="1A171C"/>
              <w:left w:val="nil"/>
              <w:bottom w:val="single" w:sz="8" w:space="0" w:color="1A171C"/>
              <w:right w:val="single" w:sz="8" w:space="0" w:color="1A171C"/>
            </w:tcBorders>
          </w:tcPr>
          <w:p w14:paraId="7FE1D069" w14:textId="77777777" w:rsidR="00B81226" w:rsidRDefault="00B82AC2">
            <w:pPr>
              <w:pStyle w:val="P68B1DB1-Normal31"/>
            </w:pPr>
            <w:r>
              <w:t>0020</w:t>
            </w:r>
          </w:p>
        </w:tc>
        <w:tc>
          <w:tcPr>
            <w:tcW w:w="7838" w:type="dxa"/>
            <w:gridSpan w:val="2"/>
            <w:tcBorders>
              <w:top w:val="single" w:sz="8" w:space="0" w:color="1A171C"/>
              <w:left w:val="single" w:sz="8" w:space="0" w:color="1A171C"/>
              <w:bottom w:val="single" w:sz="8" w:space="0" w:color="1A171C"/>
              <w:right w:val="nil"/>
            </w:tcBorders>
          </w:tcPr>
          <w:p w14:paraId="7FE1D06A" w14:textId="7FE04A35" w:rsidR="00B81226" w:rsidRDefault="00B82AC2">
            <w:pPr>
              <w:pStyle w:val="P68B1DB1-TableParagraph73"/>
              <w:spacing w:before="108"/>
              <w:ind w:left="85"/>
              <w:jc w:val="both"/>
              <w:rPr>
                <w:bCs/>
              </w:rPr>
            </w:pPr>
            <w:r>
              <w:t xml:space="preserve">Rivi </w:t>
            </w:r>
          </w:p>
          <w:p w14:paraId="7FE1D06B" w14:textId="7887C3E1" w:rsidR="00B81226" w:rsidRDefault="00B82AC2">
            <w:pPr>
              <w:pStyle w:val="P68B1DB1-TableParagraph40"/>
              <w:spacing w:before="108"/>
              <w:ind w:left="85"/>
              <w:jc w:val="both"/>
            </w:pPr>
            <w:r>
              <w:lastRenderedPageBreak/>
              <w:t>Jokaisesta raportoidusta rivistä on esitettävä täsmäytys taulukon 02.00 velkarakenteen velkaluokkiin maturiteetin tasolla.Arvot valitaan valmiista luettelosta.</w:t>
            </w:r>
          </w:p>
        </w:tc>
      </w:tr>
      <w:tr w:rsidR="00B81226" w14:paraId="7FE1D070" w14:textId="77777777">
        <w:tc>
          <w:tcPr>
            <w:tcW w:w="1188" w:type="dxa"/>
            <w:tcBorders>
              <w:top w:val="single" w:sz="8" w:space="0" w:color="1A171C"/>
              <w:left w:val="nil"/>
              <w:bottom w:val="single" w:sz="8" w:space="0" w:color="1A171C"/>
              <w:right w:val="single" w:sz="8" w:space="0" w:color="1A171C"/>
            </w:tcBorders>
          </w:tcPr>
          <w:p w14:paraId="7FE1D06D" w14:textId="77777777" w:rsidR="00B81226" w:rsidRDefault="00B82AC2">
            <w:pPr>
              <w:pStyle w:val="P68B1DB1-Normal31"/>
            </w:pPr>
            <w:r>
              <w:lastRenderedPageBreak/>
              <w:t>0025</w:t>
            </w:r>
          </w:p>
        </w:tc>
        <w:tc>
          <w:tcPr>
            <w:tcW w:w="7838" w:type="dxa"/>
            <w:gridSpan w:val="2"/>
            <w:tcBorders>
              <w:top w:val="single" w:sz="8" w:space="0" w:color="1A171C"/>
              <w:left w:val="single" w:sz="8" w:space="0" w:color="1A171C"/>
              <w:bottom w:val="single" w:sz="8" w:space="0" w:color="1A171C"/>
              <w:right w:val="nil"/>
            </w:tcBorders>
          </w:tcPr>
          <w:p w14:paraId="7FE1D06E" w14:textId="77777777" w:rsidR="00B81226" w:rsidRDefault="00B82AC2">
            <w:pPr>
              <w:pStyle w:val="P68B1DB1-TableParagraph73"/>
              <w:spacing w:before="108"/>
              <w:ind w:left="85"/>
              <w:jc w:val="both"/>
              <w:rPr>
                <w:bCs/>
              </w:rPr>
            </w:pPr>
            <w:r>
              <w:t xml:space="preserve">Sarake </w:t>
            </w:r>
          </w:p>
          <w:p w14:paraId="7FE1D06F" w14:textId="34DE133F" w:rsidR="00B81226" w:rsidRDefault="00B82AC2">
            <w:pPr>
              <w:pStyle w:val="P68B1DB1-TableParagraph40"/>
              <w:spacing w:before="108"/>
              <w:ind w:left="85"/>
              <w:jc w:val="both"/>
            </w:pPr>
            <w:r>
              <w:t>Jokaisesta raportoidusta rivistä on esitettävä täsmäytys taulukon 02.00 siihen vastapuoliluokkaan, johon talletus on maksettava.Arvot valitaan valmiista luettelosta.</w:t>
            </w:r>
          </w:p>
        </w:tc>
      </w:tr>
      <w:tr w:rsidR="00B81226" w14:paraId="7FE1D074" w14:textId="77777777">
        <w:tc>
          <w:tcPr>
            <w:tcW w:w="1188" w:type="dxa"/>
            <w:tcBorders>
              <w:top w:val="single" w:sz="8" w:space="0" w:color="1A171C"/>
              <w:left w:val="nil"/>
              <w:bottom w:val="single" w:sz="8" w:space="0" w:color="1A171C"/>
              <w:right w:val="single" w:sz="8" w:space="0" w:color="1A171C"/>
            </w:tcBorders>
          </w:tcPr>
          <w:p w14:paraId="7FE1D071" w14:textId="77777777" w:rsidR="00B81226" w:rsidRDefault="00B82AC2">
            <w:pPr>
              <w:pStyle w:val="P68B1DB1-Normal31"/>
            </w:pPr>
            <w:r>
              <w:t>0030</w:t>
            </w:r>
          </w:p>
        </w:tc>
        <w:tc>
          <w:tcPr>
            <w:tcW w:w="7838" w:type="dxa"/>
            <w:gridSpan w:val="2"/>
            <w:tcBorders>
              <w:top w:val="single" w:sz="8" w:space="0" w:color="1A171C"/>
              <w:left w:val="single" w:sz="8" w:space="0" w:color="1A171C"/>
              <w:bottom w:val="single" w:sz="8" w:space="0" w:color="1A171C"/>
              <w:right w:val="nil"/>
            </w:tcBorders>
          </w:tcPr>
          <w:p w14:paraId="7FE1D072" w14:textId="6120A697" w:rsidR="00B81226" w:rsidRDefault="00B82AC2">
            <w:pPr>
              <w:pStyle w:val="P68B1DB1-TableParagraph73"/>
              <w:spacing w:before="108"/>
              <w:ind w:left="85"/>
              <w:jc w:val="both"/>
              <w:rPr>
                <w:bCs/>
              </w:rPr>
            </w:pPr>
            <w:r>
              <w:t xml:space="preserve">Maksukyvyttömyysluokka  </w:t>
            </w:r>
          </w:p>
          <w:p w14:paraId="7FE1D073" w14:textId="3CA3DC07" w:rsidR="00B81226" w:rsidRDefault="00B82AC2">
            <w:pPr>
              <w:pStyle w:val="P68B1DB1-TableParagraph40"/>
              <w:spacing w:before="108"/>
              <w:ind w:left="85"/>
              <w:jc w:val="both"/>
            </w:pPr>
            <w:r>
              <w:t>Maksukyvyttömyysluokan on oltava jokin kyseisen lainkäyttöalueen kriisinratkaisuviranomaisen julkaisemiin maksukyvyttömyysluokituksiin kuuluvista luokista.</w:t>
            </w:r>
          </w:p>
        </w:tc>
      </w:tr>
      <w:tr w:rsidR="00B81226" w14:paraId="7FE1D078" w14:textId="77777777">
        <w:tc>
          <w:tcPr>
            <w:tcW w:w="1188" w:type="dxa"/>
            <w:tcBorders>
              <w:top w:val="single" w:sz="8" w:space="0" w:color="1A171C"/>
              <w:left w:val="nil"/>
              <w:bottom w:val="single" w:sz="8" w:space="0" w:color="1A171C"/>
              <w:right w:val="single" w:sz="8" w:space="0" w:color="1A171C"/>
            </w:tcBorders>
          </w:tcPr>
          <w:p w14:paraId="7FE1D075" w14:textId="77777777" w:rsidR="00B81226" w:rsidRDefault="00B82AC2">
            <w:pPr>
              <w:pStyle w:val="P68B1DB1-Normal31"/>
            </w:pPr>
            <w:r>
              <w:t>0035</w:t>
            </w:r>
          </w:p>
        </w:tc>
        <w:tc>
          <w:tcPr>
            <w:tcW w:w="7838" w:type="dxa"/>
            <w:gridSpan w:val="2"/>
            <w:tcBorders>
              <w:top w:val="single" w:sz="8" w:space="0" w:color="1A171C"/>
              <w:left w:val="single" w:sz="8" w:space="0" w:color="1A171C"/>
              <w:bottom w:val="single" w:sz="8" w:space="0" w:color="1A171C"/>
              <w:right w:val="nil"/>
            </w:tcBorders>
          </w:tcPr>
          <w:p w14:paraId="7FE1D076" w14:textId="77777777" w:rsidR="00B81226" w:rsidRDefault="00B82AC2">
            <w:pPr>
              <w:pStyle w:val="P68B1DB1-TableParagraph73"/>
              <w:spacing w:before="108"/>
              <w:ind w:left="85"/>
              <w:jc w:val="both"/>
              <w:rPr>
                <w:bCs/>
              </w:rPr>
            </w:pPr>
            <w:r>
              <w:t xml:space="preserve">Sopimuksen tunniste </w:t>
            </w:r>
          </w:p>
          <w:p w14:paraId="7FE1D077" w14:textId="77777777" w:rsidR="00B81226" w:rsidRDefault="00B82AC2">
            <w:pPr>
              <w:pStyle w:val="P68B1DB1-TableParagraph40"/>
              <w:spacing w:before="108"/>
              <w:ind w:left="85"/>
              <w:jc w:val="both"/>
            </w:pPr>
            <w:r>
              <w:t>Sopimuksen sisäinen tunniste.</w:t>
            </w:r>
          </w:p>
        </w:tc>
      </w:tr>
      <w:tr w:rsidR="00B81226" w14:paraId="7FE1D07C" w14:textId="77777777">
        <w:tc>
          <w:tcPr>
            <w:tcW w:w="1188" w:type="dxa"/>
            <w:vMerge w:val="restart"/>
            <w:tcBorders>
              <w:top w:val="single" w:sz="8" w:space="0" w:color="1A171C"/>
              <w:left w:val="nil"/>
              <w:bottom w:val="single" w:sz="8" w:space="0" w:color="1A171C"/>
              <w:right w:val="single" w:sz="8" w:space="0" w:color="1A171C"/>
            </w:tcBorders>
          </w:tcPr>
          <w:p w14:paraId="7FE1D079" w14:textId="77777777" w:rsidR="00B81226" w:rsidRDefault="00B82AC2">
            <w:pPr>
              <w:pStyle w:val="P68B1DB1-Normal31"/>
            </w:pPr>
            <w:r>
              <w:t>0040</w:t>
            </w:r>
          </w:p>
        </w:tc>
        <w:tc>
          <w:tcPr>
            <w:tcW w:w="7838" w:type="dxa"/>
            <w:gridSpan w:val="2"/>
            <w:tcBorders>
              <w:top w:val="single" w:sz="8" w:space="0" w:color="1A171C"/>
              <w:left w:val="single" w:sz="8" w:space="0" w:color="1A171C"/>
              <w:right w:val="nil"/>
            </w:tcBorders>
          </w:tcPr>
          <w:p w14:paraId="7FE1D07A" w14:textId="0FCA0B78" w:rsidR="00B81226" w:rsidRDefault="00B82AC2">
            <w:pPr>
              <w:pStyle w:val="P68B1DB1-TableParagraph73"/>
              <w:spacing w:before="108"/>
              <w:ind w:left="85"/>
              <w:jc w:val="both"/>
              <w:rPr>
                <w:bCs/>
              </w:rPr>
            </w:pPr>
            <w:r>
              <w:t xml:space="preserve">Vastapuolen tunniste  </w:t>
            </w:r>
          </w:p>
          <w:p w14:paraId="7FE1D07B" w14:textId="67D0F26D" w:rsidR="00B81226" w:rsidRDefault="00B82AC2">
            <w:pPr>
              <w:pStyle w:val="P68B1DB1-TableParagraph40"/>
              <w:spacing w:before="108"/>
              <w:ind w:left="85"/>
              <w:jc w:val="both"/>
            </w:pPr>
            <w:r>
              <w:t xml:space="preserve">Ilmoita tallettajan LEI-tunnus. Jos oikeushenkilötunnusta ei ole, pankkien raporteissa käytetään RIAD-tietokannassa käytettyä EKP:n rahalaitosten tunnistetta (MFI ID). Sisäistä tunnistetta voidaan käyttää ainoastaan siinä tapauksessa, ettei kumpaakaan näistä tunnisteista ole (yhdestä vastapuolesta saa käyttää vain yhtä yksilöllistä tunnistetta). </w:t>
            </w:r>
          </w:p>
        </w:tc>
      </w:tr>
      <w:tr w:rsidR="00B81226" w14:paraId="7FE1D07F" w14:textId="77777777">
        <w:tc>
          <w:tcPr>
            <w:tcW w:w="1188" w:type="dxa"/>
            <w:vMerge/>
            <w:tcBorders>
              <w:bottom w:val="single" w:sz="4" w:space="0" w:color="auto"/>
              <w:right w:val="single" w:sz="8" w:space="0" w:color="1A171C"/>
            </w:tcBorders>
            <w:vAlign w:val="center"/>
          </w:tcPr>
          <w:p w14:paraId="7FE1D07D" w14:textId="77777777" w:rsidR="00B81226" w:rsidRDefault="00B81226">
            <w:pPr>
              <w:rPr>
                <w:rFonts w:ascii="Times New Roman" w:hAnsi="Times New Roman" w:cs="Times New Roman"/>
              </w:rPr>
            </w:pPr>
          </w:p>
        </w:tc>
        <w:tc>
          <w:tcPr>
            <w:tcW w:w="7838" w:type="dxa"/>
            <w:gridSpan w:val="2"/>
            <w:tcBorders>
              <w:left w:val="single" w:sz="8" w:space="0" w:color="1A171C"/>
              <w:bottom w:val="single" w:sz="4" w:space="0" w:color="auto"/>
              <w:right w:val="nil"/>
            </w:tcBorders>
          </w:tcPr>
          <w:p w14:paraId="7FE1D07E" w14:textId="17BB416A" w:rsidR="00B81226" w:rsidRDefault="00B82AC2">
            <w:pPr>
              <w:pStyle w:val="P68B1DB1-TableParagraph40"/>
              <w:spacing w:before="108"/>
              <w:ind w:left="85"/>
              <w:jc w:val="both"/>
            </w:pPr>
            <w:r>
              <w:t>Yhteenlaskettuna ilmoitettujen talletusten osalta merkitään ”0000”, koska tämä kenttä on pakollinen.</w:t>
            </w:r>
          </w:p>
        </w:tc>
      </w:tr>
      <w:tr w:rsidR="00B81226" w14:paraId="7FE1D083" w14:textId="77777777">
        <w:tc>
          <w:tcPr>
            <w:tcW w:w="1188" w:type="dxa"/>
            <w:vMerge w:val="restart"/>
            <w:tcBorders>
              <w:top w:val="single" w:sz="4" w:space="0" w:color="auto"/>
              <w:left w:val="nil"/>
              <w:bottom w:val="single" w:sz="8" w:space="0" w:color="1A171C"/>
              <w:right w:val="single" w:sz="4" w:space="0" w:color="auto"/>
            </w:tcBorders>
          </w:tcPr>
          <w:p w14:paraId="7FE1D080" w14:textId="77777777" w:rsidR="00B81226" w:rsidRDefault="00B82AC2">
            <w:pPr>
              <w:pStyle w:val="P68B1DB1-Normal31"/>
            </w:pPr>
            <w:r>
              <w:t>0045</w:t>
            </w:r>
          </w:p>
        </w:tc>
        <w:tc>
          <w:tcPr>
            <w:tcW w:w="7838" w:type="dxa"/>
            <w:gridSpan w:val="2"/>
            <w:tcBorders>
              <w:top w:val="single" w:sz="4" w:space="0" w:color="auto"/>
              <w:left w:val="single" w:sz="4" w:space="0" w:color="auto"/>
            </w:tcBorders>
          </w:tcPr>
          <w:p w14:paraId="7FE1D081" w14:textId="05C93935" w:rsidR="00B81226" w:rsidRDefault="00B82AC2">
            <w:pPr>
              <w:pStyle w:val="P68B1DB1-TableParagraph73"/>
              <w:spacing w:before="108"/>
              <w:ind w:left="85"/>
              <w:jc w:val="both"/>
              <w:rPr>
                <w:bCs/>
              </w:rPr>
            </w:pPr>
            <w:r>
              <w:t xml:space="preserve">Tunnustyyppi </w:t>
            </w:r>
          </w:p>
          <w:p w14:paraId="7FE1D082" w14:textId="77777777" w:rsidR="00B81226" w:rsidRDefault="00B82AC2">
            <w:pPr>
              <w:pStyle w:val="P68B1DB1-TableParagraph40"/>
              <w:spacing w:before="108"/>
              <w:ind w:left="85"/>
              <w:jc w:val="both"/>
            </w:pPr>
            <w:r>
              <w:t>Tässä on valittava seuraavista vaihtoehdoista: LEI-tunnus, MFI-tunnus tai muu tunnisteen tyyppi kuin LEI- tai MFI-tunnus</w:t>
            </w:r>
          </w:p>
        </w:tc>
      </w:tr>
      <w:tr w:rsidR="00B81226" w14:paraId="7FE1D086" w14:textId="77777777">
        <w:tc>
          <w:tcPr>
            <w:tcW w:w="1188" w:type="dxa"/>
            <w:vMerge/>
            <w:tcBorders>
              <w:top w:val="single" w:sz="8" w:space="0" w:color="1A171C"/>
              <w:bottom w:val="single" w:sz="4" w:space="0" w:color="auto"/>
              <w:right w:val="single" w:sz="4" w:space="0" w:color="auto"/>
            </w:tcBorders>
            <w:vAlign w:val="center"/>
          </w:tcPr>
          <w:p w14:paraId="7FE1D084" w14:textId="77777777" w:rsidR="00B81226" w:rsidRDefault="00B81226">
            <w:pPr>
              <w:rPr>
                <w:rFonts w:ascii="Times New Roman" w:eastAsia="Times New Roman" w:hAnsi="Times New Roman" w:cs="Times New Roman"/>
                <w:sz w:val="20"/>
                <w:szCs w:val="20"/>
              </w:rPr>
            </w:pPr>
          </w:p>
        </w:tc>
        <w:tc>
          <w:tcPr>
            <w:tcW w:w="7838" w:type="dxa"/>
            <w:gridSpan w:val="2"/>
            <w:tcBorders>
              <w:left w:val="single" w:sz="4" w:space="0" w:color="auto"/>
              <w:bottom w:val="single" w:sz="4" w:space="0" w:color="auto"/>
            </w:tcBorders>
          </w:tcPr>
          <w:p w14:paraId="7FE1D085" w14:textId="2249F5A9" w:rsidR="00B81226" w:rsidRDefault="00B82AC2">
            <w:pPr>
              <w:pStyle w:val="P68B1DB1-TableParagraph40"/>
              <w:spacing w:before="108"/>
              <w:ind w:left="85"/>
              <w:jc w:val="both"/>
            </w:pPr>
            <w:r>
              <w:t>Aggregoidulla tasolla raportoiduista talletuksista ilmoitetaan ”Tyypin tyyppi, muu kuin LEI-tunnus tai rahalaitoskoodi”.</w:t>
            </w:r>
          </w:p>
        </w:tc>
      </w:tr>
      <w:tr w:rsidR="00B81226" w14:paraId="7FE1D08A" w14:textId="77777777">
        <w:tc>
          <w:tcPr>
            <w:tcW w:w="1188" w:type="dxa"/>
            <w:tcBorders>
              <w:top w:val="single" w:sz="4" w:space="0" w:color="auto"/>
              <w:left w:val="nil"/>
              <w:bottom w:val="single" w:sz="8" w:space="0" w:color="1A171C"/>
              <w:right w:val="single" w:sz="8" w:space="0" w:color="1A171C"/>
            </w:tcBorders>
          </w:tcPr>
          <w:p w14:paraId="7FE1D087" w14:textId="77777777" w:rsidR="00B81226" w:rsidRDefault="00B82AC2">
            <w:pPr>
              <w:pStyle w:val="P68B1DB1-Normal31"/>
            </w:pPr>
            <w:r>
              <w:t xml:space="preserve"> 005</w:t>
            </w:r>
          </w:p>
        </w:tc>
        <w:tc>
          <w:tcPr>
            <w:tcW w:w="7838" w:type="dxa"/>
            <w:gridSpan w:val="2"/>
            <w:tcBorders>
              <w:top w:val="single" w:sz="4" w:space="0" w:color="auto"/>
              <w:left w:val="single" w:sz="8" w:space="0" w:color="1A171C"/>
              <w:bottom w:val="single" w:sz="8" w:space="0" w:color="1A171C"/>
              <w:right w:val="nil"/>
            </w:tcBorders>
          </w:tcPr>
          <w:p w14:paraId="7FE1D088" w14:textId="70C0260E" w:rsidR="00B81226" w:rsidRDefault="00B82AC2">
            <w:pPr>
              <w:pStyle w:val="P68B1DB1-TableParagraph73"/>
              <w:spacing w:before="108"/>
              <w:ind w:left="85"/>
              <w:jc w:val="both"/>
              <w:rPr>
                <w:bCs/>
              </w:rPr>
            </w:pPr>
            <w:r>
              <w:t xml:space="preserve">Sovellet-tava lainsää-däntö  </w:t>
            </w:r>
          </w:p>
          <w:p w14:paraId="7FE1D089" w14:textId="1A451092" w:rsidR="00B81226" w:rsidRDefault="00B82AC2">
            <w:pPr>
              <w:pStyle w:val="P68B1DB1-TableParagraph40"/>
              <w:spacing w:before="108"/>
              <w:ind w:left="85"/>
              <w:jc w:val="both"/>
            </w:pPr>
            <w:r>
              <w:t>Sen maan ISO 3166–1 alpha-2 -koodi, jonka lakia instrumenttiin sovelletaan (käytetään ISO 3166–2 -koodia, kun hallinnollisen alajaon laki on relevantti, esim. ”US-NY”). Jos sopimukseen sovelletaan useamman kuin yhden maan lakia, ilmoitetaan maa, jonka laki on merkityksellisin velkakirjojen arvon alaskirjaus- ja muuntamisvaltuuksien tunnustamisen osalta.  Talletuksista, jotka ilmoitetaan yhdistetysti, käytetään merkintää ”muut maat”.</w:t>
            </w:r>
          </w:p>
        </w:tc>
      </w:tr>
      <w:tr w:rsidR="00B81226" w14:paraId="7FE1D08E" w14:textId="77777777">
        <w:tc>
          <w:tcPr>
            <w:tcW w:w="1188" w:type="dxa"/>
            <w:tcBorders>
              <w:top w:val="single" w:sz="8" w:space="0" w:color="1A171C"/>
              <w:left w:val="nil"/>
              <w:bottom w:val="single" w:sz="8" w:space="0" w:color="1A171C"/>
              <w:right w:val="single" w:sz="8" w:space="0" w:color="1A171C"/>
            </w:tcBorders>
          </w:tcPr>
          <w:p w14:paraId="7FE1D08B" w14:textId="77777777" w:rsidR="00B81226" w:rsidRDefault="00B82AC2">
            <w:pPr>
              <w:pStyle w:val="P68B1DB1-Normal31"/>
            </w:pPr>
            <w:r>
              <w:t>0060</w:t>
            </w:r>
          </w:p>
        </w:tc>
        <w:tc>
          <w:tcPr>
            <w:tcW w:w="7838" w:type="dxa"/>
            <w:gridSpan w:val="2"/>
            <w:tcBorders>
              <w:top w:val="single" w:sz="8" w:space="0" w:color="1A171C"/>
              <w:left w:val="single" w:sz="8" w:space="0" w:color="1A171C"/>
              <w:bottom w:val="single" w:sz="8" w:space="0" w:color="1A171C"/>
              <w:right w:val="nil"/>
            </w:tcBorders>
          </w:tcPr>
          <w:p w14:paraId="7FE1D08C" w14:textId="77777777" w:rsidR="00B81226" w:rsidRDefault="00B82AC2">
            <w:pPr>
              <w:pStyle w:val="P68B1DB1-TableParagraph73"/>
              <w:spacing w:before="108"/>
              <w:ind w:left="85"/>
              <w:jc w:val="both"/>
              <w:rPr>
                <w:bCs/>
              </w:rPr>
            </w:pPr>
            <w:r>
              <w:t xml:space="preserve">Valuutta  </w:t>
            </w:r>
          </w:p>
          <w:p w14:paraId="7FE1D08D" w14:textId="3FCE0053" w:rsidR="00B81226" w:rsidRDefault="00B82AC2">
            <w:pPr>
              <w:pStyle w:val="P68B1DB1-TableParagraph40"/>
              <w:spacing w:before="108"/>
              <w:ind w:left="85"/>
              <w:jc w:val="both"/>
            </w:pPr>
            <w:r>
              <w:t>Talletuksen valuutta sen kolmikirjaimisen ISO 4217 -koodin mukaisesti. Talletuksista, jotka ilmoitetaan yhdistetysti, käytetään merkintää ”XXX”.</w:t>
            </w:r>
          </w:p>
        </w:tc>
      </w:tr>
      <w:tr w:rsidR="00B81226" w14:paraId="7FE1D092" w14:textId="77777777">
        <w:tc>
          <w:tcPr>
            <w:tcW w:w="1188" w:type="dxa"/>
            <w:tcBorders>
              <w:top w:val="single" w:sz="8" w:space="0" w:color="1A171C"/>
              <w:left w:val="nil"/>
              <w:bottom w:val="single" w:sz="8" w:space="0" w:color="1A171C"/>
              <w:right w:val="single" w:sz="8" w:space="0" w:color="1A171C"/>
            </w:tcBorders>
          </w:tcPr>
          <w:p w14:paraId="7FE1D08F" w14:textId="77777777" w:rsidR="00B81226" w:rsidRDefault="00B82AC2">
            <w:pPr>
              <w:pStyle w:val="P68B1DB1-Normal31"/>
            </w:pPr>
            <w:r>
              <w:t>0070</w:t>
            </w:r>
          </w:p>
        </w:tc>
        <w:tc>
          <w:tcPr>
            <w:tcW w:w="7838" w:type="dxa"/>
            <w:gridSpan w:val="2"/>
            <w:tcBorders>
              <w:top w:val="single" w:sz="8" w:space="0" w:color="1A171C"/>
              <w:left w:val="single" w:sz="8" w:space="0" w:color="1A171C"/>
              <w:bottom w:val="single" w:sz="8" w:space="0" w:color="1A171C"/>
              <w:right w:val="nil"/>
            </w:tcBorders>
          </w:tcPr>
          <w:p w14:paraId="7FE1D090" w14:textId="5CEF44E5" w:rsidR="00B81226" w:rsidRDefault="00B82AC2">
            <w:pPr>
              <w:pStyle w:val="P68B1DB1-TableParagraph73"/>
              <w:spacing w:before="108"/>
              <w:ind w:left="85"/>
              <w:jc w:val="both"/>
              <w:rPr>
                <w:bCs/>
              </w:rPr>
            </w:pPr>
            <w:r>
              <w:t xml:space="preserve">Maksamatta oleva pääoman määrä  </w:t>
            </w:r>
          </w:p>
          <w:p w14:paraId="7FE1D091" w14:textId="6232EFBD" w:rsidR="00B81226" w:rsidRDefault="00B82AC2">
            <w:pPr>
              <w:pStyle w:val="P68B1DB1-TableParagraph40"/>
              <w:spacing w:before="108"/>
              <w:ind w:left="85"/>
              <w:jc w:val="both"/>
            </w:pPr>
            <w:r>
              <w:t>Talletuksen jäljellä oleva pääoma.</w:t>
            </w:r>
          </w:p>
        </w:tc>
      </w:tr>
      <w:tr w:rsidR="00B81226" w14:paraId="7FE1D096" w14:textId="77777777">
        <w:tc>
          <w:tcPr>
            <w:tcW w:w="1188" w:type="dxa"/>
            <w:tcBorders>
              <w:top w:val="single" w:sz="8" w:space="0" w:color="1A171C"/>
              <w:left w:val="nil"/>
              <w:bottom w:val="single" w:sz="8" w:space="0" w:color="1A171C"/>
              <w:right w:val="single" w:sz="8" w:space="0" w:color="1A171C"/>
            </w:tcBorders>
          </w:tcPr>
          <w:p w14:paraId="7FE1D093" w14:textId="77777777" w:rsidR="00B81226" w:rsidRDefault="00B82AC2">
            <w:pPr>
              <w:pStyle w:val="P68B1DB1-Normal31"/>
            </w:pPr>
            <w:r>
              <w:t>0080</w:t>
            </w:r>
          </w:p>
        </w:tc>
        <w:tc>
          <w:tcPr>
            <w:tcW w:w="7838" w:type="dxa"/>
            <w:gridSpan w:val="2"/>
            <w:tcBorders>
              <w:top w:val="single" w:sz="8" w:space="0" w:color="1A171C"/>
              <w:left w:val="single" w:sz="8" w:space="0" w:color="1A171C"/>
              <w:bottom w:val="single" w:sz="8" w:space="0" w:color="1A171C"/>
              <w:right w:val="nil"/>
            </w:tcBorders>
          </w:tcPr>
          <w:p w14:paraId="7FE1D094" w14:textId="57240ABD" w:rsidR="00B81226" w:rsidRDefault="00B82AC2">
            <w:pPr>
              <w:pStyle w:val="P68B1DB1-TableParagraph73"/>
              <w:spacing w:before="108"/>
              <w:ind w:left="85"/>
              <w:jc w:val="both"/>
              <w:rPr>
                <w:bCs/>
              </w:rPr>
            </w:pPr>
            <w:r>
              <w:t xml:space="preserve">Kertynyt korko </w:t>
            </w:r>
          </w:p>
          <w:p w14:paraId="7FE1D095" w14:textId="1CBCCFC7" w:rsidR="00B81226" w:rsidRDefault="00B82AC2">
            <w:pPr>
              <w:pStyle w:val="P68B1DB1-TableParagraph40"/>
              <w:spacing w:before="108"/>
              <w:ind w:left="85"/>
              <w:jc w:val="both"/>
            </w:pPr>
            <w:r>
              <w:t>Talletuksesta kertyneet korot.</w:t>
            </w:r>
          </w:p>
        </w:tc>
      </w:tr>
      <w:tr w:rsidR="00B81226" w14:paraId="7FE1D09A" w14:textId="77777777">
        <w:tc>
          <w:tcPr>
            <w:tcW w:w="1188" w:type="dxa"/>
            <w:tcBorders>
              <w:top w:val="single" w:sz="8" w:space="0" w:color="1A171C"/>
              <w:left w:val="nil"/>
              <w:bottom w:val="single" w:sz="8" w:space="0" w:color="1A171C"/>
              <w:right w:val="single" w:sz="8" w:space="0" w:color="1A171C"/>
            </w:tcBorders>
          </w:tcPr>
          <w:p w14:paraId="7FE1D097" w14:textId="77777777" w:rsidR="00B81226" w:rsidRDefault="00B82AC2">
            <w:pPr>
              <w:pStyle w:val="P68B1DB1-Normal31"/>
            </w:pPr>
            <w:r>
              <w:t>0090</w:t>
            </w:r>
          </w:p>
        </w:tc>
        <w:tc>
          <w:tcPr>
            <w:tcW w:w="7838" w:type="dxa"/>
            <w:gridSpan w:val="2"/>
            <w:tcBorders>
              <w:top w:val="single" w:sz="8" w:space="0" w:color="1A171C"/>
              <w:left w:val="single" w:sz="8" w:space="0" w:color="1A171C"/>
              <w:bottom w:val="single" w:sz="8" w:space="0" w:color="1A171C"/>
              <w:right w:val="nil"/>
            </w:tcBorders>
          </w:tcPr>
          <w:p w14:paraId="7FE1D098" w14:textId="52C2978C" w:rsidR="00B81226" w:rsidRDefault="00B82AC2">
            <w:pPr>
              <w:pStyle w:val="P68B1DB1-TableParagraph73"/>
              <w:spacing w:before="108"/>
              <w:ind w:left="85"/>
              <w:jc w:val="both"/>
              <w:rPr>
                <w:bCs/>
              </w:rPr>
            </w:pPr>
            <w:r>
              <w:t xml:space="preserve">Nykyinen korko (%). </w:t>
            </w:r>
          </w:p>
          <w:p w14:paraId="7FE1D099" w14:textId="0E3CB279" w:rsidR="00B81226" w:rsidRDefault="00B82AC2">
            <w:pPr>
              <w:pStyle w:val="P68B1DB1-TableParagraph40"/>
              <w:spacing w:before="108"/>
              <w:ind w:left="85"/>
              <w:jc w:val="both"/>
            </w:pPr>
            <w:r>
              <w:t xml:space="preserve">Talletukseen sovellettavan koron nykyinen taso. </w:t>
            </w:r>
          </w:p>
        </w:tc>
      </w:tr>
      <w:tr w:rsidR="00B81226" w14:paraId="7FE1D0A3" w14:textId="77777777">
        <w:tc>
          <w:tcPr>
            <w:tcW w:w="1188" w:type="dxa"/>
            <w:tcBorders>
              <w:top w:val="single" w:sz="8" w:space="0" w:color="1A171C"/>
              <w:left w:val="nil"/>
              <w:bottom w:val="single" w:sz="8" w:space="0" w:color="1A171C"/>
              <w:right w:val="single" w:sz="8" w:space="0" w:color="1A171C"/>
            </w:tcBorders>
          </w:tcPr>
          <w:p w14:paraId="7FE1D09F" w14:textId="77777777" w:rsidR="00B81226" w:rsidRDefault="00B82AC2">
            <w:pPr>
              <w:pStyle w:val="P68B1DB1-TableParagraph40"/>
              <w:spacing w:before="108"/>
              <w:ind w:left="85"/>
              <w:jc w:val="both"/>
            </w:pPr>
            <w:r>
              <w:t>0110</w:t>
            </w:r>
          </w:p>
        </w:tc>
        <w:tc>
          <w:tcPr>
            <w:tcW w:w="7838" w:type="dxa"/>
            <w:gridSpan w:val="2"/>
            <w:tcBorders>
              <w:top w:val="single" w:sz="8" w:space="0" w:color="1A171C"/>
              <w:left w:val="single" w:sz="8" w:space="0" w:color="1A171C"/>
              <w:bottom w:val="single" w:sz="8" w:space="0" w:color="1A171C"/>
              <w:right w:val="nil"/>
            </w:tcBorders>
          </w:tcPr>
          <w:p w14:paraId="7FE1D0A0" w14:textId="6354C873" w:rsidR="00B81226" w:rsidRDefault="00B82AC2">
            <w:pPr>
              <w:pStyle w:val="P68B1DB1-TableParagraph73"/>
              <w:spacing w:before="108"/>
              <w:ind w:left="85"/>
              <w:jc w:val="both"/>
              <w:rPr>
                <w:bCs/>
              </w:rPr>
            </w:pPr>
            <w:r>
              <w:t xml:space="preserve">Takauksen, pantin tai vakuuden määrä </w:t>
            </w:r>
          </w:p>
          <w:p w14:paraId="7FE1D0A2" w14:textId="5FFC3F02" w:rsidR="00B81226" w:rsidRDefault="00B82AC2">
            <w:pPr>
              <w:pStyle w:val="P68B1DB1-TableParagraph40"/>
              <w:spacing w:before="108"/>
              <w:ind w:left="85"/>
              <w:jc w:val="both"/>
            </w:pPr>
            <w:r>
              <w:t>Jos velasta on annettu takaus, pantti tai vakuus, sen bruttomarkkina-arvo on ilmoitettava. Muussa tapauksessa vakuudettomien velkojen osalta tämä luokka ilmoitetaan nollana. Tämä määrä määrittää vakuudellisen talletuksen vakuudellisen ja mahdollisesti vakuudettoman osan. Jos vakuuspoolin vakuudet koskevat useita rivikohtia, määritä kokonaiskattavuus ja sovella määräsuhteen mukaisesti kaikkiin tämän poolin kattamiin rivikohtiin.</w:t>
            </w:r>
          </w:p>
        </w:tc>
      </w:tr>
      <w:tr w:rsidR="00B81226" w14:paraId="7FE1D0A7" w14:textId="77777777">
        <w:tc>
          <w:tcPr>
            <w:tcW w:w="1188" w:type="dxa"/>
            <w:tcBorders>
              <w:top w:val="single" w:sz="8" w:space="0" w:color="1A171C"/>
              <w:left w:val="nil"/>
              <w:bottom w:val="single" w:sz="8" w:space="0" w:color="1A171C"/>
              <w:right w:val="single" w:sz="8" w:space="0" w:color="1A171C"/>
            </w:tcBorders>
          </w:tcPr>
          <w:p w14:paraId="7FE1D0A4" w14:textId="77777777" w:rsidR="00B81226" w:rsidRDefault="00B82AC2">
            <w:pPr>
              <w:pStyle w:val="P68B1DB1-Normal31"/>
            </w:pPr>
            <w:r>
              <w:t>0115</w:t>
            </w:r>
          </w:p>
        </w:tc>
        <w:tc>
          <w:tcPr>
            <w:tcW w:w="7838" w:type="dxa"/>
            <w:gridSpan w:val="2"/>
            <w:tcBorders>
              <w:top w:val="single" w:sz="8" w:space="0" w:color="1A171C"/>
              <w:left w:val="single" w:sz="8" w:space="0" w:color="1A171C"/>
              <w:bottom w:val="single" w:sz="8" w:space="0" w:color="1A171C"/>
              <w:right w:val="nil"/>
            </w:tcBorders>
          </w:tcPr>
          <w:p w14:paraId="7FE1D0A5" w14:textId="6B0A15B4" w:rsidR="00B81226" w:rsidRDefault="00B82AC2">
            <w:pPr>
              <w:pStyle w:val="P68B1DB1-TableParagraph73"/>
              <w:spacing w:before="108"/>
              <w:ind w:left="85"/>
              <w:jc w:val="both"/>
              <w:rPr>
                <w:bCs/>
              </w:rPr>
            </w:pPr>
            <w:r>
              <w:t xml:space="preserve">Määrä täyttää omia varoja ja hyväksyttäviä velkoja koskevan vähimmäisvaatimuksen </w:t>
            </w:r>
            <w:r>
              <w:lastRenderedPageBreak/>
              <w:t xml:space="preserve">ehdot </w:t>
            </w:r>
          </w:p>
          <w:p w14:paraId="7FE1D0A6" w14:textId="65380CFA" w:rsidR="00B81226" w:rsidRDefault="00B82AC2">
            <w:pPr>
              <w:pStyle w:val="P68B1DB1-TableParagraph40"/>
              <w:spacing w:before="108"/>
              <w:ind w:left="85"/>
              <w:jc w:val="both"/>
            </w:pPr>
            <w:r>
              <w:t>Direktiivin 2014/59/EU 45 artiklan 1 kohdan mukaisesti asetetun vaatimuksen täyttämiseksi huomioon otettava omien varojen ja hyväksyttävien velkojen määrä.</w:t>
            </w:r>
          </w:p>
        </w:tc>
      </w:tr>
      <w:tr w:rsidR="00B81226" w14:paraId="7FE1D0AB" w14:textId="77777777">
        <w:tc>
          <w:tcPr>
            <w:tcW w:w="1188" w:type="dxa"/>
            <w:tcBorders>
              <w:top w:val="single" w:sz="8" w:space="0" w:color="1A171C"/>
              <w:left w:val="nil"/>
              <w:bottom w:val="single" w:sz="8" w:space="0" w:color="1A171C"/>
              <w:right w:val="single" w:sz="8" w:space="0" w:color="1A171C"/>
            </w:tcBorders>
          </w:tcPr>
          <w:p w14:paraId="7FE1D0A8" w14:textId="77777777" w:rsidR="00B81226" w:rsidRDefault="00B82AC2">
            <w:pPr>
              <w:pStyle w:val="P68B1DB1-Normal31"/>
            </w:pPr>
            <w:r>
              <w:lastRenderedPageBreak/>
              <w:t>0120</w:t>
            </w:r>
          </w:p>
        </w:tc>
        <w:tc>
          <w:tcPr>
            <w:tcW w:w="7838" w:type="dxa"/>
            <w:gridSpan w:val="2"/>
            <w:tcBorders>
              <w:top w:val="single" w:sz="8" w:space="0" w:color="1A171C"/>
              <w:left w:val="single" w:sz="8" w:space="0" w:color="1A171C"/>
              <w:bottom w:val="single" w:sz="8" w:space="0" w:color="1A171C"/>
              <w:right w:val="nil"/>
            </w:tcBorders>
          </w:tcPr>
          <w:p w14:paraId="7FE1D0A9" w14:textId="3256B0A2" w:rsidR="00B81226" w:rsidRDefault="00B82AC2">
            <w:pPr>
              <w:pStyle w:val="P68B1DB1-TableParagraph73"/>
              <w:spacing w:before="108"/>
              <w:ind w:left="85"/>
              <w:jc w:val="both"/>
              <w:rPr>
                <w:bCs/>
              </w:rPr>
            </w:pPr>
            <w:r>
              <w:t xml:space="preserve">Määräaikaistalletusten aloituspäivä </w:t>
            </w:r>
          </w:p>
          <w:p w14:paraId="7FE1D0AA" w14:textId="77777777" w:rsidR="00B81226" w:rsidRDefault="00B82AC2">
            <w:pPr>
              <w:pStyle w:val="P68B1DB1-TableParagraph40"/>
              <w:spacing w:before="108"/>
              <w:ind w:left="85"/>
              <w:jc w:val="both"/>
            </w:pPr>
            <w:r>
              <w:t>Määräaikaistalletuksen alkuperäinen liikkeeseenlaskupäivä.</w:t>
            </w:r>
          </w:p>
        </w:tc>
      </w:tr>
      <w:tr w:rsidR="00B81226" w14:paraId="7FE1D0AF" w14:textId="77777777">
        <w:tc>
          <w:tcPr>
            <w:tcW w:w="1188" w:type="dxa"/>
            <w:vMerge w:val="restart"/>
            <w:tcBorders>
              <w:top w:val="single" w:sz="8" w:space="0" w:color="1A171C"/>
              <w:left w:val="nil"/>
              <w:right w:val="single" w:sz="8" w:space="0" w:color="1A171C"/>
            </w:tcBorders>
          </w:tcPr>
          <w:p w14:paraId="7FE1D0AC" w14:textId="77777777" w:rsidR="00B81226" w:rsidRDefault="00B82AC2">
            <w:pPr>
              <w:pStyle w:val="P68B1DB1-Normal31"/>
            </w:pPr>
            <w:r>
              <w:t>0130</w:t>
            </w:r>
          </w:p>
        </w:tc>
        <w:tc>
          <w:tcPr>
            <w:tcW w:w="7838" w:type="dxa"/>
            <w:gridSpan w:val="2"/>
            <w:tcBorders>
              <w:top w:val="single" w:sz="8" w:space="0" w:color="1A171C"/>
              <w:left w:val="single" w:sz="8" w:space="0" w:color="1A171C"/>
              <w:right w:val="nil"/>
            </w:tcBorders>
          </w:tcPr>
          <w:p w14:paraId="7FE1D0AD" w14:textId="42C2FA36" w:rsidR="00B81226" w:rsidRDefault="00B82AC2">
            <w:pPr>
              <w:pStyle w:val="P68B1DB1-TableParagraph73"/>
              <w:spacing w:before="108"/>
              <w:ind w:left="85"/>
              <w:jc w:val="both"/>
              <w:rPr>
                <w:bCs/>
              </w:rPr>
            </w:pPr>
            <w:r>
              <w:t xml:space="preserve">Aikaisin erääntymispäivä  </w:t>
            </w:r>
          </w:p>
          <w:p w14:paraId="7FE1D0AE" w14:textId="5DABFCEF" w:rsidR="00B81226" w:rsidRDefault="00B82AC2">
            <w:pPr>
              <w:pStyle w:val="P68B1DB1-TableParagraph40"/>
              <w:spacing w:before="108"/>
              <w:ind w:left="85"/>
              <w:jc w:val="both"/>
            </w:pPr>
            <w:r>
              <w:t>Jos velkojan haltijoilla on mahdollisuus pyytää velan ennenaikaista takaisinmaksua tai ennenaikaisen takaisinmaksun ehdot ovat sopimuksen mukaan ennakoitavissa, ilmoittakaa aikaisin tapahtumispäivä, muussa tapauksessa talletuksen lainmukainen lopullinen erääntymispäivä. Jos aikainen takaisinmaksu liittyy vain osaan velasta (esimerkiksi vain 50 prosenttia nimellissummasta maksetaan aikaisemmin takaisin), jaa velka siten, että tämä osittaista aikaista erääntymistä koskeva lauseke voidaan ottaa huomioon.</w:t>
            </w:r>
          </w:p>
        </w:tc>
      </w:tr>
      <w:tr w:rsidR="00B81226" w14:paraId="7FE1D0B2" w14:textId="77777777">
        <w:tc>
          <w:tcPr>
            <w:tcW w:w="1188" w:type="dxa"/>
            <w:vMerge/>
            <w:tcBorders>
              <w:bottom w:val="single" w:sz="8" w:space="0" w:color="1A171C"/>
              <w:right w:val="single" w:sz="8" w:space="0" w:color="1A171C"/>
            </w:tcBorders>
            <w:vAlign w:val="center"/>
          </w:tcPr>
          <w:p w14:paraId="7FE1D0B0" w14:textId="77777777" w:rsidR="00B81226" w:rsidRDefault="00B81226">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1" w14:textId="2A134B32" w:rsidR="00B81226" w:rsidRDefault="00B82AC2">
            <w:pPr>
              <w:pStyle w:val="P68B1DB1-TableParagraph40"/>
              <w:spacing w:before="108"/>
              <w:ind w:left="85"/>
              <w:jc w:val="both"/>
            </w:pPr>
            <w:r>
              <w:t xml:space="preserve">Talletuksista, jotka ilmoitetaan yhdistetysti, aikaisimmaksi erääntymispäiväksi ilmoitetaan 31.12.2199. </w:t>
            </w:r>
          </w:p>
        </w:tc>
      </w:tr>
      <w:tr w:rsidR="00B81226" w14:paraId="7FE1D0B6" w14:textId="77777777">
        <w:tc>
          <w:tcPr>
            <w:tcW w:w="1188" w:type="dxa"/>
            <w:vMerge w:val="restart"/>
            <w:tcBorders>
              <w:top w:val="single" w:sz="8" w:space="0" w:color="1A171C"/>
              <w:left w:val="nil"/>
              <w:right w:val="single" w:sz="8" w:space="0" w:color="1A171C"/>
            </w:tcBorders>
          </w:tcPr>
          <w:p w14:paraId="7FE1D0B3" w14:textId="413885FF" w:rsidR="00B81226" w:rsidRDefault="00B81226">
            <w:pPr>
              <w:rPr>
                <w:rFonts w:ascii="Times New Roman" w:hAnsi="Times New Roman" w:cs="Times New Roman"/>
              </w:rPr>
            </w:pPr>
          </w:p>
        </w:tc>
        <w:tc>
          <w:tcPr>
            <w:tcW w:w="7838" w:type="dxa"/>
            <w:gridSpan w:val="2"/>
            <w:tcBorders>
              <w:top w:val="single" w:sz="8" w:space="0" w:color="1A171C"/>
              <w:left w:val="single" w:sz="8" w:space="0" w:color="1A171C"/>
              <w:right w:val="nil"/>
            </w:tcBorders>
          </w:tcPr>
          <w:p w14:paraId="7FE1D0B5" w14:textId="7EA5292A" w:rsidR="00B81226" w:rsidRDefault="00B81226">
            <w:pPr>
              <w:pStyle w:val="TableParagraph"/>
              <w:spacing w:before="108"/>
              <w:ind w:left="85"/>
              <w:jc w:val="both"/>
              <w:rPr>
                <w:rFonts w:ascii="Times New Roman" w:eastAsia="Times New Roman" w:hAnsi="Times New Roman" w:cs="Times New Roman"/>
                <w:sz w:val="20"/>
                <w:szCs w:val="20"/>
              </w:rPr>
            </w:pPr>
          </w:p>
        </w:tc>
      </w:tr>
      <w:tr w:rsidR="00B81226" w14:paraId="7FE1D0B9" w14:textId="77777777">
        <w:tc>
          <w:tcPr>
            <w:tcW w:w="1188" w:type="dxa"/>
            <w:vMerge/>
            <w:tcBorders>
              <w:bottom w:val="single" w:sz="8" w:space="0" w:color="1A171C"/>
              <w:right w:val="single" w:sz="8" w:space="0" w:color="1A171C"/>
            </w:tcBorders>
            <w:vAlign w:val="center"/>
          </w:tcPr>
          <w:p w14:paraId="7FE1D0B7" w14:textId="77777777" w:rsidR="00B81226" w:rsidRDefault="00B81226">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8" w14:textId="21293449" w:rsidR="00B81226" w:rsidRDefault="00B81226">
            <w:pPr>
              <w:rPr>
                <w:rFonts w:ascii="Times New Roman" w:hAnsi="Times New Roman" w:cs="Times New Roman"/>
              </w:rPr>
            </w:pPr>
          </w:p>
        </w:tc>
      </w:tr>
    </w:tbl>
    <w:p w14:paraId="7FE1D0BA" w14:textId="77777777" w:rsidR="00B81226" w:rsidRDefault="00B81226">
      <w:pPr>
        <w:pStyle w:val="body"/>
        <w:rPr>
          <w:rFonts w:ascii="Times New Roman" w:hAnsi="Times New Roman" w:cs="Times New Roman"/>
          <w:color w:val="000000" w:themeColor="text1"/>
          <w:sz w:val="20"/>
          <w:szCs w:val="20"/>
        </w:rPr>
      </w:pPr>
    </w:p>
    <w:p w14:paraId="7FE1D0BB" w14:textId="77777777" w:rsidR="00B81226" w:rsidRDefault="00B81226">
      <w:pPr>
        <w:rPr>
          <w:rFonts w:ascii="Times New Roman" w:hAnsi="Times New Roman" w:cs="Times New Roman"/>
        </w:rPr>
      </w:pPr>
    </w:p>
    <w:p w14:paraId="7FE1D0BC" w14:textId="77777777" w:rsidR="00B81226" w:rsidRDefault="00B81226">
      <w:pPr>
        <w:pStyle w:val="Instructionsberschrift2"/>
        <w:ind w:left="357"/>
        <w:rPr>
          <w:rFonts w:ascii="Times New Roman" w:eastAsia="Calibri" w:hAnsi="Times New Roman" w:cs="Times New Roman"/>
          <w:szCs w:val="20"/>
        </w:rPr>
      </w:pPr>
    </w:p>
    <w:p w14:paraId="7FE1D0BD" w14:textId="2FE97D37" w:rsidR="00B81226" w:rsidRDefault="00B82AC2">
      <w:pPr>
        <w:pStyle w:val="Instructionsberschrift2"/>
        <w:numPr>
          <w:ilvl w:val="1"/>
          <w:numId w:val="49"/>
        </w:numPr>
        <w:spacing w:before="0"/>
        <w:ind w:left="357" w:hanging="357"/>
        <w:rPr>
          <w:rFonts w:ascii="Times New Roman" w:hAnsi="Times New Roman" w:cs="Times New Roman"/>
          <w:color w:val="000000" w:themeColor="text1"/>
          <w:szCs w:val="20"/>
        </w:rPr>
      </w:pPr>
      <w:r>
        <w:rPr>
          <w:rFonts w:ascii="Times New Roman" w:eastAsiaTheme="minorEastAsia" w:hAnsi="Times New Roman" w:cs="Times New Roman"/>
        </w:rPr>
        <w:t xml:space="preserve"> </w:t>
      </w:r>
      <w:bookmarkStart w:id="246" w:name="_Toc208245469"/>
      <w:r>
        <w:rPr>
          <w:rFonts w:ascii="Times New Roman" w:eastAsiaTheme="minorEastAsia" w:hAnsi="Times New Roman" w:cs="Times New Roman"/>
        </w:rPr>
        <w:t xml:space="preserve">Z 14.00 – </w:t>
      </w:r>
      <w:r>
        <w:rPr>
          <w:rFonts w:ascii="Times New Roman" w:hAnsi="Times New Roman" w:cs="Times New Roman"/>
          <w:color w:val="000000" w:themeColor="text1"/>
        </w:rPr>
        <w:t xml:space="preserve">Muut rahoitusvelat (jotka eivät sisälly muihin välilehtiin, ei kuitenkaan konsernin sisäiset) </w:t>
      </w:r>
      <w:r>
        <w:rPr>
          <w:rFonts w:ascii="Times New Roman" w:eastAsia="Calibri" w:hAnsi="Times New Roman" w:cs="Times New Roman"/>
          <w:szCs w:val="20"/>
        </w:rPr>
        <w:t>(LIAB-G-4)</w:t>
      </w:r>
      <w:bookmarkEnd w:id="246"/>
    </w:p>
    <w:p w14:paraId="7FE1D0BE" w14:textId="56404057" w:rsidR="00B81226" w:rsidRDefault="00B81226">
      <w:pPr>
        <w:pStyle w:val="Instructionsberschrift2"/>
        <w:ind w:left="357"/>
        <w:rPr>
          <w:rFonts w:ascii="Times New Roman" w:eastAsiaTheme="minorEastAsia" w:hAnsi="Times New Roman" w:cs="Times New Roman"/>
          <w:color w:val="000000" w:themeColor="text1"/>
        </w:rPr>
      </w:pPr>
    </w:p>
    <w:p w14:paraId="7FE1D0BF" w14:textId="77777777" w:rsidR="00B81226" w:rsidRDefault="00B82AC2">
      <w:pPr>
        <w:pStyle w:val="P68B1DB1-Numberedtitlelevel372"/>
      </w:pPr>
      <w:r>
        <w:t>Yleiset huomautukset</w:t>
      </w:r>
    </w:p>
    <w:p w14:paraId="7FE1D0C0" w14:textId="28B97243" w:rsidR="00B81226" w:rsidRDefault="00B82AC2">
      <w:pPr>
        <w:pStyle w:val="P68B1DB1-InstructionsText286"/>
        <w:numPr>
          <w:ilvl w:val="2"/>
          <w:numId w:val="209"/>
        </w:numPr>
        <w:spacing w:before="0"/>
        <w:ind w:left="1276"/>
      </w:pPr>
      <w:r>
        <w:t>Tämä taulukko kattaa kaikki velat, joita ei ole ilmoitettu missään muussa yksityiskohtaisessa tietovaatimuksessa (ts. Z11.00, Z12.00, Z13.00, Z15.00, Z16.00 ja Z17.00), kuten lainat, operatiiviset velat, velat määritysyhteisöille jne.</w:t>
      </w:r>
    </w:p>
    <w:p w14:paraId="7FE1D0C2" w14:textId="3CB02A11" w:rsidR="00B81226" w:rsidRDefault="00B82AC2">
      <w:pPr>
        <w:pStyle w:val="P68B1DB1-InstructionsText286"/>
        <w:numPr>
          <w:ilvl w:val="2"/>
          <w:numId w:val="209"/>
        </w:numPr>
        <w:spacing w:before="0"/>
        <w:ind w:left="1276"/>
      </w:pPr>
      <w:r>
        <w:t>Solut, joita ei sovelleta tiettyyn velkaan (esim. kertynyt korko, juokseva korko, liikkeeseenlaskupäivä jne.), voidaan jättää tyhjäksi.</w:t>
      </w:r>
    </w:p>
    <w:p w14:paraId="7FE1D0C3" w14:textId="7C8B3D6D" w:rsidR="00B81226" w:rsidRDefault="00B82AC2">
      <w:pPr>
        <w:pStyle w:val="P68B1DB1-InstructionsText286"/>
        <w:numPr>
          <w:ilvl w:val="2"/>
          <w:numId w:val="209"/>
        </w:numPr>
        <w:spacing w:before="0"/>
        <w:ind w:left="1276"/>
      </w:pPr>
      <w:r>
        <w:t>Tässä taulukossa velat ilmoitetaan riveillä pyydettyjen kenttien määrittelemällä tarkkuustasolla (periaatteessa kukin liiketoimi ilmoitetaan yksittäisenä rivieränä). Ryhmän työntekijöiden velat tyypin ja maksukyvyttömyysjärjestyksen mukaan.</w:t>
      </w:r>
    </w:p>
    <w:p w14:paraId="7FE1D0C5" w14:textId="77777777" w:rsidR="00B81226" w:rsidRDefault="00B82AC2">
      <w:pPr>
        <w:pStyle w:val="P68B1DB1-InstructionsText287"/>
        <w:numPr>
          <w:ilvl w:val="0"/>
          <w:numId w:val="0"/>
        </w:numPr>
        <w:spacing w:before="0"/>
      </w:pPr>
      <w:r>
        <w:t>Tiettyjä kohtia koskevat ohjeet</w:t>
      </w:r>
    </w:p>
    <w:tbl>
      <w:tblPr>
        <w:tblW w:w="9015" w:type="dxa"/>
        <w:tblInd w:w="135" w:type="dxa"/>
        <w:tblLayout w:type="fixed"/>
        <w:tblLook w:val="04A0" w:firstRow="1" w:lastRow="0" w:firstColumn="1" w:lastColumn="0" w:noHBand="0" w:noVBand="1"/>
      </w:tblPr>
      <w:tblGrid>
        <w:gridCol w:w="1183"/>
        <w:gridCol w:w="7832"/>
      </w:tblGrid>
      <w:tr w:rsidR="00B81226" w14:paraId="7FE1D0C8"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0C6" w14:textId="77777777" w:rsidR="00B81226" w:rsidRDefault="00B82AC2">
            <w:pPr>
              <w:pStyle w:val="P68B1DB1-TableParagraph17"/>
              <w:spacing w:before="108"/>
              <w:ind w:left="85"/>
            </w:pPr>
            <w:r>
              <w:t xml:space="preserve">Sarakkeet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0C7" w14:textId="77777777" w:rsidR="00B81226" w:rsidRDefault="00B82AC2">
            <w:pPr>
              <w:pStyle w:val="P68B1DB1-TableParagraph17"/>
              <w:spacing w:before="108"/>
              <w:ind w:left="85"/>
            </w:pPr>
            <w:r>
              <w:t xml:space="preserve">Ohjeet </w:t>
            </w:r>
          </w:p>
        </w:tc>
      </w:tr>
      <w:tr w:rsidR="00B81226" w14:paraId="7FE1D0CC" w14:textId="77777777">
        <w:tc>
          <w:tcPr>
            <w:tcW w:w="1183" w:type="dxa"/>
            <w:tcBorders>
              <w:top w:val="single" w:sz="8" w:space="0" w:color="1A171C"/>
              <w:left w:val="nil"/>
              <w:bottom w:val="single" w:sz="8" w:space="0" w:color="1A171C"/>
              <w:right w:val="single" w:sz="8" w:space="0" w:color="1A171C"/>
            </w:tcBorders>
            <w:vAlign w:val="center"/>
          </w:tcPr>
          <w:p w14:paraId="7FE1D0C9" w14:textId="77777777" w:rsidR="00B81226" w:rsidRDefault="00B82AC2">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0CA" w14:textId="281BB567" w:rsidR="00B81226" w:rsidRDefault="00B82AC2">
            <w:pPr>
              <w:pStyle w:val="P68B1DB1-TableParagraph73"/>
              <w:spacing w:before="108"/>
              <w:ind w:left="85"/>
              <w:jc w:val="both"/>
              <w:rPr>
                <w:bCs/>
              </w:rPr>
            </w:pPr>
            <w:r>
              <w:t xml:space="preserve">NRO </w:t>
            </w:r>
          </w:p>
          <w:p w14:paraId="7FE1D0CB" w14:textId="1F8D9197" w:rsidR="00B81226" w:rsidRDefault="00B82AC2">
            <w:pPr>
              <w:pStyle w:val="P68B1DB1-TableParagraph40"/>
              <w:spacing w:before="108"/>
              <w:ind w:left="85"/>
              <w:jc w:val="both"/>
            </w:pPr>
            <w:r>
              <w:t>Yksilöllinen numero/ensisijainen tunniste rivikohtien tunnistamiseen.</w:t>
            </w:r>
          </w:p>
        </w:tc>
      </w:tr>
      <w:tr w:rsidR="00B81226" w14:paraId="7FE1D0D0" w14:textId="77777777">
        <w:tc>
          <w:tcPr>
            <w:tcW w:w="1183" w:type="dxa"/>
            <w:tcBorders>
              <w:top w:val="single" w:sz="8" w:space="0" w:color="1A171C"/>
              <w:left w:val="nil"/>
              <w:bottom w:val="single" w:sz="8" w:space="0" w:color="1A171C"/>
              <w:right w:val="single" w:sz="8" w:space="0" w:color="1A171C"/>
            </w:tcBorders>
            <w:vAlign w:val="center"/>
          </w:tcPr>
          <w:p w14:paraId="7FE1D0CD" w14:textId="77777777" w:rsidR="00B81226" w:rsidRDefault="00B82AC2">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0CE" w14:textId="2F41A40D" w:rsidR="00B81226" w:rsidRDefault="00B82AC2">
            <w:pPr>
              <w:pStyle w:val="P68B1DB1-TableParagraph73"/>
              <w:spacing w:before="108"/>
              <w:ind w:left="85"/>
              <w:jc w:val="both"/>
              <w:rPr>
                <w:bCs/>
              </w:rPr>
            </w:pPr>
            <w:r>
              <w:t xml:space="preserve">Rivi </w:t>
            </w:r>
          </w:p>
          <w:p w14:paraId="7FE1D0CF" w14:textId="3C03C281" w:rsidR="00B81226" w:rsidRDefault="00B82AC2">
            <w:pPr>
              <w:pStyle w:val="P68B1DB1-TableParagraph40"/>
              <w:spacing w:before="108"/>
              <w:ind w:left="85"/>
              <w:jc w:val="both"/>
            </w:pPr>
            <w:r>
              <w:t>Jokaisesta raportoidusta rivistä on esitettävä täsmäytys taulukon 02.00 velkarakenteen velkaluokkiin maturiteetin tasolla.Arvot valitaan valmiista luettelosta.</w:t>
            </w:r>
          </w:p>
        </w:tc>
      </w:tr>
      <w:tr w:rsidR="00B81226" w14:paraId="7FE1D0D4" w14:textId="77777777">
        <w:tc>
          <w:tcPr>
            <w:tcW w:w="1183" w:type="dxa"/>
            <w:tcBorders>
              <w:top w:val="single" w:sz="8" w:space="0" w:color="1A171C"/>
              <w:left w:val="nil"/>
              <w:bottom w:val="single" w:sz="8" w:space="0" w:color="1A171C"/>
              <w:right w:val="single" w:sz="8" w:space="0" w:color="1A171C"/>
            </w:tcBorders>
            <w:vAlign w:val="center"/>
          </w:tcPr>
          <w:p w14:paraId="7FE1D0D1" w14:textId="77777777" w:rsidR="00B81226" w:rsidRDefault="00B82AC2">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0D2" w14:textId="7749B1EA" w:rsidR="00B81226" w:rsidRDefault="00B82AC2">
            <w:pPr>
              <w:pStyle w:val="P68B1DB1-TableParagraph73"/>
              <w:spacing w:before="108"/>
              <w:ind w:left="85"/>
              <w:jc w:val="both"/>
              <w:rPr>
                <w:bCs/>
              </w:rPr>
            </w:pPr>
            <w:r>
              <w:t xml:space="preserve">Sarake </w:t>
            </w:r>
          </w:p>
          <w:p w14:paraId="7FE1D0D3" w14:textId="0F37C958" w:rsidR="00B81226" w:rsidRDefault="00B82AC2">
            <w:pPr>
              <w:pStyle w:val="P68B1DB1-TableParagraph40"/>
              <w:spacing w:before="108"/>
              <w:ind w:left="85"/>
              <w:jc w:val="both"/>
            </w:pPr>
            <w:r>
              <w:lastRenderedPageBreak/>
              <w:t>Jokaisesta raportoidusta rivistä on esitettävä täsmäytys taulukon 02.00 siihen vastapuoliluokkaan, johon velka on maksettava.Arvot valitaan valmiista luettelosta.</w:t>
            </w:r>
          </w:p>
        </w:tc>
      </w:tr>
      <w:tr w:rsidR="00B81226" w14:paraId="7FE1D0D8" w14:textId="77777777">
        <w:tc>
          <w:tcPr>
            <w:tcW w:w="1183" w:type="dxa"/>
            <w:tcBorders>
              <w:top w:val="single" w:sz="8" w:space="0" w:color="1A171C"/>
              <w:left w:val="nil"/>
              <w:bottom w:val="single" w:sz="8" w:space="0" w:color="1A171C"/>
              <w:right w:val="single" w:sz="8" w:space="0" w:color="1A171C"/>
            </w:tcBorders>
            <w:vAlign w:val="center"/>
          </w:tcPr>
          <w:p w14:paraId="7FE1D0D5" w14:textId="77777777" w:rsidR="00B81226" w:rsidRDefault="00B82AC2">
            <w:pPr>
              <w:pStyle w:val="P68B1DB1-Normal31"/>
            </w:pPr>
            <w:r>
              <w:lastRenderedPageBreak/>
              <w:t>0040</w:t>
            </w:r>
          </w:p>
        </w:tc>
        <w:tc>
          <w:tcPr>
            <w:tcW w:w="7832" w:type="dxa"/>
            <w:tcBorders>
              <w:top w:val="single" w:sz="8" w:space="0" w:color="1A171C"/>
              <w:left w:val="single" w:sz="8" w:space="0" w:color="1A171C"/>
              <w:bottom w:val="single" w:sz="8" w:space="0" w:color="1A171C"/>
              <w:right w:val="nil"/>
            </w:tcBorders>
            <w:vAlign w:val="bottom"/>
          </w:tcPr>
          <w:p w14:paraId="7FE1D0D6" w14:textId="64F8E89E" w:rsidR="00B81226" w:rsidRDefault="00B82AC2">
            <w:pPr>
              <w:pStyle w:val="P68B1DB1-TableParagraph73"/>
              <w:spacing w:before="108"/>
              <w:ind w:left="85"/>
              <w:jc w:val="both"/>
              <w:rPr>
                <w:bCs/>
              </w:rPr>
            </w:pPr>
            <w:r>
              <w:t xml:space="preserve">Maksukyvyttömyysluokka  </w:t>
            </w:r>
          </w:p>
          <w:p w14:paraId="7FE1D0D7" w14:textId="3C00E6EA" w:rsidR="00B81226" w:rsidRDefault="00B82AC2">
            <w:pPr>
              <w:pStyle w:val="P68B1DB1-TableParagraph40"/>
              <w:spacing w:before="108"/>
              <w:ind w:left="85"/>
              <w:jc w:val="both"/>
            </w:pPr>
            <w:r>
              <w:t>Maksukyvyttömyysluokan on oltava jokin kyseisen lainkäyttöalueen kriisinratkaisuviranomaisen julkaisemiin maksukyvyttömyysluokituksiin kuuluvista luokista.</w:t>
            </w:r>
          </w:p>
        </w:tc>
      </w:tr>
      <w:tr w:rsidR="00B81226" w14:paraId="7FE1D0DC" w14:textId="77777777">
        <w:tc>
          <w:tcPr>
            <w:tcW w:w="1183" w:type="dxa"/>
            <w:tcBorders>
              <w:top w:val="single" w:sz="8" w:space="0" w:color="1A171C"/>
              <w:left w:val="nil"/>
              <w:bottom w:val="single" w:sz="8" w:space="0" w:color="1A171C"/>
              <w:right w:val="single" w:sz="8" w:space="0" w:color="1A171C"/>
            </w:tcBorders>
            <w:vAlign w:val="center"/>
          </w:tcPr>
          <w:p w14:paraId="7FE1D0D9" w14:textId="77777777" w:rsidR="00B81226" w:rsidRDefault="00B82AC2">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0DA" w14:textId="77777777" w:rsidR="00B81226" w:rsidRDefault="00B82AC2">
            <w:pPr>
              <w:pStyle w:val="P68B1DB1-TableParagraph73"/>
              <w:spacing w:before="108"/>
              <w:ind w:left="85"/>
              <w:jc w:val="both"/>
              <w:rPr>
                <w:bCs/>
              </w:rPr>
            </w:pPr>
            <w:r>
              <w:t xml:space="preserve">Sopimuksen tunniste </w:t>
            </w:r>
          </w:p>
          <w:p w14:paraId="7FE1D0DB" w14:textId="09A77FF8" w:rsidR="00B81226" w:rsidRDefault="00B82AC2">
            <w:pPr>
              <w:pStyle w:val="P68B1DB1-TableParagraph40"/>
              <w:spacing w:before="108"/>
              <w:ind w:left="85"/>
              <w:jc w:val="both"/>
            </w:pPr>
            <w:r>
              <w:t>Ilmoitetaan ISIN-koodi tai, jos ISIN-koodia ei ole saatavilla, muu instrumentin sopimustunniste.</w:t>
            </w:r>
          </w:p>
        </w:tc>
      </w:tr>
      <w:tr w:rsidR="00B81226" w14:paraId="7FE1D0E0" w14:textId="77777777">
        <w:tc>
          <w:tcPr>
            <w:tcW w:w="1183" w:type="dxa"/>
            <w:tcBorders>
              <w:top w:val="single" w:sz="8" w:space="0" w:color="1A171C"/>
              <w:left w:val="nil"/>
              <w:bottom w:val="single" w:sz="8" w:space="0" w:color="1A171C"/>
              <w:right w:val="single" w:sz="8" w:space="0" w:color="1A171C"/>
            </w:tcBorders>
            <w:vAlign w:val="center"/>
          </w:tcPr>
          <w:p w14:paraId="7FE1D0DD" w14:textId="77777777" w:rsidR="00B81226" w:rsidRDefault="00B82AC2">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0DE" w14:textId="6192EFDD" w:rsidR="00B81226" w:rsidRDefault="00B82AC2">
            <w:pPr>
              <w:pStyle w:val="P68B1DB1-TableParagraph73"/>
              <w:spacing w:before="108"/>
              <w:ind w:left="85"/>
              <w:jc w:val="both"/>
              <w:rPr>
                <w:bCs/>
              </w:rPr>
            </w:pPr>
            <w:r>
              <w:t xml:space="preserve">Vastapuolen nimi </w:t>
            </w:r>
          </w:p>
          <w:p w14:paraId="7FE1D0DF" w14:textId="5D08E31A" w:rsidR="00B81226" w:rsidRDefault="00B82AC2">
            <w:pPr>
              <w:pStyle w:val="P68B1DB1-TableParagraph40"/>
              <w:spacing w:before="108"/>
              <w:ind w:left="85"/>
              <w:jc w:val="both"/>
            </w:pPr>
            <w:r>
              <w:t>Velan vastapuolen yhteisön nimi.</w:t>
            </w:r>
          </w:p>
        </w:tc>
      </w:tr>
      <w:tr w:rsidR="00B81226" w14:paraId="7FE1D0E5" w14:textId="77777777">
        <w:tc>
          <w:tcPr>
            <w:tcW w:w="1183" w:type="dxa"/>
            <w:tcBorders>
              <w:top w:val="single" w:sz="8" w:space="0" w:color="1A171C"/>
              <w:left w:val="nil"/>
              <w:bottom w:val="single" w:sz="8" w:space="0" w:color="1A171C"/>
              <w:right w:val="single" w:sz="8" w:space="0" w:color="1A171C"/>
            </w:tcBorders>
            <w:vAlign w:val="center"/>
          </w:tcPr>
          <w:p w14:paraId="7FE1D0E1" w14:textId="77777777" w:rsidR="00B81226" w:rsidRDefault="00B82AC2">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142A50B" w14:textId="5B4939E6" w:rsidR="00B81226" w:rsidRDefault="00B82AC2">
            <w:pPr>
              <w:pStyle w:val="P68B1DB1-TableParagraph73"/>
              <w:spacing w:before="108"/>
              <w:ind w:left="85"/>
              <w:jc w:val="both"/>
            </w:pPr>
            <w:r>
              <w:t>Vastapuolen tunniste</w:t>
            </w:r>
          </w:p>
          <w:p w14:paraId="7FE1D0E3" w14:textId="4E34C2DB" w:rsidR="00B81226" w:rsidRDefault="00B82AC2">
            <w:pPr>
              <w:pStyle w:val="P68B1DB1-TableParagraph40"/>
              <w:spacing w:before="108"/>
              <w:ind w:left="85"/>
              <w:jc w:val="both"/>
            </w:pPr>
            <w:r>
              <w:t>Ilmoitetaan velkojan LEI-tunnus. Jos oikeushenkilötunnusta ei ole, pankkien raporteissa käytetään RIAD-tietokannassa käytettyä EKP:n rahalaitosten tunnistetta (MFI ID). Jos näistä tunnisteista kumpaakaan ei ole, raportoi sisäinen tunniste.</w:t>
            </w:r>
          </w:p>
          <w:p w14:paraId="7FE1D0E4" w14:textId="1D573481" w:rsidR="00B81226" w:rsidRDefault="00B81226">
            <w:pPr>
              <w:pStyle w:val="TableParagraph"/>
              <w:spacing w:before="108"/>
              <w:ind w:left="85"/>
              <w:jc w:val="both"/>
              <w:rPr>
                <w:rFonts w:ascii="Times New Roman" w:eastAsia="Times New Roman" w:hAnsi="Times New Roman" w:cs="Times New Roman"/>
                <w:sz w:val="20"/>
                <w:szCs w:val="20"/>
              </w:rPr>
            </w:pPr>
          </w:p>
        </w:tc>
      </w:tr>
      <w:tr w:rsidR="00B81226" w14:paraId="7FE1D0E9" w14:textId="77777777">
        <w:tc>
          <w:tcPr>
            <w:tcW w:w="1183" w:type="dxa"/>
            <w:tcBorders>
              <w:top w:val="single" w:sz="8" w:space="0" w:color="1A171C"/>
              <w:left w:val="nil"/>
              <w:bottom w:val="single" w:sz="8" w:space="0" w:color="1A171C"/>
              <w:right w:val="single" w:sz="8" w:space="0" w:color="1A171C"/>
            </w:tcBorders>
            <w:vAlign w:val="center"/>
          </w:tcPr>
          <w:p w14:paraId="7FE1D0E6" w14:textId="77777777" w:rsidR="00B81226" w:rsidRDefault="00B82AC2">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0E7" w14:textId="77777777" w:rsidR="00B81226" w:rsidRDefault="00B82AC2">
            <w:pPr>
              <w:pStyle w:val="P68B1DB1-TableParagraph73"/>
              <w:spacing w:before="108"/>
              <w:ind w:left="85"/>
              <w:jc w:val="both"/>
              <w:rPr>
                <w:bCs/>
              </w:rPr>
            </w:pPr>
            <w:r>
              <w:t xml:space="preserve">Tunnustyyppi </w:t>
            </w:r>
          </w:p>
          <w:p w14:paraId="7FE1D0E8" w14:textId="77777777" w:rsidR="00B81226" w:rsidRDefault="00B82AC2">
            <w:pPr>
              <w:pStyle w:val="P68B1DB1-TableParagraph40"/>
              <w:spacing w:before="108"/>
              <w:ind w:left="85"/>
              <w:jc w:val="both"/>
            </w:pPr>
            <w:r>
              <w:t>Tässä on valittava seuraavista vaihtoehdoista: LEI-tunnus, MFI-tunnus tai muu tunnisteen tyyppi kuin LEI- tai MFI-tunnus</w:t>
            </w:r>
          </w:p>
        </w:tc>
      </w:tr>
      <w:tr w:rsidR="00B81226" w14:paraId="7FE1D0ED" w14:textId="77777777">
        <w:tc>
          <w:tcPr>
            <w:tcW w:w="1183" w:type="dxa"/>
            <w:tcBorders>
              <w:top w:val="single" w:sz="8" w:space="0" w:color="1A171C"/>
              <w:left w:val="nil"/>
              <w:bottom w:val="single" w:sz="8" w:space="0" w:color="1A171C"/>
              <w:right w:val="single" w:sz="8" w:space="0" w:color="1A171C"/>
            </w:tcBorders>
            <w:vAlign w:val="center"/>
          </w:tcPr>
          <w:p w14:paraId="7FE1D0EA" w14:textId="4E648225" w:rsidR="00B81226" w:rsidRDefault="00B82AC2">
            <w:pPr>
              <w:pStyle w:val="P68B1DB1-Normal31"/>
            </w:pPr>
            <w:r>
              <w:t xml:space="preserve"> 0070</w:t>
            </w:r>
          </w:p>
        </w:tc>
        <w:tc>
          <w:tcPr>
            <w:tcW w:w="7832" w:type="dxa"/>
            <w:tcBorders>
              <w:top w:val="single" w:sz="8" w:space="0" w:color="1A171C"/>
              <w:left w:val="single" w:sz="8" w:space="0" w:color="1A171C"/>
              <w:bottom w:val="single" w:sz="8" w:space="0" w:color="1A171C"/>
              <w:right w:val="nil"/>
            </w:tcBorders>
            <w:vAlign w:val="bottom"/>
          </w:tcPr>
          <w:p w14:paraId="7FE1D0EB" w14:textId="3585FBA0" w:rsidR="00B81226" w:rsidRDefault="00B82AC2">
            <w:pPr>
              <w:pStyle w:val="P68B1DB1-TableParagraph73"/>
              <w:spacing w:before="108"/>
              <w:ind w:left="85"/>
              <w:jc w:val="both"/>
              <w:rPr>
                <w:bCs/>
              </w:rPr>
            </w:pPr>
            <w:r>
              <w:t xml:space="preserve">Sovellet-tava lainsää-däntö  </w:t>
            </w:r>
          </w:p>
          <w:p w14:paraId="7FE1D0EC" w14:textId="237CB9E1" w:rsidR="00B81226" w:rsidRDefault="00B82AC2">
            <w:pPr>
              <w:pStyle w:val="P68B1DB1-TableParagraph40"/>
              <w:spacing w:before="108"/>
              <w:ind w:left="85"/>
              <w:jc w:val="both"/>
            </w:pPr>
            <w:r>
              <w:t xml:space="preserve">Sen maan ISO 3166–1 alpha-2 -koodi, jonka lakia instrumenttiin sovelletaan (käytetään ISO 3166–2 -koodia, kun hallinnollisen alajaon laki on relevantti, esim. ”US-NY”). Jos sopimukseen sovelletaan useamman kuin yhden maan lakia, ilmoitetaan maa, jonka laki on merkityksellisin velkakirjojen arvon alaskirjaus- ja muuntamisvaltuuksien tunnustamisen osalta.  </w:t>
            </w:r>
          </w:p>
        </w:tc>
      </w:tr>
      <w:tr w:rsidR="00B81226" w14:paraId="7FE1D0F1" w14:textId="77777777">
        <w:tc>
          <w:tcPr>
            <w:tcW w:w="1183" w:type="dxa"/>
            <w:tcBorders>
              <w:top w:val="single" w:sz="8" w:space="0" w:color="1A171C"/>
              <w:left w:val="nil"/>
              <w:bottom w:val="single" w:sz="8" w:space="0" w:color="1A171C"/>
              <w:right w:val="single" w:sz="8" w:space="0" w:color="1A171C"/>
            </w:tcBorders>
            <w:vAlign w:val="center"/>
          </w:tcPr>
          <w:p w14:paraId="7FE1D0EE" w14:textId="02F3BABE" w:rsidR="00B81226" w:rsidRDefault="00B82AC2">
            <w:pPr>
              <w:pStyle w:val="P68B1DB1-Normal31"/>
            </w:pPr>
            <w:r>
              <w:t xml:space="preserve"> 0075</w:t>
            </w:r>
          </w:p>
        </w:tc>
        <w:tc>
          <w:tcPr>
            <w:tcW w:w="7832" w:type="dxa"/>
            <w:tcBorders>
              <w:top w:val="single" w:sz="8" w:space="0" w:color="1A171C"/>
              <w:left w:val="single" w:sz="8" w:space="0" w:color="1A171C"/>
              <w:bottom w:val="single" w:sz="8" w:space="0" w:color="1A171C"/>
              <w:right w:val="nil"/>
            </w:tcBorders>
            <w:vAlign w:val="bottom"/>
          </w:tcPr>
          <w:p w14:paraId="7FE1D0EF" w14:textId="5B4FC1DF" w:rsidR="00B81226" w:rsidRDefault="00B82AC2">
            <w:pPr>
              <w:pStyle w:val="P68B1DB1-TableParagraph73"/>
              <w:spacing w:before="108"/>
              <w:ind w:left="85"/>
              <w:jc w:val="both"/>
              <w:rPr>
                <w:bCs/>
              </w:rPr>
            </w:pPr>
            <w:r>
              <w:t xml:space="preserve">Rahoitusvelkojen tyyppi </w:t>
            </w:r>
          </w:p>
          <w:p w14:paraId="7FE1D0F0" w14:textId="3ACB2D3D" w:rsidR="00B81226" w:rsidRDefault="00B82AC2">
            <w:pPr>
              <w:pStyle w:val="P68B1DB1-TableParagraph40"/>
              <w:spacing w:before="108"/>
              <w:ind w:left="85"/>
              <w:jc w:val="both"/>
            </w:pPr>
            <w:r>
              <w:t>Valitaan seuraavista vaihtoehdoista: ”Borrower Note Loan”, ”Rekisteröity joukkolaina”, ”vaihtovelkakirja”, ”Silent Partnership Contributions” ja ”Muut rahoitusvelat”.</w:t>
            </w:r>
          </w:p>
        </w:tc>
      </w:tr>
      <w:tr w:rsidR="00B81226" w14:paraId="7FE1D0FC" w14:textId="77777777">
        <w:tc>
          <w:tcPr>
            <w:tcW w:w="1183" w:type="dxa"/>
            <w:tcBorders>
              <w:top w:val="single" w:sz="8" w:space="0" w:color="1A171C"/>
              <w:left w:val="nil"/>
              <w:bottom w:val="single" w:sz="8" w:space="0" w:color="1A171C"/>
              <w:right w:val="single" w:sz="8" w:space="0" w:color="1A171C"/>
            </w:tcBorders>
            <w:vAlign w:val="center"/>
          </w:tcPr>
          <w:p w14:paraId="7FE1D0F2" w14:textId="77777777" w:rsidR="00B81226" w:rsidRDefault="00B82AC2">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0F4" w14:textId="69C59D27" w:rsidR="00B81226" w:rsidRDefault="00B82AC2">
            <w:pPr>
              <w:pStyle w:val="P68B1DB1-TableParagraph73"/>
              <w:spacing w:before="108"/>
              <w:ind w:left="85"/>
              <w:jc w:val="both"/>
            </w:pPr>
            <w:r>
              <w:t xml:space="preserve">Jos kolmannen maan lainsäädäntö, sopimuksen tunnustaminen </w:t>
            </w:r>
          </w:p>
          <w:p w14:paraId="7FE1D0F6" w14:textId="77777777" w:rsidR="00B81226" w:rsidRDefault="00B82AC2">
            <w:pPr>
              <w:pStyle w:val="P68B1DB1-TableParagraph40"/>
              <w:spacing w:before="108"/>
              <w:ind w:left="85"/>
              <w:jc w:val="both"/>
            </w:pPr>
            <w:r>
              <w:t xml:space="preserve">Määritetään sopimusmääräykset velkakirjojen arvon alaskirjausvaltuuksien tunnustamiseksi pankkien elvytys- ja kriisinratkaisudirektiivin 55 artiklan mukaisesti, joko </w:t>
            </w:r>
          </w:p>
          <w:p w14:paraId="7FE1D0F7" w14:textId="77777777" w:rsidR="00B81226" w:rsidRDefault="00B82AC2">
            <w:pPr>
              <w:pStyle w:val="P68B1DB1-TableParagraph40"/>
              <w:spacing w:before="108"/>
              <w:ind w:left="85"/>
              <w:jc w:val="both"/>
            </w:pPr>
            <w:r>
              <w:t>Kyllä, oikeudellisen lausunnon tukemana” = velkaan sisältyy pankkien elvytys- ja kriisinratkaisudirektiivin 55 artiklan mukainen velkakirjojen arvon alaskirjauksen tunnustamista koskeva lauseke, jota tuetaan oikeudellisella lausunnolla;</w:t>
            </w:r>
          </w:p>
          <w:p w14:paraId="7FE1D0F8" w14:textId="77777777" w:rsidR="00B81226" w:rsidRDefault="00B82AC2">
            <w:pPr>
              <w:pStyle w:val="P68B1DB1-TableParagraph40"/>
              <w:spacing w:before="108"/>
              <w:ind w:left="85"/>
              <w:jc w:val="both"/>
            </w:pPr>
            <w:r>
              <w:t>”Kyllä, jota ei tueta oikeudellisella lausunnolla” = velkaan sisältyy pankkien elvytys- ja kriisinratkaisudirektiivin 55 artiklan mukainen velkakirjojen arvon alaskirjauksen tunnustamista koskeva lauseke, jota ei tällä hetkellä tueta oikeudellisella lausunnolla;</w:t>
            </w:r>
          </w:p>
          <w:p w14:paraId="7FE1D0F9" w14:textId="77777777" w:rsidR="00B81226" w:rsidRDefault="00B82AC2">
            <w:pPr>
              <w:pStyle w:val="P68B1DB1-TableParagraph40"/>
              <w:spacing w:before="108"/>
              <w:ind w:left="85"/>
              <w:jc w:val="both"/>
            </w:pPr>
            <w:r>
              <w:t>”Ei” = velkaan ei sisälly velkakirjojen arvon alaskirjauksen tunnustamista koskevaa lauseketta;</w:t>
            </w:r>
          </w:p>
          <w:p w14:paraId="7FE1D0FA" w14:textId="07E9B1A6" w:rsidR="00B81226" w:rsidRDefault="00B82AC2">
            <w:pPr>
              <w:pStyle w:val="P68B1DB1-TableParagraph40"/>
              <w:spacing w:before="108"/>
              <w:ind w:left="85"/>
              <w:jc w:val="both"/>
            </w:pPr>
            <w:r>
              <w:t xml:space="preserve">”Ei täytetä”.   </w:t>
            </w:r>
          </w:p>
          <w:p w14:paraId="7FE1D0FB" w14:textId="77777777" w:rsidR="00B81226" w:rsidRDefault="00B82AC2">
            <w:pPr>
              <w:pStyle w:val="P68B1DB1-TableParagraph40"/>
              <w:spacing w:before="108"/>
              <w:ind w:left="85"/>
              <w:jc w:val="both"/>
            </w:pPr>
            <w:r>
              <w:t>etukäteen määritetystä luettelosta.</w:t>
            </w:r>
          </w:p>
        </w:tc>
      </w:tr>
      <w:tr w:rsidR="00B81226" w14:paraId="7FE1D100" w14:textId="77777777">
        <w:tc>
          <w:tcPr>
            <w:tcW w:w="1183" w:type="dxa"/>
            <w:tcBorders>
              <w:top w:val="single" w:sz="8" w:space="0" w:color="1A171C"/>
              <w:left w:val="nil"/>
              <w:bottom w:val="single" w:sz="8" w:space="0" w:color="1A171C"/>
              <w:right w:val="single" w:sz="8" w:space="0" w:color="1A171C"/>
            </w:tcBorders>
            <w:vAlign w:val="center"/>
          </w:tcPr>
          <w:p w14:paraId="7FE1D0FD" w14:textId="77777777" w:rsidR="00B81226" w:rsidRDefault="00B82AC2">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0FE" w14:textId="2B50D04C" w:rsidR="00B81226" w:rsidRDefault="00B82AC2">
            <w:pPr>
              <w:pStyle w:val="P68B1DB1-TableParagraph73"/>
              <w:spacing w:before="108"/>
              <w:ind w:left="85"/>
              <w:jc w:val="both"/>
              <w:rPr>
                <w:bCs/>
              </w:rPr>
            </w:pPr>
            <w:r>
              <w:t xml:space="preserve">Maksamatta oleva pääoman määrä  </w:t>
            </w:r>
          </w:p>
          <w:p w14:paraId="7FE1D0FF" w14:textId="66FDB1F5" w:rsidR="00B81226" w:rsidRDefault="00B82AC2">
            <w:pPr>
              <w:pStyle w:val="P68B1DB1-TableParagraph40"/>
              <w:spacing w:before="108"/>
              <w:ind w:left="85"/>
              <w:jc w:val="both"/>
            </w:pPr>
            <w:r>
              <w:t>Velan jäljellä oleva pääoma.</w:t>
            </w:r>
          </w:p>
        </w:tc>
      </w:tr>
      <w:tr w:rsidR="00B81226" w14:paraId="7FE1D104" w14:textId="77777777">
        <w:tc>
          <w:tcPr>
            <w:tcW w:w="1183" w:type="dxa"/>
            <w:tcBorders>
              <w:top w:val="single" w:sz="8" w:space="0" w:color="1A171C"/>
              <w:left w:val="nil"/>
              <w:bottom w:val="single" w:sz="8" w:space="0" w:color="1A171C"/>
              <w:right w:val="single" w:sz="8" w:space="0" w:color="1A171C"/>
            </w:tcBorders>
            <w:vAlign w:val="center"/>
          </w:tcPr>
          <w:p w14:paraId="7FE1D101" w14:textId="77777777" w:rsidR="00B81226" w:rsidRDefault="00B82AC2">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02" w14:textId="2DA0F2E6" w:rsidR="00B81226" w:rsidRDefault="00B82AC2">
            <w:pPr>
              <w:pStyle w:val="P68B1DB1-TableParagraph73"/>
              <w:spacing w:before="108"/>
              <w:ind w:left="85"/>
              <w:jc w:val="both"/>
              <w:rPr>
                <w:bCs/>
              </w:rPr>
            </w:pPr>
            <w:r>
              <w:t xml:space="preserve">Kertynyt korko </w:t>
            </w:r>
          </w:p>
          <w:p w14:paraId="7FE1D103" w14:textId="345D6EBF" w:rsidR="00B81226" w:rsidRDefault="00B82AC2">
            <w:pPr>
              <w:pStyle w:val="P68B1DB1-TableParagraph40"/>
              <w:spacing w:before="108"/>
              <w:ind w:left="85"/>
              <w:jc w:val="both"/>
            </w:pPr>
            <w:r>
              <w:t>Velasta kertyneet jäljellä olevat korot.</w:t>
            </w:r>
          </w:p>
        </w:tc>
      </w:tr>
      <w:tr w:rsidR="00B81226" w14:paraId="7FE1D108" w14:textId="77777777">
        <w:tc>
          <w:tcPr>
            <w:tcW w:w="1183" w:type="dxa"/>
            <w:tcBorders>
              <w:top w:val="single" w:sz="8" w:space="0" w:color="1A171C"/>
              <w:left w:val="nil"/>
              <w:bottom w:val="single" w:sz="8" w:space="0" w:color="1A171C"/>
              <w:right w:val="single" w:sz="8" w:space="0" w:color="1A171C"/>
            </w:tcBorders>
            <w:vAlign w:val="center"/>
          </w:tcPr>
          <w:p w14:paraId="7FE1D105" w14:textId="77777777" w:rsidR="00B81226" w:rsidRDefault="00B82AC2">
            <w:pPr>
              <w:pStyle w:val="P68B1DB1-Normal31"/>
            </w:pPr>
            <w:r>
              <w:lastRenderedPageBreak/>
              <w:t>0110</w:t>
            </w:r>
          </w:p>
        </w:tc>
        <w:tc>
          <w:tcPr>
            <w:tcW w:w="7832" w:type="dxa"/>
            <w:tcBorders>
              <w:top w:val="single" w:sz="8" w:space="0" w:color="1A171C"/>
              <w:left w:val="single" w:sz="8" w:space="0" w:color="1A171C"/>
              <w:bottom w:val="single" w:sz="8" w:space="0" w:color="1A171C"/>
              <w:right w:val="nil"/>
            </w:tcBorders>
            <w:vAlign w:val="bottom"/>
          </w:tcPr>
          <w:p w14:paraId="7FE1D106" w14:textId="7F6E59CB" w:rsidR="00B81226" w:rsidRDefault="00B82AC2">
            <w:pPr>
              <w:pStyle w:val="P68B1DB1-TableParagraph73"/>
              <w:spacing w:before="108"/>
              <w:ind w:left="85"/>
              <w:jc w:val="both"/>
              <w:rPr>
                <w:bCs/>
              </w:rPr>
            </w:pPr>
            <w:r>
              <w:t xml:space="preserve">Nykyinen korko (%) </w:t>
            </w:r>
          </w:p>
          <w:p w14:paraId="7FE1D107" w14:textId="574366AF" w:rsidR="00B81226" w:rsidRDefault="00B82AC2">
            <w:pPr>
              <w:pStyle w:val="P68B1DB1-TableParagraph40"/>
              <w:spacing w:before="108"/>
              <w:ind w:left="85"/>
              <w:jc w:val="both"/>
            </w:pPr>
            <w:r>
              <w:t xml:space="preserve">Velkaan sovellettavan koron nykyinen taso. </w:t>
            </w:r>
          </w:p>
        </w:tc>
      </w:tr>
      <w:tr w:rsidR="00B81226" w14:paraId="7FE1D10C" w14:textId="77777777">
        <w:tc>
          <w:tcPr>
            <w:tcW w:w="1183" w:type="dxa"/>
            <w:tcBorders>
              <w:top w:val="single" w:sz="8" w:space="0" w:color="1A171C"/>
              <w:left w:val="nil"/>
              <w:bottom w:val="single" w:sz="8" w:space="0" w:color="1A171C"/>
              <w:right w:val="single" w:sz="8" w:space="0" w:color="1A171C"/>
            </w:tcBorders>
            <w:vAlign w:val="center"/>
          </w:tcPr>
          <w:p w14:paraId="7FE1D109" w14:textId="77777777" w:rsidR="00B81226" w:rsidRDefault="00B82AC2">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0A" w14:textId="77777777" w:rsidR="00B81226" w:rsidRDefault="00B82AC2">
            <w:pPr>
              <w:pStyle w:val="P68B1DB1-TableParagraph73"/>
              <w:spacing w:before="108"/>
              <w:ind w:left="85"/>
              <w:jc w:val="both"/>
              <w:rPr>
                <w:bCs/>
              </w:rPr>
            </w:pPr>
            <w:r>
              <w:t xml:space="preserve">Valuutta  </w:t>
            </w:r>
          </w:p>
          <w:p w14:paraId="7FE1D10B" w14:textId="4FC71DBE" w:rsidR="00B81226" w:rsidRDefault="00B82AC2">
            <w:pPr>
              <w:pStyle w:val="P68B1DB1-TableParagraph40"/>
              <w:spacing w:before="108"/>
              <w:ind w:left="85"/>
              <w:jc w:val="both"/>
            </w:pPr>
            <w:r>
              <w:t>Velan valuutta sen kolmikirjaimisen ISO 4217 -koodin mukaisesti.</w:t>
            </w:r>
          </w:p>
        </w:tc>
      </w:tr>
      <w:tr w:rsidR="00B81226" w14:paraId="7FE1D110" w14:textId="77777777">
        <w:tc>
          <w:tcPr>
            <w:tcW w:w="1183" w:type="dxa"/>
            <w:tcBorders>
              <w:top w:val="single" w:sz="8" w:space="0" w:color="1A171C"/>
              <w:left w:val="nil"/>
              <w:bottom w:val="single" w:sz="8" w:space="0" w:color="1A171C"/>
              <w:right w:val="single" w:sz="8" w:space="0" w:color="1A171C"/>
            </w:tcBorders>
            <w:vAlign w:val="center"/>
          </w:tcPr>
          <w:p w14:paraId="7FE1D10D" w14:textId="77777777" w:rsidR="00B81226" w:rsidRDefault="00B82AC2">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0E" w14:textId="24CCD785" w:rsidR="00B81226" w:rsidRDefault="00B82AC2">
            <w:pPr>
              <w:pStyle w:val="P68B1DB1-TableParagraph73"/>
              <w:spacing w:before="108"/>
              <w:ind w:left="85"/>
              <w:jc w:val="both"/>
              <w:rPr>
                <w:bCs/>
              </w:rPr>
            </w:pPr>
            <w:r>
              <w:t xml:space="preserve">Todistuksen antamispäivä </w:t>
            </w:r>
          </w:p>
          <w:p w14:paraId="7FE1D10F" w14:textId="77777777" w:rsidR="00B81226" w:rsidRDefault="00B82AC2">
            <w:pPr>
              <w:pStyle w:val="P68B1DB1-TableParagraph40"/>
              <w:spacing w:before="108"/>
              <w:ind w:left="85"/>
              <w:jc w:val="both"/>
            </w:pPr>
            <w:r>
              <w:t>Velan alkuperäinen liikkeeseenlaskupäivä.</w:t>
            </w:r>
          </w:p>
        </w:tc>
      </w:tr>
      <w:tr w:rsidR="00B81226" w14:paraId="7FE1D114" w14:textId="77777777">
        <w:tc>
          <w:tcPr>
            <w:tcW w:w="1183" w:type="dxa"/>
            <w:tcBorders>
              <w:top w:val="single" w:sz="8" w:space="0" w:color="1A171C"/>
              <w:left w:val="nil"/>
              <w:bottom w:val="single" w:sz="8" w:space="0" w:color="1A171C"/>
              <w:right w:val="single" w:sz="8" w:space="0" w:color="1A171C"/>
            </w:tcBorders>
            <w:vAlign w:val="center"/>
          </w:tcPr>
          <w:p w14:paraId="7FE1D111" w14:textId="77777777" w:rsidR="00B81226" w:rsidRDefault="00B82AC2">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12" w14:textId="6174C675" w:rsidR="00B81226" w:rsidRDefault="00B82AC2">
            <w:pPr>
              <w:pStyle w:val="P68B1DB1-TableParagraph73"/>
              <w:spacing w:before="108"/>
              <w:ind w:left="85"/>
              <w:jc w:val="both"/>
              <w:rPr>
                <w:bCs/>
              </w:rPr>
            </w:pPr>
            <w:r>
              <w:t xml:space="preserve">Aikaisin erääntymispäivä  </w:t>
            </w:r>
          </w:p>
          <w:p w14:paraId="7FE1D113" w14:textId="6DCF0327" w:rsidR="00B81226" w:rsidRDefault="00B82AC2">
            <w:pPr>
              <w:pStyle w:val="P68B1DB1-TableParagraph40"/>
              <w:spacing w:before="108"/>
              <w:ind w:left="85"/>
              <w:jc w:val="both"/>
            </w:pPr>
            <w:r>
              <w:t>Jos velkojalla on mahdollisuus pyytää aikaista takaisinmaksua tai jos sopimuksessa on määritetty aikaisen takaisinmaksun ehdot, aikaisin tapahtumapäivä on ilmoitettava. Jos aikainen takaisinmaksu liittyy vain osaan velasta (esimerkiksi vain 50 prosenttia nimellissummasta maksetaan aikaisemmin takaisin), jaa velka siten, että tämä osittaista aikaista erääntymistä koskeva lauseke voidaan ottaa huomioon.</w:t>
            </w:r>
          </w:p>
        </w:tc>
      </w:tr>
      <w:tr w:rsidR="00B81226" w14:paraId="7FE1D118" w14:textId="77777777">
        <w:tc>
          <w:tcPr>
            <w:tcW w:w="1183" w:type="dxa"/>
            <w:tcBorders>
              <w:top w:val="single" w:sz="8" w:space="0" w:color="1A171C"/>
              <w:left w:val="nil"/>
              <w:bottom w:val="single" w:sz="8" w:space="0" w:color="1A171C"/>
              <w:right w:val="single" w:sz="8" w:space="0" w:color="1A171C"/>
            </w:tcBorders>
            <w:vAlign w:val="center"/>
          </w:tcPr>
          <w:p w14:paraId="7FE1D115" w14:textId="77777777" w:rsidR="00B81226" w:rsidRDefault="00B82AC2">
            <w:pPr>
              <w:pStyle w:val="P68B1DB1-Normal31"/>
            </w:pPr>
            <w:r>
              <w:t>0150</w:t>
            </w:r>
          </w:p>
        </w:tc>
        <w:tc>
          <w:tcPr>
            <w:tcW w:w="7832" w:type="dxa"/>
            <w:tcBorders>
              <w:top w:val="single" w:sz="8" w:space="0" w:color="1A171C"/>
              <w:left w:val="single" w:sz="8" w:space="0" w:color="1A171C"/>
              <w:bottom w:val="single" w:sz="8" w:space="0" w:color="1A171C"/>
              <w:right w:val="nil"/>
            </w:tcBorders>
            <w:vAlign w:val="bottom"/>
          </w:tcPr>
          <w:p w14:paraId="7FE1D116" w14:textId="77777777" w:rsidR="00B81226" w:rsidRDefault="00B82AC2">
            <w:pPr>
              <w:pStyle w:val="P68B1DB1-TableParagraph73"/>
              <w:spacing w:before="108"/>
              <w:ind w:left="85"/>
              <w:jc w:val="both"/>
              <w:rPr>
                <w:bCs/>
              </w:rPr>
            </w:pPr>
            <w:r>
              <w:t xml:space="preserve"> Laillinen erääntyminen </w:t>
            </w:r>
          </w:p>
          <w:p w14:paraId="7FE1D117" w14:textId="39B8EDB9" w:rsidR="00B81226" w:rsidRDefault="00B82AC2">
            <w:pPr>
              <w:pStyle w:val="P68B1DB1-TableParagraph40"/>
              <w:spacing w:before="108"/>
              <w:ind w:left="85"/>
              <w:jc w:val="both"/>
            </w:pPr>
            <w:r>
              <w:t>Instrumentin laillinen lopullinen erääntymispäivä. Perpetual-instrumenttien osalta merkitään ”2099–01–31”.</w:t>
            </w:r>
          </w:p>
        </w:tc>
      </w:tr>
      <w:tr w:rsidR="00B81226" w14:paraId="7FE1D121" w14:textId="77777777">
        <w:tc>
          <w:tcPr>
            <w:tcW w:w="1183" w:type="dxa"/>
            <w:tcBorders>
              <w:top w:val="single" w:sz="8" w:space="0" w:color="1A171C"/>
              <w:left w:val="nil"/>
              <w:bottom w:val="single" w:sz="8" w:space="0" w:color="1A171C"/>
              <w:right w:val="single" w:sz="8" w:space="0" w:color="1A171C"/>
            </w:tcBorders>
            <w:vAlign w:val="center"/>
          </w:tcPr>
          <w:p w14:paraId="7FE1D11D" w14:textId="77777777" w:rsidR="00B81226" w:rsidRDefault="00B82AC2">
            <w:pPr>
              <w:pStyle w:val="P68B1DB1-Normal31"/>
            </w:pPr>
            <w:r>
              <w:t>0170</w:t>
            </w:r>
          </w:p>
        </w:tc>
        <w:tc>
          <w:tcPr>
            <w:tcW w:w="7832" w:type="dxa"/>
            <w:tcBorders>
              <w:top w:val="single" w:sz="8" w:space="0" w:color="1A171C"/>
              <w:left w:val="single" w:sz="8" w:space="0" w:color="1A171C"/>
              <w:bottom w:val="single" w:sz="8" w:space="0" w:color="1A171C"/>
              <w:right w:val="nil"/>
            </w:tcBorders>
            <w:vAlign w:val="bottom"/>
          </w:tcPr>
          <w:p w14:paraId="7FE1D11E" w14:textId="638ECC24" w:rsidR="00B81226" w:rsidRDefault="00B82AC2">
            <w:pPr>
              <w:pStyle w:val="P68B1DB1-TableParagraph73"/>
              <w:spacing w:before="108"/>
              <w:ind w:left="85"/>
              <w:jc w:val="both"/>
              <w:rPr>
                <w:bCs/>
              </w:rPr>
            </w:pPr>
            <w:r>
              <w:t xml:space="preserve">Takauksen, pantin tai vakuuden määrä </w:t>
            </w:r>
          </w:p>
          <w:p w14:paraId="7FE1D120" w14:textId="7CF01C3B" w:rsidR="00B81226" w:rsidRDefault="00B82AC2">
            <w:pPr>
              <w:pStyle w:val="P68B1DB1-TableParagraph40"/>
              <w:spacing w:before="108"/>
              <w:ind w:left="85"/>
              <w:jc w:val="both"/>
            </w:pPr>
            <w:r>
              <w:t>Jos velasta on annettu takaus, pantti tai vakuus, sen bruttomarkkina-arvo on ilmoitettava. Muussa tapauksessa vakuudettomien velkojen osalta tämä luokka ilmoitetaan nollana. Tämä määrä määrittää minkä tahansa vakuudellisen velan vakuudellisen ja mahdollisesti vakuudettoman osan. Jos vakuuspoolin vakuudet koskevat useita rivikohtia, määritä kokonaiskattavuus ja sovella määräsuhteen mukaisesti kaikkiin tämän poolin kattamiin rivikohtiin.</w:t>
            </w:r>
          </w:p>
        </w:tc>
      </w:tr>
      <w:tr w:rsidR="00B81226" w14:paraId="7FE1D125" w14:textId="77777777">
        <w:tc>
          <w:tcPr>
            <w:tcW w:w="1183" w:type="dxa"/>
            <w:tcBorders>
              <w:top w:val="single" w:sz="8" w:space="0" w:color="1A171C"/>
              <w:left w:val="nil"/>
              <w:bottom w:val="single" w:sz="8" w:space="0" w:color="1A171C"/>
              <w:right w:val="single" w:sz="8" w:space="0" w:color="1A171C"/>
            </w:tcBorders>
            <w:vAlign w:val="center"/>
          </w:tcPr>
          <w:p w14:paraId="7FE1D122" w14:textId="77777777" w:rsidR="00B81226" w:rsidRDefault="00B82AC2">
            <w:pPr>
              <w:pStyle w:val="P68B1DB1-Normal31"/>
            </w:pPr>
            <w:r>
              <w:t>0180</w:t>
            </w:r>
          </w:p>
        </w:tc>
        <w:tc>
          <w:tcPr>
            <w:tcW w:w="7832" w:type="dxa"/>
            <w:tcBorders>
              <w:top w:val="single" w:sz="8" w:space="0" w:color="1A171C"/>
              <w:left w:val="single" w:sz="8" w:space="0" w:color="1A171C"/>
              <w:bottom w:val="single" w:sz="8" w:space="0" w:color="1A171C"/>
              <w:right w:val="nil"/>
            </w:tcBorders>
            <w:vAlign w:val="bottom"/>
          </w:tcPr>
          <w:p w14:paraId="7FE1D123" w14:textId="6FE5C4C2" w:rsidR="00B81226" w:rsidRDefault="00B82AC2">
            <w:pPr>
              <w:pStyle w:val="P68B1DB1-TableParagraph73"/>
              <w:spacing w:before="108"/>
              <w:ind w:left="85"/>
              <w:jc w:val="both"/>
              <w:rPr>
                <w:bCs/>
              </w:rPr>
            </w:pPr>
            <w:r>
              <w:t xml:space="preserve">Takaaja </w:t>
            </w:r>
          </w:p>
          <w:p w14:paraId="7FE1D124" w14:textId="216ADC15" w:rsidR="00B81226" w:rsidRDefault="00B82AC2">
            <w:pPr>
              <w:pStyle w:val="P68B1DB1-TableParagraph40"/>
              <w:spacing w:before="108"/>
              <w:ind w:left="85"/>
              <w:jc w:val="both"/>
            </w:pPr>
            <w:r>
              <w:t>Jos instrumentille on annettu takauksia, takaajasta on annettava tarkat tunnistetiedot (LEI-tunnus, hallinnon ISO 3166–1 -standardin mukainen kaksikirjaiminen maatunnus jne.). Jos takaajia on useita, kaikkien tunnisteet on ilmoitettava puolipisteellä eroteltuina.</w:t>
            </w:r>
          </w:p>
        </w:tc>
      </w:tr>
      <w:tr w:rsidR="00B81226" w14:paraId="7FE1D131" w14:textId="77777777">
        <w:tc>
          <w:tcPr>
            <w:tcW w:w="1183" w:type="dxa"/>
            <w:tcBorders>
              <w:top w:val="single" w:sz="8" w:space="0" w:color="1A171C"/>
              <w:left w:val="nil"/>
              <w:bottom w:val="single" w:sz="8" w:space="0" w:color="1A171C"/>
              <w:right w:val="single" w:sz="8" w:space="0" w:color="1A171C"/>
            </w:tcBorders>
            <w:vAlign w:val="center"/>
          </w:tcPr>
          <w:p w14:paraId="7FE1D12E" w14:textId="77777777" w:rsidR="00B81226" w:rsidRDefault="00B82AC2">
            <w:pPr>
              <w:pStyle w:val="P68B1DB1-Normal31"/>
            </w:pPr>
            <w:r>
              <w:t>0205</w:t>
            </w:r>
          </w:p>
        </w:tc>
        <w:tc>
          <w:tcPr>
            <w:tcW w:w="7832" w:type="dxa"/>
            <w:tcBorders>
              <w:top w:val="single" w:sz="8" w:space="0" w:color="1A171C"/>
              <w:left w:val="single" w:sz="8" w:space="0" w:color="1A171C"/>
              <w:bottom w:val="single" w:sz="8" w:space="0" w:color="1A171C"/>
              <w:right w:val="nil"/>
            </w:tcBorders>
            <w:vAlign w:val="bottom"/>
          </w:tcPr>
          <w:p w14:paraId="7FE1D12F" w14:textId="77777777" w:rsidR="00B81226" w:rsidRDefault="00B82AC2">
            <w:pPr>
              <w:pStyle w:val="P68B1DB1-TableParagraph73"/>
              <w:spacing w:before="108"/>
              <w:ind w:left="85"/>
              <w:jc w:val="both"/>
              <w:rPr>
                <w:bCs/>
              </w:rPr>
            </w:pPr>
            <w:r>
              <w:t xml:space="preserve">Määrä täyttää omia varoja ja hyväksyttäviä velkoja koskevan vähimmäisvaatimuksen ehdot </w:t>
            </w:r>
          </w:p>
          <w:p w14:paraId="7FE1D130" w14:textId="267C8F59" w:rsidR="00B81226" w:rsidRDefault="00B82AC2">
            <w:pPr>
              <w:pStyle w:val="P68B1DB1-TableParagraph40"/>
              <w:spacing w:before="108"/>
              <w:ind w:left="85"/>
              <w:jc w:val="both"/>
            </w:pPr>
            <w:r>
              <w:t>Direktiivin 2014/59/EU 45 artiklan 1 kohdan mukaisesti asetetun vaatimuksen täyttämiseksi huomioon otettava omien varojen ja hyväksyttävien velkojen määrä</w:t>
            </w:r>
          </w:p>
        </w:tc>
      </w:tr>
      <w:tr w:rsidR="00B81226" w14:paraId="7FE1D135" w14:textId="77777777">
        <w:tc>
          <w:tcPr>
            <w:tcW w:w="1183" w:type="dxa"/>
            <w:tcBorders>
              <w:top w:val="single" w:sz="8" w:space="0" w:color="1A171C"/>
              <w:left w:val="nil"/>
              <w:bottom w:val="single" w:sz="8" w:space="0" w:color="1A171C"/>
              <w:right w:val="single" w:sz="8" w:space="0" w:color="1A171C"/>
            </w:tcBorders>
            <w:vAlign w:val="center"/>
          </w:tcPr>
          <w:p w14:paraId="7FE1D132" w14:textId="77777777" w:rsidR="00B81226" w:rsidRDefault="00B82AC2">
            <w:pPr>
              <w:pStyle w:val="P68B1DB1-Normal31"/>
            </w:pPr>
            <w:r>
              <w:t>0210</w:t>
            </w:r>
          </w:p>
        </w:tc>
        <w:tc>
          <w:tcPr>
            <w:tcW w:w="7832" w:type="dxa"/>
            <w:tcBorders>
              <w:top w:val="single" w:sz="8" w:space="0" w:color="1A171C"/>
              <w:left w:val="single" w:sz="8" w:space="0" w:color="1A171C"/>
              <w:bottom w:val="single" w:sz="8" w:space="0" w:color="1A171C"/>
              <w:right w:val="nil"/>
            </w:tcBorders>
            <w:vAlign w:val="bottom"/>
          </w:tcPr>
          <w:p w14:paraId="7FE1D133" w14:textId="13940F18" w:rsidR="00B81226" w:rsidRDefault="00B82AC2">
            <w:pPr>
              <w:pStyle w:val="P68B1DB1-TableParagraph73"/>
              <w:spacing w:before="108"/>
              <w:ind w:left="85"/>
              <w:jc w:val="both"/>
              <w:rPr>
                <w:bCs/>
              </w:rPr>
            </w:pPr>
            <w:r>
              <w:t xml:space="preserve">Omiksi varoiksi katsottavat </w:t>
            </w:r>
          </w:p>
          <w:p w14:paraId="7FE1D134" w14:textId="3B38CBB9" w:rsidR="00B81226" w:rsidRDefault="00B82AC2">
            <w:pPr>
              <w:pStyle w:val="P68B1DB1-TableParagraph40"/>
              <w:spacing w:before="108"/>
              <w:ind w:left="85"/>
              <w:jc w:val="both"/>
            </w:pPr>
            <w:r>
              <w:t>Ilmoitetaan, sisältyykö kyseinen instrumentti omiin varoihin, ja jos sisältyy, millä tasolla, porrastettua käytöstäpoistoa ja uusista säännöksistä siirtymäajaksi vapauttamista koskevien tietojen lisäksi. Arvoksi valitaan valmiista luettelosta joko ”Ei”, ”Osittain AT1, T1 ja T2”, ”Porrastetusti käytöstä poistettava T2”, ”Uusista säännöksistä siirtymäajaksi vapautettu T2”, ”Täysin vaatimustenmukainen T2”, ”Uusista säännöksistä siirtymäajaksi vapautettu AT1”, ”Täysin vaatimustenmukainen AT1” tai ”CET1”.</w:t>
            </w:r>
          </w:p>
        </w:tc>
      </w:tr>
      <w:tr w:rsidR="00B81226" w14:paraId="7FE1D139" w14:textId="77777777">
        <w:tc>
          <w:tcPr>
            <w:tcW w:w="1183" w:type="dxa"/>
            <w:tcBorders>
              <w:top w:val="single" w:sz="8" w:space="0" w:color="1A171C"/>
              <w:left w:val="nil"/>
              <w:bottom w:val="single" w:sz="8" w:space="0" w:color="1A171C"/>
              <w:right w:val="single" w:sz="8" w:space="0" w:color="1A171C"/>
            </w:tcBorders>
            <w:vAlign w:val="center"/>
          </w:tcPr>
          <w:p w14:paraId="7FE1D136" w14:textId="77777777" w:rsidR="00B81226" w:rsidRDefault="00B82AC2">
            <w:pPr>
              <w:pStyle w:val="P68B1DB1-Normal31"/>
            </w:pPr>
            <w:r>
              <w:t>0220</w:t>
            </w:r>
          </w:p>
        </w:tc>
        <w:tc>
          <w:tcPr>
            <w:tcW w:w="7832" w:type="dxa"/>
            <w:tcBorders>
              <w:top w:val="single" w:sz="8" w:space="0" w:color="1A171C"/>
              <w:left w:val="single" w:sz="8" w:space="0" w:color="1A171C"/>
              <w:bottom w:val="single" w:sz="8" w:space="0" w:color="1A171C"/>
              <w:right w:val="nil"/>
            </w:tcBorders>
            <w:vAlign w:val="bottom"/>
          </w:tcPr>
          <w:p w14:paraId="7FE1D137" w14:textId="6E010E25" w:rsidR="00B81226" w:rsidRDefault="00B82AC2">
            <w:pPr>
              <w:pStyle w:val="P68B1DB1-TableParagraph40"/>
              <w:spacing w:before="108"/>
              <w:ind w:left="85"/>
              <w:jc w:val="both"/>
              <w:rPr>
                <w:b/>
                <w:bCs/>
              </w:rPr>
            </w:pPr>
            <w:r>
              <w:t xml:space="preserve"> </w:t>
            </w:r>
            <w:r>
              <w:rPr>
                <w:b/>
              </w:rPr>
              <w:t>Määrä, joka hyväksytään omiksi varoiksi</w:t>
            </w:r>
          </w:p>
          <w:p w14:paraId="7FE1D138" w14:textId="48ED7147" w:rsidR="00B81226" w:rsidRDefault="00B82AC2">
            <w:pPr>
              <w:pStyle w:val="P68B1DB1-TableParagraph40"/>
              <w:spacing w:before="108"/>
              <w:ind w:left="85"/>
              <w:jc w:val="both"/>
            </w:pPr>
            <w:r>
              <w:t>Omia varoja koskevat ehdot täyttävän instrumentin määrä.</w:t>
            </w:r>
          </w:p>
        </w:tc>
      </w:tr>
    </w:tbl>
    <w:p w14:paraId="7FE1D13A" w14:textId="77777777" w:rsidR="00B81226" w:rsidRDefault="00B81226">
      <w:pPr>
        <w:pStyle w:val="Instructionsberschrift2"/>
        <w:ind w:left="357"/>
        <w:rPr>
          <w:rFonts w:ascii="Times New Roman" w:eastAsia="Calibri" w:hAnsi="Times New Roman" w:cs="Times New Roman"/>
          <w:szCs w:val="20"/>
        </w:rPr>
      </w:pPr>
      <w:bookmarkStart w:id="247" w:name="_Toc81454216"/>
    </w:p>
    <w:p w14:paraId="7FE1D13B" w14:textId="0DCB9703" w:rsidR="00B81226" w:rsidRDefault="00B82AC2">
      <w:pPr>
        <w:pStyle w:val="Instructionsberschrift2"/>
        <w:numPr>
          <w:ilvl w:val="1"/>
          <w:numId w:val="49"/>
        </w:numPr>
        <w:spacing w:before="0"/>
        <w:ind w:left="357" w:hanging="357"/>
        <w:rPr>
          <w:rFonts w:ascii="Times New Roman" w:hAnsi="Times New Roman" w:cs="Times New Roman"/>
        </w:rPr>
      </w:pPr>
      <w:bookmarkStart w:id="248" w:name="_Toc208245470"/>
      <w:r>
        <w:rPr>
          <w:rFonts w:ascii="Times New Roman" w:eastAsiaTheme="minorEastAsia" w:hAnsi="Times New Roman" w:cs="Times New Roman"/>
        </w:rPr>
        <w:t xml:space="preserve">Z 15.00 – Johdannaiset </w:t>
      </w:r>
      <w:r>
        <w:rPr>
          <w:rFonts w:ascii="Times New Roman" w:eastAsia="Calibri" w:hAnsi="Times New Roman" w:cs="Times New Roman"/>
          <w:szCs w:val="20"/>
        </w:rPr>
        <w:t>(LIAB-G-5)</w:t>
      </w:r>
      <w:bookmarkEnd w:id="248"/>
    </w:p>
    <w:bookmarkEnd w:id="247"/>
    <w:p w14:paraId="7FE1D13D" w14:textId="77777777" w:rsidR="00B81226" w:rsidRDefault="00B82AC2">
      <w:pPr>
        <w:pStyle w:val="P68B1DB1-Numberedtitlelevel388"/>
      </w:pPr>
      <w:r>
        <w:t>Yleiset huomautukset</w:t>
      </w:r>
    </w:p>
    <w:p w14:paraId="7FE1D13E" w14:textId="2F22A34C" w:rsidR="00B81226" w:rsidRDefault="00B82AC2">
      <w:pPr>
        <w:pStyle w:val="P68B1DB1-InstructionsText286"/>
        <w:numPr>
          <w:ilvl w:val="2"/>
          <w:numId w:val="209"/>
        </w:numPr>
        <w:spacing w:before="0"/>
        <w:ind w:left="1276"/>
        <w:rPr>
          <w:rFonts w:eastAsiaTheme="majorEastAsia"/>
        </w:rPr>
      </w:pPr>
      <w:r>
        <w:lastRenderedPageBreak/>
        <w:t xml:space="preserve">Tässä taulukossa johdannaisista johtuvat velat ilmoitetaan nettoutusryhmittäin eli kukin nettoutusryhmä, joka ilmoitetaan yksittäisenä rivinä. </w:t>
      </w:r>
    </w:p>
    <w:p w14:paraId="7FE1D140" w14:textId="6B5870BD" w:rsidR="00B81226" w:rsidRDefault="00B82AC2">
      <w:pPr>
        <w:pStyle w:val="P68B1DB1-InstructionsText286"/>
        <w:numPr>
          <w:ilvl w:val="2"/>
          <w:numId w:val="209"/>
        </w:numPr>
        <w:spacing w:before="0"/>
        <w:ind w:left="1276"/>
      </w:pPr>
      <w:r>
        <w:t>Ilmoitetaan ainoastaan johdannaisten nettoutusryhmät/yksittäiset sopimukset, jotka johtavat markkinahintaan arvostamiseen (sarake c0120).</w:t>
      </w:r>
    </w:p>
    <w:p w14:paraId="7FE1D142" w14:textId="77777777" w:rsidR="00B81226" w:rsidRDefault="00B82AC2">
      <w:pPr>
        <w:pStyle w:val="P68B1DB1-Numberedtitlelevel388"/>
      </w:pPr>
      <w:r>
        <w:t>Tiettyjä kohtia koskevat ohjeet</w:t>
      </w:r>
    </w:p>
    <w:tbl>
      <w:tblPr>
        <w:tblW w:w="9015" w:type="dxa"/>
        <w:tblInd w:w="135" w:type="dxa"/>
        <w:tblLayout w:type="fixed"/>
        <w:tblLook w:val="04A0" w:firstRow="1" w:lastRow="0" w:firstColumn="1" w:lastColumn="0" w:noHBand="0" w:noVBand="1"/>
      </w:tblPr>
      <w:tblGrid>
        <w:gridCol w:w="1183"/>
        <w:gridCol w:w="7832"/>
      </w:tblGrid>
      <w:tr w:rsidR="00B81226" w14:paraId="7FE1D14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43" w14:textId="77777777" w:rsidR="00B81226" w:rsidRDefault="00B82AC2">
            <w:pPr>
              <w:pStyle w:val="P68B1DB1-Normal31"/>
            </w:pPr>
            <w:r>
              <w:t xml:space="preserve">Sarakkeet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44" w14:textId="77777777" w:rsidR="00B81226" w:rsidRDefault="00B82AC2">
            <w:pPr>
              <w:pStyle w:val="P68B1DB1-Normal31"/>
            </w:pPr>
            <w:r>
              <w:t xml:space="preserve">Ohjeet </w:t>
            </w:r>
          </w:p>
        </w:tc>
      </w:tr>
      <w:tr w:rsidR="00B81226" w14:paraId="7FE1D149" w14:textId="77777777">
        <w:tc>
          <w:tcPr>
            <w:tcW w:w="1183" w:type="dxa"/>
            <w:tcBorders>
              <w:top w:val="single" w:sz="8" w:space="0" w:color="1A171C"/>
              <w:left w:val="nil"/>
              <w:bottom w:val="single" w:sz="8" w:space="0" w:color="1A171C"/>
              <w:right w:val="single" w:sz="8" w:space="0" w:color="1A171C"/>
            </w:tcBorders>
            <w:vAlign w:val="center"/>
          </w:tcPr>
          <w:p w14:paraId="7FE1D146" w14:textId="77777777" w:rsidR="00B81226" w:rsidRDefault="00B82AC2">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47" w14:textId="4468B718" w:rsidR="00B81226" w:rsidRDefault="00B82AC2">
            <w:pPr>
              <w:pStyle w:val="P68B1DB1-TableParagraph73"/>
              <w:spacing w:before="108"/>
              <w:ind w:left="85"/>
              <w:jc w:val="both"/>
              <w:rPr>
                <w:bCs/>
              </w:rPr>
            </w:pPr>
            <w:r>
              <w:t xml:space="preserve">NRO </w:t>
            </w:r>
          </w:p>
          <w:p w14:paraId="7FE1D148" w14:textId="7090CAA7" w:rsidR="00B81226" w:rsidRDefault="00B82AC2">
            <w:pPr>
              <w:pStyle w:val="P68B1DB1-TableParagraph40"/>
              <w:spacing w:before="108"/>
              <w:ind w:left="85"/>
              <w:jc w:val="both"/>
            </w:pPr>
            <w:r>
              <w:t>Yksilöllinen numero/ensisijainen tunniste rivikohtien tunnistamiseen.</w:t>
            </w:r>
          </w:p>
        </w:tc>
      </w:tr>
      <w:tr w:rsidR="00B81226" w14:paraId="7FE1D14D" w14:textId="77777777">
        <w:tc>
          <w:tcPr>
            <w:tcW w:w="1183" w:type="dxa"/>
            <w:tcBorders>
              <w:top w:val="single" w:sz="8" w:space="0" w:color="1A171C"/>
              <w:left w:val="nil"/>
              <w:bottom w:val="single" w:sz="8" w:space="0" w:color="1A171C"/>
              <w:right w:val="single" w:sz="8" w:space="0" w:color="1A171C"/>
            </w:tcBorders>
            <w:vAlign w:val="center"/>
          </w:tcPr>
          <w:p w14:paraId="7FE1D14A" w14:textId="77777777" w:rsidR="00B81226" w:rsidRDefault="00B82AC2">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4B" w14:textId="7DBB5157" w:rsidR="00B81226" w:rsidRDefault="00B82AC2">
            <w:pPr>
              <w:pStyle w:val="P68B1DB1-TableParagraph73"/>
              <w:spacing w:before="108"/>
              <w:ind w:left="85"/>
              <w:jc w:val="both"/>
              <w:rPr>
                <w:bCs/>
              </w:rPr>
            </w:pPr>
            <w:r>
              <w:t xml:space="preserve">Sarake </w:t>
            </w:r>
          </w:p>
          <w:p w14:paraId="7FE1D14C" w14:textId="43946C69" w:rsidR="00B81226" w:rsidRDefault="00B82AC2">
            <w:pPr>
              <w:pStyle w:val="P68B1DB1-TableParagraph40"/>
              <w:spacing w:before="108"/>
              <w:ind w:left="85"/>
              <w:jc w:val="both"/>
            </w:pPr>
            <w:r>
              <w:t>Kunkin nettoutusryhmän osalta täsmäytys, jonka kanssa se on sopimuksen kohteena olevan velkarakenteen vastapuoliluokituksessa Z 02.00, on esitettävä ennalta määritetystä arvoluettelosta.</w:t>
            </w:r>
          </w:p>
        </w:tc>
      </w:tr>
      <w:tr w:rsidR="00B81226" w14:paraId="7FE1D151" w14:textId="77777777">
        <w:tc>
          <w:tcPr>
            <w:tcW w:w="1183" w:type="dxa"/>
            <w:tcBorders>
              <w:top w:val="single" w:sz="8" w:space="0" w:color="1A171C"/>
              <w:left w:val="nil"/>
              <w:bottom w:val="single" w:sz="8" w:space="0" w:color="1A171C"/>
              <w:right w:val="single" w:sz="8" w:space="0" w:color="1A171C"/>
            </w:tcBorders>
            <w:vAlign w:val="center"/>
          </w:tcPr>
          <w:p w14:paraId="7FE1D14E" w14:textId="77777777" w:rsidR="00B81226" w:rsidRDefault="00B82AC2">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4F" w14:textId="6A6D5CEA" w:rsidR="00B81226" w:rsidRDefault="00B82AC2">
            <w:pPr>
              <w:pStyle w:val="P68B1DB1-TableParagraph73"/>
              <w:spacing w:before="108"/>
              <w:ind w:left="85"/>
              <w:jc w:val="both"/>
              <w:rPr>
                <w:bCs/>
              </w:rPr>
            </w:pPr>
            <w:r>
              <w:t xml:space="preserve">Ensisijaisuusjärjestys maksukyvyttömyysmenettelyssä  </w:t>
            </w:r>
          </w:p>
          <w:p w14:paraId="7FE1D150" w14:textId="00926D41" w:rsidR="00B81226" w:rsidRDefault="00B82AC2">
            <w:pPr>
              <w:pStyle w:val="P68B1DB1-TableParagraph40"/>
              <w:spacing w:before="108"/>
              <w:ind w:left="85"/>
              <w:jc w:val="both"/>
            </w:pPr>
            <w:r>
              <w:t>Maksukyvyttömyysluokan on oltava jokin kyseisen lainkäyttöalueen kriisinratkaisuviranomaisen julkaisemiin maksukyvyttömyysluokituksiin kuuluvista luokista.</w:t>
            </w:r>
          </w:p>
        </w:tc>
      </w:tr>
      <w:tr w:rsidR="00B81226" w14:paraId="7FE1D155" w14:textId="77777777">
        <w:tc>
          <w:tcPr>
            <w:tcW w:w="1183" w:type="dxa"/>
            <w:tcBorders>
              <w:top w:val="single" w:sz="8" w:space="0" w:color="1A171C"/>
              <w:left w:val="nil"/>
              <w:bottom w:val="single" w:sz="8" w:space="0" w:color="1A171C"/>
              <w:right w:val="single" w:sz="8" w:space="0" w:color="1A171C"/>
            </w:tcBorders>
            <w:vAlign w:val="center"/>
          </w:tcPr>
          <w:p w14:paraId="7FE1D152" w14:textId="77777777" w:rsidR="00B81226" w:rsidRDefault="00B82AC2">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53" w14:textId="0C760DD7" w:rsidR="00B81226" w:rsidRDefault="00B82AC2">
            <w:pPr>
              <w:pStyle w:val="P68B1DB1-TableParagraph73"/>
              <w:spacing w:before="108"/>
              <w:ind w:left="85"/>
              <w:jc w:val="both"/>
              <w:rPr>
                <w:bCs/>
              </w:rPr>
            </w:pPr>
            <w:r>
              <w:t xml:space="preserve">Pääsopimuksen tunnus  </w:t>
            </w:r>
          </w:p>
          <w:p w14:paraId="7FE1D154" w14:textId="77777777" w:rsidR="00B81226" w:rsidRDefault="00B82AC2">
            <w:pPr>
              <w:pStyle w:val="P68B1DB1-TableParagraph40"/>
              <w:spacing w:before="108"/>
              <w:ind w:left="85"/>
              <w:jc w:val="both"/>
            </w:pPr>
            <w:r>
              <w:t>Sopimuksen sisäinen tunniste tai yksittäisen sopimuksen tunniste.</w:t>
            </w:r>
          </w:p>
        </w:tc>
      </w:tr>
      <w:tr w:rsidR="00B81226" w14:paraId="7FE1D159" w14:textId="77777777">
        <w:tc>
          <w:tcPr>
            <w:tcW w:w="1183" w:type="dxa"/>
            <w:tcBorders>
              <w:top w:val="single" w:sz="8" w:space="0" w:color="1A171C"/>
              <w:left w:val="nil"/>
              <w:bottom w:val="single" w:sz="8" w:space="0" w:color="1A171C"/>
              <w:right w:val="single" w:sz="8" w:space="0" w:color="1A171C"/>
            </w:tcBorders>
            <w:vAlign w:val="center"/>
          </w:tcPr>
          <w:p w14:paraId="7FE1D156" w14:textId="77777777" w:rsidR="00B81226" w:rsidRDefault="00B82AC2">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57" w14:textId="27FD9F90" w:rsidR="00B81226" w:rsidRDefault="00B82AC2">
            <w:pPr>
              <w:pStyle w:val="P68B1DB1-TableParagraph73"/>
              <w:spacing w:before="108"/>
              <w:ind w:left="85"/>
              <w:jc w:val="both"/>
              <w:rPr>
                <w:bCs/>
              </w:rPr>
            </w:pPr>
            <w:r>
              <w:t xml:space="preserve">Vakiosopimustyyppi </w:t>
            </w:r>
          </w:p>
          <w:p w14:paraId="7FE1D158" w14:textId="338F32CE" w:rsidR="00B81226" w:rsidRDefault="00B82AC2">
            <w:pPr>
              <w:pStyle w:val="P68B1DB1-TableParagraph40"/>
              <w:spacing w:before="108"/>
              <w:ind w:left="85"/>
              <w:jc w:val="both"/>
            </w:pPr>
            <w:r>
              <w:t>Ilmoittakaa vakiosopimus, joko ’ISDA 2002 Master Agreement’, ’ISDA 1992 Master Agreement’, ’ISDA 1987 Master Agreement’, ’ISDA 1986 Master Agreement’, ’ISDA 1985 Master Agreement’, ’muu master Agreement’ tai ’yhteinen sopimus’ ennalta määritetystä luettelosta.</w:t>
            </w:r>
          </w:p>
        </w:tc>
      </w:tr>
      <w:tr w:rsidR="00B81226" w14:paraId="7FE1D15D" w14:textId="77777777">
        <w:tc>
          <w:tcPr>
            <w:tcW w:w="1183" w:type="dxa"/>
            <w:tcBorders>
              <w:top w:val="single" w:sz="8" w:space="0" w:color="1A171C"/>
              <w:left w:val="nil"/>
              <w:bottom w:val="single" w:sz="8" w:space="0" w:color="1A171C"/>
              <w:right w:val="single" w:sz="8" w:space="0" w:color="1A171C"/>
            </w:tcBorders>
            <w:vAlign w:val="center"/>
          </w:tcPr>
          <w:p w14:paraId="7FE1D15A" w14:textId="77777777" w:rsidR="00B81226" w:rsidRDefault="00B82AC2">
            <w:pPr>
              <w:pStyle w:val="P68B1DB1-Normal31"/>
            </w:pPr>
            <w:r>
              <w:t>0061</w:t>
            </w:r>
          </w:p>
        </w:tc>
        <w:tc>
          <w:tcPr>
            <w:tcW w:w="7832" w:type="dxa"/>
            <w:tcBorders>
              <w:top w:val="single" w:sz="8" w:space="0" w:color="1A171C"/>
              <w:left w:val="single" w:sz="8" w:space="0" w:color="1A171C"/>
              <w:bottom w:val="single" w:sz="8" w:space="0" w:color="1A171C"/>
              <w:right w:val="nil"/>
            </w:tcBorders>
            <w:vAlign w:val="bottom"/>
          </w:tcPr>
          <w:p w14:paraId="7FE1D15B" w14:textId="179CE7EC" w:rsidR="00B81226" w:rsidRDefault="00B82AC2">
            <w:pPr>
              <w:pStyle w:val="P68B1DB1-TableParagraph73"/>
              <w:spacing w:before="108"/>
              <w:ind w:left="85"/>
              <w:jc w:val="both"/>
              <w:rPr>
                <w:bCs/>
              </w:rPr>
            </w:pPr>
            <w:r>
              <w:t xml:space="preserve">ISDA-protokollan osapuoli  </w:t>
            </w:r>
          </w:p>
          <w:p w14:paraId="7FE1D15C" w14:textId="34C9BF40" w:rsidR="00B81226" w:rsidRDefault="00B82AC2">
            <w:pPr>
              <w:pStyle w:val="P68B1DB1-TableParagraph40"/>
              <w:spacing w:before="108"/>
              <w:ind w:left="85"/>
              <w:jc w:val="both"/>
            </w:pPr>
            <w:r>
              <w:t xml:space="preserve">Ilmoitetaan, onko yhteisö allekirjoittanut ISDAn Universal Stay Protocol -asiakirjan, valitsemalla valmiista luettelosta joko ”ISDA Universal Protocol”, ”ISDA JMP Module”, ”BRRD II Omnibus Jurisdictional Module” tai ”Ei”. </w:t>
            </w:r>
          </w:p>
        </w:tc>
      </w:tr>
      <w:tr w:rsidR="00B81226" w14:paraId="7FE1D161" w14:textId="77777777">
        <w:tc>
          <w:tcPr>
            <w:tcW w:w="1183" w:type="dxa"/>
            <w:tcBorders>
              <w:top w:val="single" w:sz="8" w:space="0" w:color="1A171C"/>
              <w:left w:val="nil"/>
              <w:bottom w:val="single" w:sz="8" w:space="0" w:color="1A171C"/>
              <w:right w:val="single" w:sz="8" w:space="0" w:color="1A171C"/>
            </w:tcBorders>
            <w:vAlign w:val="center"/>
          </w:tcPr>
          <w:p w14:paraId="7FE1D15E" w14:textId="77777777" w:rsidR="00B81226" w:rsidRDefault="00B82AC2">
            <w:pPr>
              <w:pStyle w:val="P68B1DB1-Normal31"/>
            </w:pPr>
            <w:r>
              <w:t>0071</w:t>
            </w:r>
          </w:p>
        </w:tc>
        <w:tc>
          <w:tcPr>
            <w:tcW w:w="7832" w:type="dxa"/>
            <w:tcBorders>
              <w:top w:val="single" w:sz="8" w:space="0" w:color="1A171C"/>
              <w:left w:val="single" w:sz="8" w:space="0" w:color="1A171C"/>
              <w:bottom w:val="single" w:sz="8" w:space="0" w:color="1A171C"/>
              <w:right w:val="nil"/>
            </w:tcBorders>
            <w:vAlign w:val="bottom"/>
          </w:tcPr>
          <w:p w14:paraId="7FE1D15F" w14:textId="77777777" w:rsidR="00B81226" w:rsidRDefault="00B82AC2">
            <w:pPr>
              <w:pStyle w:val="P68B1DB1-TableParagraph73"/>
              <w:spacing w:before="108"/>
              <w:ind w:left="85"/>
              <w:jc w:val="both"/>
              <w:rPr>
                <w:bCs/>
              </w:rPr>
            </w:pPr>
            <w:r>
              <w:t xml:space="preserve">Kriisinratkaisun keskeyttäminen  </w:t>
            </w:r>
          </w:p>
          <w:p w14:paraId="7FE1D160" w14:textId="59E963FA" w:rsidR="00B81226" w:rsidRDefault="00B82AC2">
            <w:pPr>
              <w:pStyle w:val="P68B1DB1-TableParagraph40"/>
              <w:spacing w:before="108"/>
              <w:ind w:left="85"/>
              <w:jc w:val="both"/>
            </w:pPr>
            <w:r>
              <w:t>Ilmoitetaan, onko vastapuoli liittynyt asiakirjaan, valitsemalla valmiista luettelosta joko ”ISDA Universal Protocol”, ”ISDA JMP Module”, ”Muu sopimus kriisinratkaisun lykkäämisen tunnustamiseen” tai ”Ei kriisinratkaisun lykkäämisen tunnustamista”.</w:t>
            </w:r>
          </w:p>
        </w:tc>
      </w:tr>
      <w:tr w:rsidR="00B81226" w14:paraId="7FE1D165" w14:textId="77777777">
        <w:tc>
          <w:tcPr>
            <w:tcW w:w="1183" w:type="dxa"/>
            <w:tcBorders>
              <w:top w:val="single" w:sz="8" w:space="0" w:color="1A171C"/>
              <w:left w:val="nil"/>
              <w:bottom w:val="single" w:sz="8" w:space="0" w:color="1A171C"/>
              <w:right w:val="single" w:sz="8" w:space="0" w:color="1A171C"/>
            </w:tcBorders>
            <w:vAlign w:val="center"/>
          </w:tcPr>
          <w:p w14:paraId="7FE1D162" w14:textId="77777777" w:rsidR="00B81226" w:rsidRDefault="00B82AC2">
            <w:pPr>
              <w:pStyle w:val="P68B1DB1-Normal31"/>
            </w:pPr>
            <w:r>
              <w:t>0075</w:t>
            </w:r>
          </w:p>
        </w:tc>
        <w:tc>
          <w:tcPr>
            <w:tcW w:w="7832" w:type="dxa"/>
            <w:tcBorders>
              <w:top w:val="single" w:sz="8" w:space="0" w:color="1A171C"/>
              <w:left w:val="single" w:sz="8" w:space="0" w:color="1A171C"/>
              <w:bottom w:val="single" w:sz="8" w:space="0" w:color="1A171C"/>
              <w:right w:val="nil"/>
            </w:tcBorders>
            <w:vAlign w:val="bottom"/>
          </w:tcPr>
          <w:p w14:paraId="7FE1D163" w14:textId="69AD6494" w:rsidR="00B81226" w:rsidRDefault="00B82AC2">
            <w:pPr>
              <w:pStyle w:val="P68B1DB1-TableParagraph73"/>
              <w:spacing w:before="108"/>
              <w:ind w:left="85"/>
              <w:jc w:val="both"/>
              <w:rPr>
                <w:bCs/>
              </w:rPr>
            </w:pPr>
            <w:r>
              <w:t xml:space="preserve">Vastapuolen nimi </w:t>
            </w:r>
          </w:p>
          <w:p w14:paraId="7FE1D164" w14:textId="222EF1A6" w:rsidR="00B81226" w:rsidRDefault="00B82AC2">
            <w:pPr>
              <w:pStyle w:val="P68B1DB1-TableParagraph40"/>
              <w:spacing w:before="108"/>
              <w:ind w:left="85"/>
              <w:jc w:val="both"/>
            </w:pPr>
            <w:bookmarkStart w:id="249" w:name="_Hlk189839311"/>
            <w:r>
              <w:t>Vastapuolen yhteisön nimi.</w:t>
            </w:r>
            <w:bookmarkEnd w:id="249"/>
            <w:r>
              <w:t xml:space="preserve"> Jos kyseessä ovat keskusvastapuolessa määritetyt johdannaiset, ilmoitetaan asianomainen keskusvastapuoli vastapuolena.</w:t>
            </w:r>
          </w:p>
        </w:tc>
      </w:tr>
      <w:tr w:rsidR="00B81226" w14:paraId="7FE1D169" w14:textId="77777777">
        <w:tc>
          <w:tcPr>
            <w:tcW w:w="1183" w:type="dxa"/>
            <w:tcBorders>
              <w:top w:val="single" w:sz="8" w:space="0" w:color="1A171C"/>
              <w:left w:val="nil"/>
              <w:bottom w:val="single" w:sz="8" w:space="0" w:color="1A171C"/>
              <w:right w:val="single" w:sz="8" w:space="0" w:color="1A171C"/>
            </w:tcBorders>
            <w:vAlign w:val="center"/>
          </w:tcPr>
          <w:p w14:paraId="7FE1D166" w14:textId="77777777" w:rsidR="00B81226" w:rsidRDefault="00B82AC2">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0E76A125" w14:textId="26AE2361" w:rsidR="00B81226" w:rsidRDefault="00B82AC2">
            <w:pPr>
              <w:pStyle w:val="P68B1DB1-TableParagraph73"/>
              <w:spacing w:before="108"/>
              <w:ind w:left="85"/>
              <w:jc w:val="both"/>
              <w:rPr>
                <w:bCs/>
              </w:rPr>
            </w:pPr>
            <w:r>
              <w:t xml:space="preserve">Vastapuolen tunniste </w:t>
            </w:r>
          </w:p>
          <w:p w14:paraId="7FE1D168" w14:textId="7D4036D9" w:rsidR="00B81226" w:rsidRDefault="00B82AC2">
            <w:pPr>
              <w:pStyle w:val="P68B1DB1-TableParagraph40"/>
              <w:spacing w:before="108"/>
              <w:ind w:left="85"/>
              <w:jc w:val="both"/>
            </w:pPr>
            <w:r>
              <w:t xml:space="preserve">Ilmoitetaan vastapuolen LEI-tunnus. Jos oikeushenkilötunnusta ei ole, pankkien raporteissa käytetään RIAD-tietokannassa käytettyä EKP:n rahalaitosten tunnistetta (MFI ID). Jos näistä tunnisteista kumpaakaan ei ole, ilmoita sisäinen tunniste. </w:t>
            </w:r>
          </w:p>
        </w:tc>
      </w:tr>
      <w:tr w:rsidR="00B81226" w14:paraId="7FE1D16D" w14:textId="77777777">
        <w:tc>
          <w:tcPr>
            <w:tcW w:w="1183" w:type="dxa"/>
            <w:tcBorders>
              <w:top w:val="single" w:sz="8" w:space="0" w:color="1A171C"/>
              <w:left w:val="nil"/>
              <w:bottom w:val="single" w:sz="8" w:space="0" w:color="1A171C"/>
              <w:right w:val="single" w:sz="8" w:space="0" w:color="1A171C"/>
            </w:tcBorders>
            <w:vAlign w:val="center"/>
          </w:tcPr>
          <w:p w14:paraId="7FE1D16A" w14:textId="77777777" w:rsidR="00B81226" w:rsidRDefault="00B82AC2">
            <w:pPr>
              <w:pStyle w:val="P68B1DB1-Normal31"/>
            </w:pPr>
            <w:r>
              <w:t>0085</w:t>
            </w:r>
          </w:p>
        </w:tc>
        <w:tc>
          <w:tcPr>
            <w:tcW w:w="7832" w:type="dxa"/>
            <w:tcBorders>
              <w:top w:val="single" w:sz="8" w:space="0" w:color="1A171C"/>
              <w:left w:val="single" w:sz="8" w:space="0" w:color="1A171C"/>
              <w:bottom w:val="single" w:sz="8" w:space="0" w:color="1A171C"/>
              <w:right w:val="nil"/>
            </w:tcBorders>
            <w:vAlign w:val="bottom"/>
          </w:tcPr>
          <w:p w14:paraId="7FE1D16B" w14:textId="77777777" w:rsidR="00B81226" w:rsidRDefault="00B82AC2">
            <w:pPr>
              <w:pStyle w:val="P68B1DB1-TableParagraph73"/>
              <w:spacing w:before="108"/>
              <w:ind w:left="85"/>
              <w:jc w:val="both"/>
              <w:rPr>
                <w:bCs/>
              </w:rPr>
            </w:pPr>
            <w:r>
              <w:t xml:space="preserve">Tunnustyyppi </w:t>
            </w:r>
          </w:p>
          <w:p w14:paraId="7FE1D16C" w14:textId="77777777" w:rsidR="00B81226" w:rsidRDefault="00B82AC2">
            <w:pPr>
              <w:pStyle w:val="P68B1DB1-TableParagraph40"/>
              <w:spacing w:before="108"/>
              <w:ind w:left="85"/>
              <w:jc w:val="both"/>
            </w:pPr>
            <w:r>
              <w:t>Tässä on valittava seuraavista vaihtoehdoista: LEI-tunnus, MFI-tunnus tai muu tunnisteen tyyppi kuin LEI- tai MFI-tunnus</w:t>
            </w:r>
          </w:p>
        </w:tc>
      </w:tr>
      <w:tr w:rsidR="00B81226" w14:paraId="7FE1D171" w14:textId="77777777">
        <w:tc>
          <w:tcPr>
            <w:tcW w:w="1183" w:type="dxa"/>
            <w:tcBorders>
              <w:top w:val="single" w:sz="8" w:space="0" w:color="1A171C"/>
              <w:left w:val="nil"/>
              <w:bottom w:val="single" w:sz="8" w:space="0" w:color="1A171C"/>
              <w:right w:val="single" w:sz="8" w:space="0" w:color="1A171C"/>
            </w:tcBorders>
            <w:vAlign w:val="center"/>
          </w:tcPr>
          <w:p w14:paraId="7FE1D16E" w14:textId="77777777" w:rsidR="00B81226" w:rsidRDefault="00B82AC2">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6F" w14:textId="23850D88" w:rsidR="00B81226" w:rsidRDefault="00B82AC2">
            <w:pPr>
              <w:pStyle w:val="P68B1DB1-TableParagraph73"/>
              <w:spacing w:before="108"/>
              <w:ind w:left="85"/>
              <w:jc w:val="both"/>
              <w:rPr>
                <w:bCs/>
              </w:rPr>
            </w:pPr>
            <w:r>
              <w:t xml:space="preserve">Vastapuolen maa  </w:t>
            </w:r>
          </w:p>
          <w:p w14:paraId="7FE1D170" w14:textId="77777777" w:rsidR="00B81226" w:rsidRDefault="00B82AC2">
            <w:pPr>
              <w:pStyle w:val="P68B1DB1-TableParagraph40"/>
              <w:spacing w:before="108"/>
              <w:ind w:left="85"/>
              <w:jc w:val="both"/>
            </w:pPr>
            <w:r>
              <w:t>Sen maan ISO 3166–1 alpha-2 -tunniste, johon vastapuoli on sijoittautunut.</w:t>
            </w:r>
          </w:p>
        </w:tc>
      </w:tr>
      <w:tr w:rsidR="00B81226" w14:paraId="7404F251" w14:textId="77777777">
        <w:tc>
          <w:tcPr>
            <w:tcW w:w="1183" w:type="dxa"/>
            <w:tcBorders>
              <w:top w:val="single" w:sz="8" w:space="0" w:color="1A171C"/>
              <w:left w:val="nil"/>
              <w:bottom w:val="single" w:sz="8" w:space="0" w:color="1A171C"/>
              <w:right w:val="single" w:sz="8" w:space="0" w:color="1A171C"/>
            </w:tcBorders>
            <w:vAlign w:val="center"/>
          </w:tcPr>
          <w:p w14:paraId="6A962F58" w14:textId="41C252E0" w:rsidR="00B81226" w:rsidRDefault="00B82AC2">
            <w:pPr>
              <w:pStyle w:val="P68B1DB1-Normal31"/>
            </w:pPr>
            <w:r>
              <w:t>0095</w:t>
            </w:r>
          </w:p>
        </w:tc>
        <w:tc>
          <w:tcPr>
            <w:tcW w:w="7832" w:type="dxa"/>
            <w:tcBorders>
              <w:top w:val="single" w:sz="8" w:space="0" w:color="1A171C"/>
              <w:left w:val="single" w:sz="8" w:space="0" w:color="1A171C"/>
              <w:bottom w:val="single" w:sz="8" w:space="0" w:color="1A171C"/>
              <w:right w:val="nil"/>
            </w:tcBorders>
            <w:vAlign w:val="bottom"/>
          </w:tcPr>
          <w:p w14:paraId="770D3BD3" w14:textId="77777777" w:rsidR="00B81226" w:rsidRDefault="00B82AC2">
            <w:pPr>
              <w:pStyle w:val="P68B1DB1-TableParagraph73"/>
              <w:spacing w:before="108"/>
              <w:ind w:left="85"/>
              <w:jc w:val="both"/>
              <w:rPr>
                <w:bCs/>
              </w:rPr>
            </w:pPr>
            <w:r>
              <w:t>Konsernin sisäinen transaktio</w:t>
            </w:r>
          </w:p>
          <w:p w14:paraId="1EA32667" w14:textId="1995F401" w:rsidR="00B81226" w:rsidRDefault="00B82AC2">
            <w:pPr>
              <w:pStyle w:val="P68B1DB1-TableParagraph40"/>
              <w:spacing w:before="108"/>
              <w:ind w:left="85"/>
              <w:jc w:val="both"/>
            </w:pPr>
            <w:r>
              <w:t xml:space="preserve">Raportoivan yhteisön on ilmoitettava, onko ilmoitettu liiketoimi tehty sellaisen vastapuolen </w:t>
            </w:r>
            <w:r>
              <w:lastRenderedPageBreak/>
              <w:t>kanssa, joka kuuluu konsernin ylimmän emoyksikön kirjanpidollisen konsolidoinnin piiriin. Hyväksyttävät arvot ovat ”oikein” ja ”väärin”.</w:t>
            </w:r>
          </w:p>
        </w:tc>
      </w:tr>
      <w:tr w:rsidR="00B81226" w14:paraId="7FE1D179" w14:textId="77777777">
        <w:tc>
          <w:tcPr>
            <w:tcW w:w="1183" w:type="dxa"/>
            <w:tcBorders>
              <w:top w:val="single" w:sz="8" w:space="0" w:color="1A171C"/>
              <w:left w:val="nil"/>
              <w:bottom w:val="single" w:sz="8" w:space="0" w:color="1A171C"/>
              <w:right w:val="single" w:sz="8" w:space="0" w:color="1A171C"/>
            </w:tcBorders>
            <w:vAlign w:val="center"/>
          </w:tcPr>
          <w:p w14:paraId="7FE1D176" w14:textId="77777777" w:rsidR="00B81226" w:rsidRDefault="00B82AC2">
            <w:pPr>
              <w:pStyle w:val="P68B1DB1-TableParagraph40"/>
              <w:spacing w:before="108"/>
              <w:ind w:left="85"/>
              <w:jc w:val="both"/>
            </w:pPr>
            <w:r>
              <w:lastRenderedPageBreak/>
              <w:t>0100</w:t>
            </w:r>
          </w:p>
        </w:tc>
        <w:tc>
          <w:tcPr>
            <w:tcW w:w="7832" w:type="dxa"/>
            <w:tcBorders>
              <w:top w:val="single" w:sz="8" w:space="0" w:color="1A171C"/>
              <w:left w:val="single" w:sz="8" w:space="0" w:color="1A171C"/>
              <w:bottom w:val="single" w:sz="8" w:space="0" w:color="1A171C"/>
              <w:right w:val="nil"/>
            </w:tcBorders>
            <w:vAlign w:val="bottom"/>
          </w:tcPr>
          <w:p w14:paraId="7FE1D177" w14:textId="142FAAFF" w:rsidR="00B81226" w:rsidRDefault="00B82AC2">
            <w:pPr>
              <w:pStyle w:val="P68B1DB1-TableParagraph73"/>
              <w:spacing w:before="108"/>
              <w:ind w:left="85"/>
              <w:jc w:val="both"/>
              <w:rPr>
                <w:bCs/>
              </w:rPr>
            </w:pPr>
            <w:r>
              <w:t>Vakiosopimukseen/yksittäiseen kauppaan sovellettava laki</w:t>
            </w:r>
          </w:p>
          <w:p w14:paraId="7FE1D178" w14:textId="69ED3535" w:rsidR="00B81226" w:rsidRDefault="00B82AC2">
            <w:pPr>
              <w:pStyle w:val="P68B1DB1-TableParagraph40"/>
              <w:spacing w:before="108"/>
              <w:ind w:left="85"/>
              <w:jc w:val="both"/>
            </w:pPr>
            <w:r>
              <w:t xml:space="preserve">Sen maan ISO 3166–1 alpha-2 -koodi, jonka lakia sovelletaan pääsopimukseen/yksittäiseen sopimukseen (käytetään ISO 3166–2 -koodia, kun hallinnollisen alajaon laki on relevantti, esim. ”US-NY”). Jos sopimukseen sovelletaan useamman kuin yhden maan lakia, ilmoitetaan maa, jonka laki on merkityksellisin velkakirjojen arvon alaskirjaus- ja muuntamisvaltuuksien tunnustamisen osalta.  </w:t>
            </w:r>
          </w:p>
        </w:tc>
      </w:tr>
      <w:tr w:rsidR="00B81226" w14:paraId="7FE1D17D" w14:textId="77777777">
        <w:tc>
          <w:tcPr>
            <w:tcW w:w="1183" w:type="dxa"/>
            <w:tcBorders>
              <w:top w:val="single" w:sz="8" w:space="0" w:color="1A171C"/>
              <w:left w:val="nil"/>
              <w:bottom w:val="single" w:sz="8" w:space="0" w:color="1A171C"/>
              <w:right w:val="single" w:sz="8" w:space="0" w:color="1A171C"/>
            </w:tcBorders>
            <w:vAlign w:val="center"/>
          </w:tcPr>
          <w:p w14:paraId="7FE1D17A" w14:textId="77777777" w:rsidR="00B81226" w:rsidRDefault="00B82AC2">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7B" w14:textId="4C1F1D53" w:rsidR="00B81226" w:rsidRDefault="00B82AC2">
            <w:pPr>
              <w:pStyle w:val="P68B1DB1-TableParagraph73"/>
              <w:spacing w:before="108"/>
              <w:ind w:left="85"/>
              <w:jc w:val="both"/>
              <w:rPr>
                <w:bCs/>
              </w:rPr>
            </w:pPr>
            <w:r>
              <w:t xml:space="preserve">Hakemuksen piiriin kuuluvien  </w:t>
            </w:r>
          </w:p>
          <w:p w14:paraId="7FE1D17C" w14:textId="77777777" w:rsidR="00B81226" w:rsidRDefault="00B82AC2">
            <w:pPr>
              <w:pStyle w:val="P68B1DB1-TableParagraph40"/>
              <w:spacing w:before="108"/>
              <w:ind w:left="85"/>
              <w:jc w:val="both"/>
            </w:pPr>
            <w:r>
              <w:t>Ilmoitetaan niiden yksittäisten sopimusten määrä, jotka sisältyvät vakiosopimuksen nettoutusryhmään.</w:t>
            </w:r>
          </w:p>
        </w:tc>
      </w:tr>
      <w:tr w:rsidR="00B81226" w14:paraId="7FE1D181" w14:textId="77777777">
        <w:tc>
          <w:tcPr>
            <w:tcW w:w="1183" w:type="dxa"/>
            <w:tcBorders>
              <w:top w:val="single" w:sz="8" w:space="0" w:color="1A171C"/>
              <w:left w:val="nil"/>
              <w:bottom w:val="single" w:sz="8" w:space="0" w:color="1A171C"/>
              <w:right w:val="single" w:sz="8" w:space="0" w:color="1A171C"/>
            </w:tcBorders>
            <w:vAlign w:val="center"/>
          </w:tcPr>
          <w:p w14:paraId="7FE1D17E" w14:textId="77777777" w:rsidR="00B81226" w:rsidRDefault="00B82AC2">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7F" w14:textId="60B4E8A5" w:rsidR="00B81226" w:rsidRDefault="00B82AC2">
            <w:pPr>
              <w:pStyle w:val="P68B1DB1-TableParagraph73"/>
              <w:spacing w:before="108"/>
              <w:ind w:left="85"/>
              <w:jc w:val="both"/>
              <w:rPr>
                <w:bCs/>
              </w:rPr>
            </w:pPr>
            <w:r>
              <w:t xml:space="preserve">Markkina-arvon nettoarvo </w:t>
            </w:r>
          </w:p>
          <w:p w14:paraId="7FE1D180" w14:textId="229346B5" w:rsidR="00B81226" w:rsidRDefault="00B82AC2">
            <w:pPr>
              <w:pStyle w:val="P68B1DB1-TableParagraph40"/>
              <w:spacing w:before="108"/>
              <w:ind w:left="85"/>
              <w:jc w:val="both"/>
            </w:pPr>
            <w:r>
              <w:t xml:space="preserve">Sopimusperusteisen nettoutusryhmän johdannaisvelkojen nettomarkkina-arvo olettaen, että johdannaiset suljetaan viitepäivänä. </w:t>
            </w:r>
          </w:p>
        </w:tc>
      </w:tr>
      <w:tr w:rsidR="00B81226" w14:paraId="7FE1D185" w14:textId="77777777">
        <w:tc>
          <w:tcPr>
            <w:tcW w:w="1183" w:type="dxa"/>
            <w:tcBorders>
              <w:top w:val="single" w:sz="8" w:space="0" w:color="1A171C"/>
              <w:left w:val="nil"/>
              <w:bottom w:val="single" w:sz="8" w:space="0" w:color="1A171C"/>
              <w:right w:val="single" w:sz="8" w:space="0" w:color="1A171C"/>
            </w:tcBorders>
            <w:vAlign w:val="center"/>
          </w:tcPr>
          <w:p w14:paraId="7FE1D182" w14:textId="77777777" w:rsidR="00B81226" w:rsidRDefault="00B82AC2">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83" w14:textId="070C552A" w:rsidR="00B81226" w:rsidRDefault="00B82AC2">
            <w:pPr>
              <w:pStyle w:val="P68B1DB1-TableParagraph73"/>
              <w:spacing w:before="108"/>
              <w:ind w:left="85"/>
              <w:jc w:val="both"/>
              <w:rPr>
                <w:bCs/>
              </w:rPr>
            </w:pPr>
            <w:r>
              <w:t xml:space="preserve">4.4.3.d) Nettolainasalkun arvo </w:t>
            </w:r>
          </w:p>
          <w:p w14:paraId="7FE1D184" w14:textId="014CEFC4" w:rsidR="00B81226" w:rsidRDefault="00B82AC2">
            <w:pPr>
              <w:pStyle w:val="P68B1DB1-TableParagraph40"/>
              <w:spacing w:before="108"/>
              <w:ind w:left="85"/>
              <w:jc w:val="both"/>
            </w:pPr>
            <w:r>
              <w:t>Nettoutusryhmään kuuluvien vakuuspositioiden nettomarkkina-arvo (eli asetettu vakuus, josta on vähennetty saadut vakuudet). Tähän sisältyvät nettoutusjärjestelyjen mukaiset vakuustilit. Ilmoitetaan vastapuolille asetettujen nettovakuuksien positiivisena arvona.</w:t>
            </w:r>
          </w:p>
        </w:tc>
      </w:tr>
      <w:tr w:rsidR="00B81226" w14:paraId="7FE1D189" w14:textId="77777777">
        <w:tc>
          <w:tcPr>
            <w:tcW w:w="1183" w:type="dxa"/>
            <w:tcBorders>
              <w:top w:val="single" w:sz="8" w:space="0" w:color="1A171C"/>
              <w:left w:val="nil"/>
              <w:bottom w:val="single" w:sz="8" w:space="0" w:color="1A171C"/>
              <w:right w:val="single" w:sz="8" w:space="0" w:color="1A171C"/>
            </w:tcBorders>
            <w:vAlign w:val="center"/>
          </w:tcPr>
          <w:p w14:paraId="7FE1D186" w14:textId="77777777" w:rsidR="00B81226" w:rsidRDefault="00B82AC2">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87" w14:textId="77777777" w:rsidR="00B81226" w:rsidRDefault="00B82AC2">
            <w:pPr>
              <w:pStyle w:val="P68B1DB1-TableParagraph40"/>
              <w:spacing w:before="108"/>
              <w:ind w:left="85"/>
              <w:jc w:val="both"/>
              <w:rPr>
                <w:b/>
                <w:bCs/>
              </w:rPr>
            </w:pPr>
            <w:r>
              <w:t xml:space="preserve"> </w:t>
            </w:r>
            <w:r>
              <w:rPr>
                <w:b/>
              </w:rPr>
              <w:t>Arvioitu loppusumma</w:t>
            </w:r>
          </w:p>
          <w:p w14:paraId="7FE1D188" w14:textId="63DBB8B6" w:rsidR="00B81226" w:rsidRDefault="00B82AC2">
            <w:pPr>
              <w:pStyle w:val="P68B1DB1-TableParagraph40"/>
              <w:spacing w:before="108"/>
              <w:ind w:left="85"/>
              <w:jc w:val="both"/>
            </w:pPr>
            <w:r>
              <w:t>Arvioitu sulkeutumismäärä, joka kattaa johdannaisvastapuolille aiheutuneet tappiot tai kustannukset taikka niiden saamat voitot siten, että suljetut sopimukset ja niihin liittyvät osapuolten optio-oikeudet korvataan tai saadaan niiden olennaisia ehtoja vastaava taloudellinen vastike. Joissakin tapauksissa; tämän arvon määrittämiseksi delegoidun asetuksen (EU) 2016/1401 mukaisesti tarvittavia arvioita on vaikea raportoida yksilöllisesti. Sen vuoksi käytetään korvaavia arvoja, jotka perustuvat käytettävissä o</w:t>
            </w:r>
            <w:r>
              <w:t>leviin tietoihin, kuten markkinariskiä koskeviin vakavaraisuusvaatimuksiin. Jos arvioitu sulkemismäärä on positiivinen, sopimuksen ennenaikaisen päättämisen arvioitu määrä kasvaa, kun taas negatiivinen merkki pienentäisi sopimuksen ennenaikaisen päättämisen arvioitua määrää.</w:t>
            </w:r>
          </w:p>
        </w:tc>
      </w:tr>
      <w:tr w:rsidR="00B81226" w14:paraId="7FE1D18D" w14:textId="77777777">
        <w:tc>
          <w:tcPr>
            <w:tcW w:w="1183" w:type="dxa"/>
            <w:vMerge w:val="restart"/>
            <w:tcBorders>
              <w:top w:val="single" w:sz="8" w:space="0" w:color="1A171C"/>
              <w:left w:val="nil"/>
              <w:right w:val="single" w:sz="8" w:space="0" w:color="1A171C"/>
            </w:tcBorders>
            <w:vAlign w:val="center"/>
          </w:tcPr>
          <w:p w14:paraId="7FE1D18A" w14:textId="77777777" w:rsidR="00B81226" w:rsidRDefault="00B82AC2">
            <w:pPr>
              <w:pStyle w:val="P68B1DB1-Normal31"/>
            </w:pPr>
            <w:r>
              <w:t>0150</w:t>
            </w:r>
          </w:p>
        </w:tc>
        <w:tc>
          <w:tcPr>
            <w:tcW w:w="7832" w:type="dxa"/>
            <w:tcBorders>
              <w:top w:val="single" w:sz="8" w:space="0" w:color="1A171C"/>
              <w:left w:val="single" w:sz="8" w:space="0" w:color="1A171C"/>
              <w:right w:val="nil"/>
            </w:tcBorders>
            <w:vAlign w:val="bottom"/>
          </w:tcPr>
          <w:p w14:paraId="7FE1D18B" w14:textId="77777777" w:rsidR="00B81226" w:rsidRDefault="00B82AC2">
            <w:pPr>
              <w:pStyle w:val="P68B1DB1-TableParagraph40"/>
              <w:spacing w:before="108"/>
              <w:ind w:left="85"/>
              <w:jc w:val="both"/>
              <w:rPr>
                <w:b/>
                <w:bCs/>
              </w:rPr>
            </w:pPr>
            <w:r>
              <w:t xml:space="preserve"> </w:t>
            </w:r>
            <w:r>
              <w:rPr>
                <w:b/>
              </w:rPr>
              <w:t>Aikaistetun päättämisen vuoksi maksettava määrä</w:t>
            </w:r>
          </w:p>
          <w:p w14:paraId="7FE1D18C" w14:textId="77777777" w:rsidR="00B81226" w:rsidRDefault="00B82AC2">
            <w:pPr>
              <w:pStyle w:val="P68B1DB1-TableParagraph40"/>
              <w:spacing w:before="108"/>
              <w:ind w:left="85"/>
              <w:jc w:val="both"/>
            </w:pPr>
            <w:r>
              <w:t>Tämä määrä määritetään pankkien elvytys- ja kriisinratkaisudirektiivin 49 artiklan 4 kohdan mukaisesta johdannaisten arvostamisesta annettuun delegoituun asetukseen (EU) 2016/1401 viitaten seuraavasti:</w:t>
            </w:r>
          </w:p>
        </w:tc>
      </w:tr>
      <w:tr w:rsidR="00B81226" w14:paraId="7FE1D190" w14:textId="77777777">
        <w:tc>
          <w:tcPr>
            <w:tcW w:w="1183" w:type="dxa"/>
            <w:vMerge/>
            <w:tcBorders>
              <w:right w:val="single" w:sz="8" w:space="0" w:color="1A171C"/>
            </w:tcBorders>
            <w:vAlign w:val="center"/>
          </w:tcPr>
          <w:p w14:paraId="7FE1D18E" w14:textId="77777777" w:rsidR="00B81226" w:rsidRDefault="00B81226">
            <w:pPr>
              <w:rPr>
                <w:rFonts w:ascii="Times New Roman" w:hAnsi="Times New Roman" w:cs="Times New Roman"/>
              </w:rPr>
            </w:pPr>
          </w:p>
        </w:tc>
        <w:tc>
          <w:tcPr>
            <w:tcW w:w="7832" w:type="dxa"/>
            <w:tcBorders>
              <w:left w:val="single" w:sz="8" w:space="0" w:color="1A171C"/>
              <w:right w:val="nil"/>
            </w:tcBorders>
            <w:vAlign w:val="bottom"/>
          </w:tcPr>
          <w:p w14:paraId="7FE1D18F" w14:textId="77777777" w:rsidR="00B81226" w:rsidRDefault="00B82AC2">
            <w:pPr>
              <w:pStyle w:val="P68B1DB1-TableParagraph40"/>
              <w:spacing w:before="108"/>
              <w:ind w:left="85"/>
              <w:jc w:val="both"/>
            </w:pPr>
            <w:r>
              <w:t xml:space="preserve"> ”Arvioijan on määritettävä johdannaissopimuksista netting-ryhmän osalta aiheutuvien velkojen arvo aikaistetun päättämisen vuoksi maksettavana määränä, joka saadaan laskemalla yhteen seuraavat määrät: </w:t>
            </w:r>
          </w:p>
        </w:tc>
      </w:tr>
      <w:tr w:rsidR="00B81226" w14:paraId="7FE1D193" w14:textId="77777777">
        <w:tc>
          <w:tcPr>
            <w:tcW w:w="1183" w:type="dxa"/>
            <w:vMerge/>
            <w:tcBorders>
              <w:right w:val="single" w:sz="8" w:space="0" w:color="1A171C"/>
            </w:tcBorders>
            <w:vAlign w:val="center"/>
          </w:tcPr>
          <w:p w14:paraId="7FE1D191" w14:textId="77777777" w:rsidR="00B81226" w:rsidRDefault="00B81226">
            <w:pPr>
              <w:rPr>
                <w:rFonts w:ascii="Times New Roman" w:hAnsi="Times New Roman" w:cs="Times New Roman"/>
              </w:rPr>
            </w:pPr>
          </w:p>
        </w:tc>
        <w:tc>
          <w:tcPr>
            <w:tcW w:w="7832" w:type="dxa"/>
            <w:tcBorders>
              <w:left w:val="single" w:sz="8" w:space="0" w:color="1A171C"/>
              <w:right w:val="nil"/>
            </w:tcBorders>
            <w:vAlign w:val="bottom"/>
          </w:tcPr>
          <w:p w14:paraId="7FE1D192" w14:textId="77777777" w:rsidR="00B81226" w:rsidRDefault="00B82AC2">
            <w:pPr>
              <w:pStyle w:val="P68B1DB1-TableParagraph40"/>
              <w:spacing w:before="108"/>
              <w:ind w:left="85"/>
              <w:jc w:val="both"/>
            </w:pPr>
            <w:r>
              <w:t xml:space="preserve"> · Maksamattomat määrät, vakuudet tai muut määrät, jotka kriisinratkaisun kohteena oleva laitos on velkaa vastapuolelle, vähennettyinä maksamattomilla määrillä, vakuuksilla ja muilla määrillä, jotka vastapuoli on velkaa kriisinratkaisun kohteena olevalle laitokselle sopimuksen sulkemispäivänä; sekä</w:t>
            </w:r>
          </w:p>
        </w:tc>
      </w:tr>
      <w:tr w:rsidR="00B81226" w14:paraId="7FE1D196" w14:textId="77777777">
        <w:tc>
          <w:tcPr>
            <w:tcW w:w="1183" w:type="dxa"/>
            <w:vMerge/>
            <w:tcBorders>
              <w:right w:val="single" w:sz="8" w:space="0" w:color="1A171C"/>
            </w:tcBorders>
            <w:vAlign w:val="center"/>
          </w:tcPr>
          <w:p w14:paraId="7FE1D194" w14:textId="77777777" w:rsidR="00B81226" w:rsidRDefault="00B81226">
            <w:pPr>
              <w:rPr>
                <w:rFonts w:ascii="Times New Roman" w:hAnsi="Times New Roman" w:cs="Times New Roman"/>
              </w:rPr>
            </w:pPr>
          </w:p>
        </w:tc>
        <w:tc>
          <w:tcPr>
            <w:tcW w:w="7832" w:type="dxa"/>
            <w:tcBorders>
              <w:left w:val="single" w:sz="8" w:space="0" w:color="1A171C"/>
              <w:right w:val="nil"/>
            </w:tcBorders>
            <w:vAlign w:val="bottom"/>
          </w:tcPr>
          <w:p w14:paraId="7FE1D195" w14:textId="77777777" w:rsidR="00B81226" w:rsidRDefault="00B82AC2">
            <w:pPr>
              <w:pStyle w:val="P68B1DB1-TableParagraph40"/>
              <w:spacing w:before="108"/>
              <w:ind w:left="85"/>
              <w:jc w:val="both"/>
            </w:pPr>
            <w:r>
              <w:t xml:space="preserve"> · Sulkeutumismäärä, joka kattaa johdannaisvastapuolille aiheutuneet tappiot tai kustannukset taikka niiden saamat voitot siten, että suljetut sopimukset ja niihin liittyvät osapuolten optio-oikeudet korvataan tai saadaan niiden olennaisia ehtoja vastaava taloudellinen vastike.</w:t>
            </w:r>
          </w:p>
        </w:tc>
      </w:tr>
      <w:tr w:rsidR="00B81226" w14:paraId="7FE1D199" w14:textId="77777777">
        <w:tc>
          <w:tcPr>
            <w:tcW w:w="1183" w:type="dxa"/>
            <w:vMerge/>
            <w:tcBorders>
              <w:right w:val="single" w:sz="8" w:space="0" w:color="1A171C"/>
            </w:tcBorders>
            <w:vAlign w:val="center"/>
          </w:tcPr>
          <w:p w14:paraId="7FE1D197" w14:textId="77777777" w:rsidR="00B81226" w:rsidRDefault="00B81226">
            <w:pPr>
              <w:rPr>
                <w:rFonts w:ascii="Times New Roman" w:hAnsi="Times New Roman" w:cs="Times New Roman"/>
              </w:rPr>
            </w:pPr>
          </w:p>
        </w:tc>
        <w:tc>
          <w:tcPr>
            <w:tcW w:w="7832" w:type="dxa"/>
            <w:tcBorders>
              <w:left w:val="single" w:sz="8" w:space="0" w:color="1A171C"/>
              <w:bottom w:val="single" w:sz="8" w:space="0" w:color="1A171C"/>
              <w:right w:val="nil"/>
            </w:tcBorders>
            <w:vAlign w:val="bottom"/>
          </w:tcPr>
          <w:p w14:paraId="7FE1D198" w14:textId="77777777" w:rsidR="00B81226" w:rsidRDefault="00B82AC2">
            <w:pPr>
              <w:pStyle w:val="P68B1DB1-TableParagraph40"/>
              <w:spacing w:before="108"/>
              <w:ind w:left="85"/>
              <w:jc w:val="both"/>
            </w:pPr>
            <w:r>
              <w:t xml:space="preserve"> Näin ollen arvioidun aikaistetun päättämisen vuoksi maksettavan määrän on vastattava seuraavan laskutoimituksen tulosta:nettomarkkina-arvo (c0120) – asetetun nettovakuuden arvo (c0130) + arvioitu sulkeutumismäärä (c0140).</w:t>
            </w:r>
          </w:p>
        </w:tc>
      </w:tr>
    </w:tbl>
    <w:p w14:paraId="7FE1D19A" w14:textId="77777777" w:rsidR="00B81226" w:rsidRDefault="00B81226">
      <w:pPr>
        <w:pStyle w:val="Instructionsberschrift2"/>
        <w:ind w:left="357"/>
        <w:rPr>
          <w:rFonts w:ascii="Times New Roman" w:eastAsia="Calibri" w:hAnsi="Times New Roman" w:cs="Times New Roman"/>
          <w:szCs w:val="20"/>
        </w:rPr>
      </w:pPr>
      <w:bookmarkStart w:id="250" w:name="_Toc81454217"/>
    </w:p>
    <w:p w14:paraId="7FE1D19B" w14:textId="08247010" w:rsidR="00B81226" w:rsidRDefault="00B82AC2">
      <w:pPr>
        <w:pStyle w:val="Instructionsberschrift2"/>
        <w:numPr>
          <w:ilvl w:val="1"/>
          <w:numId w:val="49"/>
        </w:numPr>
        <w:spacing w:before="0"/>
        <w:ind w:left="357" w:hanging="357"/>
        <w:rPr>
          <w:rFonts w:ascii="Times New Roman" w:hAnsi="Times New Roman" w:cs="Times New Roman"/>
        </w:rPr>
      </w:pPr>
      <w:bookmarkStart w:id="251" w:name="_Toc208245471"/>
      <w:r>
        <w:rPr>
          <w:rFonts w:ascii="Times New Roman" w:eastAsiaTheme="minorEastAsia" w:hAnsi="Times New Roman" w:cs="Times New Roman"/>
        </w:rPr>
        <w:t xml:space="preserve">Z 16.00 – Turvalliset rahoitustoimet, ei kuitenkaan konsernin sisäiset </w:t>
      </w:r>
      <w:r>
        <w:rPr>
          <w:rFonts w:ascii="Times New Roman" w:eastAsia="Calibri" w:hAnsi="Times New Roman" w:cs="Times New Roman"/>
          <w:szCs w:val="20"/>
        </w:rPr>
        <w:t>(LIAB-G-6)</w:t>
      </w:r>
      <w:bookmarkEnd w:id="251"/>
    </w:p>
    <w:p w14:paraId="7FE1D19C" w14:textId="07C13721" w:rsidR="00B81226" w:rsidRDefault="00B82AC2">
      <w:pPr>
        <w:pStyle w:val="P68B1DB1-Instructionsberschrift289"/>
        <w:rPr>
          <w:rFonts w:eastAsiaTheme="minorEastAsia"/>
        </w:rPr>
      </w:pPr>
      <w:r>
        <w:t xml:space="preserve"> </w:t>
      </w:r>
      <w:bookmarkEnd w:id="250"/>
    </w:p>
    <w:p w14:paraId="7FE1D19D" w14:textId="77777777" w:rsidR="00B81226" w:rsidRDefault="00B82AC2">
      <w:pPr>
        <w:pStyle w:val="P68B1DB1-Numberedtitlelevel388"/>
      </w:pPr>
      <w:r>
        <w:t>Yleiset huomautukset</w:t>
      </w:r>
    </w:p>
    <w:p w14:paraId="7FE1D19E" w14:textId="3901B7DB" w:rsidR="00B81226" w:rsidRDefault="00B82AC2">
      <w:pPr>
        <w:pStyle w:val="P68B1DB1-InstructionsText286"/>
        <w:numPr>
          <w:ilvl w:val="2"/>
          <w:numId w:val="209"/>
        </w:numPr>
        <w:spacing w:before="0"/>
        <w:ind w:left="1276"/>
        <w:rPr>
          <w:rFonts w:eastAsiaTheme="majorEastAsia"/>
        </w:rPr>
      </w:pPr>
      <w:r>
        <w:t xml:space="preserve">Vakuudellinen rahoitus sisältää kaikki rahoitusjärjestelyt, joista on annettava vakuus, takaus tai pantti, mutta ei esimerkiksi arvopapereita, jotka on ilmoitettava taulukossa 12.00. </w:t>
      </w:r>
    </w:p>
    <w:p w14:paraId="7FE1D19F" w14:textId="77777777" w:rsidR="00B81226" w:rsidRDefault="00B82AC2">
      <w:pPr>
        <w:pStyle w:val="P68B1DB1-InstructionsText286"/>
        <w:numPr>
          <w:ilvl w:val="2"/>
          <w:numId w:val="209"/>
        </w:numPr>
        <w:spacing w:before="0"/>
        <w:ind w:left="1276"/>
      </w:pPr>
      <w:r>
        <w:t>Tyypillisiä esimerkkejä tällaisista järjestelyistä ovat keskuspankin rahoitus- tai takaisinostosopimukset.</w:t>
      </w:r>
    </w:p>
    <w:p w14:paraId="7FE1D1A0" w14:textId="77777777" w:rsidR="00B81226" w:rsidRDefault="00B82AC2">
      <w:pPr>
        <w:pStyle w:val="P68B1DB1-InstructionsText286"/>
        <w:numPr>
          <w:ilvl w:val="2"/>
          <w:numId w:val="209"/>
        </w:numPr>
        <w:spacing w:before="0"/>
        <w:ind w:left="1276"/>
      </w:pPr>
      <w:r>
        <w:t>Vakuudellinen velka on ilmoitettava, ei itse vakuus.</w:t>
      </w:r>
    </w:p>
    <w:p w14:paraId="7FE1D1A1" w14:textId="437B0574" w:rsidR="00B81226" w:rsidRDefault="00B82AC2">
      <w:pPr>
        <w:pStyle w:val="P68B1DB1-InstructionsText286"/>
        <w:numPr>
          <w:ilvl w:val="2"/>
          <w:numId w:val="209"/>
        </w:numPr>
        <w:spacing w:before="0"/>
        <w:ind w:left="1276"/>
      </w:pPr>
      <w:r>
        <w:t xml:space="preserve">Tässä taulukossa vakuudelliset rahoitusjärjestelyt on ilmoitettava nettoutusryhmittäin eli kukin nettoutusryhmä, joka ilmoitetaan yksittäisenä rivinä. Saman nettoutusryhmän vakuudellinen ja vakuudeton osuus on kuitenkin ilmoitettava eri riveillä, jos ne kuuluvat maksukyvyttömyysjärjestykseen. </w:t>
      </w:r>
    </w:p>
    <w:p w14:paraId="7FE1D1A2" w14:textId="77777777" w:rsidR="00B81226" w:rsidRDefault="00B82AC2">
      <w:pPr>
        <w:pStyle w:val="P68B1DB1-InstructionsText286"/>
        <w:numPr>
          <w:ilvl w:val="2"/>
          <w:numId w:val="209"/>
        </w:numPr>
        <w:spacing w:before="0"/>
        <w:ind w:left="1276"/>
      </w:pPr>
      <w:r>
        <w:t>Ilmoittamisrajoja ei sovelleta.</w:t>
      </w:r>
    </w:p>
    <w:p w14:paraId="7FE1D1A3" w14:textId="77777777" w:rsidR="00B81226" w:rsidRDefault="00B82AC2">
      <w:pPr>
        <w:pStyle w:val="P68B1DB1-Numberedtitlelevel388"/>
      </w:pPr>
      <w:r>
        <w:t>Tiettyjä kohtia koskevat ohjeet</w:t>
      </w:r>
    </w:p>
    <w:tbl>
      <w:tblPr>
        <w:tblW w:w="9015" w:type="dxa"/>
        <w:tblInd w:w="135" w:type="dxa"/>
        <w:tblLayout w:type="fixed"/>
        <w:tblLook w:val="04A0" w:firstRow="1" w:lastRow="0" w:firstColumn="1" w:lastColumn="0" w:noHBand="0" w:noVBand="1"/>
      </w:tblPr>
      <w:tblGrid>
        <w:gridCol w:w="1183"/>
        <w:gridCol w:w="7832"/>
      </w:tblGrid>
      <w:tr w:rsidR="00B81226" w14:paraId="7FE1D1A6"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A4" w14:textId="77777777" w:rsidR="00B81226" w:rsidRDefault="00B82AC2">
            <w:pPr>
              <w:pStyle w:val="P68B1DB1-Normal31"/>
            </w:pPr>
            <w:r>
              <w:t xml:space="preserve">Sarakkeet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A5" w14:textId="77777777" w:rsidR="00B81226" w:rsidRDefault="00B82AC2">
            <w:pPr>
              <w:pStyle w:val="P68B1DB1-Normal31"/>
            </w:pPr>
            <w:r>
              <w:t xml:space="preserve">Ohjeet </w:t>
            </w:r>
          </w:p>
        </w:tc>
      </w:tr>
      <w:tr w:rsidR="00B81226" w14:paraId="7FE1D1AA" w14:textId="77777777">
        <w:tc>
          <w:tcPr>
            <w:tcW w:w="1183" w:type="dxa"/>
            <w:tcBorders>
              <w:top w:val="single" w:sz="8" w:space="0" w:color="1A171C"/>
              <w:left w:val="nil"/>
              <w:bottom w:val="single" w:sz="8" w:space="0" w:color="1A171C"/>
              <w:right w:val="single" w:sz="8" w:space="0" w:color="1A171C"/>
            </w:tcBorders>
            <w:vAlign w:val="center"/>
          </w:tcPr>
          <w:p w14:paraId="7FE1D1A7" w14:textId="77777777" w:rsidR="00B81226" w:rsidRDefault="00B82AC2">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A8" w14:textId="77777777" w:rsidR="00B81226" w:rsidRDefault="00B82AC2">
            <w:pPr>
              <w:pStyle w:val="P68B1DB1-TableParagraph40"/>
              <w:spacing w:before="108"/>
              <w:ind w:left="85"/>
              <w:jc w:val="both"/>
              <w:rPr>
                <w:b/>
                <w:bCs/>
              </w:rPr>
            </w:pPr>
            <w:r>
              <w:t xml:space="preserve"> </w:t>
            </w:r>
            <w:r>
              <w:rPr>
                <w:b/>
              </w:rPr>
              <w:t>NRO</w:t>
            </w:r>
          </w:p>
          <w:p w14:paraId="7FE1D1A9" w14:textId="7C09A169" w:rsidR="00B81226" w:rsidRDefault="00B82AC2">
            <w:pPr>
              <w:pStyle w:val="P68B1DB1-TableParagraph40"/>
              <w:spacing w:before="108"/>
              <w:ind w:left="85"/>
              <w:jc w:val="both"/>
            </w:pPr>
            <w:r>
              <w:t>Yksilöllinen numero/ensisijainen tunniste rivikohtien tunnistamiseen.</w:t>
            </w:r>
          </w:p>
        </w:tc>
      </w:tr>
      <w:tr w:rsidR="00B81226" w14:paraId="7FE1D1AE" w14:textId="77777777">
        <w:tc>
          <w:tcPr>
            <w:tcW w:w="1183" w:type="dxa"/>
            <w:tcBorders>
              <w:top w:val="single" w:sz="8" w:space="0" w:color="1A171C"/>
              <w:left w:val="nil"/>
              <w:bottom w:val="single" w:sz="8" w:space="0" w:color="1A171C"/>
              <w:right w:val="single" w:sz="8" w:space="0" w:color="1A171C"/>
            </w:tcBorders>
            <w:vAlign w:val="center"/>
          </w:tcPr>
          <w:p w14:paraId="7FE1D1AB" w14:textId="77777777" w:rsidR="00B81226" w:rsidRDefault="00B82AC2">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AC" w14:textId="77777777" w:rsidR="00B81226" w:rsidRDefault="00B82AC2">
            <w:pPr>
              <w:pStyle w:val="P68B1DB1-TableParagraph40"/>
              <w:spacing w:before="108"/>
              <w:ind w:left="85"/>
              <w:jc w:val="both"/>
              <w:rPr>
                <w:b/>
                <w:bCs/>
              </w:rPr>
            </w:pPr>
            <w:r>
              <w:t xml:space="preserve"> </w:t>
            </w:r>
            <w:r>
              <w:rPr>
                <w:b/>
              </w:rPr>
              <w:t>Sarake</w:t>
            </w:r>
          </w:p>
          <w:p w14:paraId="7FE1D1AD" w14:textId="57B67374" w:rsidR="00B81226" w:rsidRDefault="00B82AC2">
            <w:pPr>
              <w:pStyle w:val="P68B1DB1-TableParagraph40"/>
              <w:spacing w:before="108"/>
              <w:ind w:left="85"/>
              <w:jc w:val="both"/>
            </w:pPr>
            <w:r>
              <w:t>Jokaisesta nettausryhmästä on esitettävä täsmäytys taulukon 02.00 siihen vastapuoliluokkaan, johon velka on maksettava.Arvot valitaan valmiista luettelosta.</w:t>
            </w:r>
          </w:p>
        </w:tc>
      </w:tr>
      <w:tr w:rsidR="00B81226" w14:paraId="7FE1D1B2" w14:textId="77777777">
        <w:tc>
          <w:tcPr>
            <w:tcW w:w="1183" w:type="dxa"/>
            <w:tcBorders>
              <w:top w:val="single" w:sz="8" w:space="0" w:color="1A171C"/>
              <w:left w:val="nil"/>
              <w:bottom w:val="single" w:sz="8" w:space="0" w:color="1A171C"/>
              <w:right w:val="single" w:sz="8" w:space="0" w:color="1A171C"/>
            </w:tcBorders>
            <w:vAlign w:val="center"/>
          </w:tcPr>
          <w:p w14:paraId="7FE1D1AF" w14:textId="77777777" w:rsidR="00B81226" w:rsidRDefault="00B82AC2">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B0" w14:textId="77777777" w:rsidR="00B81226" w:rsidRDefault="00B82AC2">
            <w:pPr>
              <w:pStyle w:val="P68B1DB1-TableParagraph40"/>
              <w:spacing w:before="108"/>
              <w:ind w:left="85"/>
              <w:jc w:val="both"/>
              <w:rPr>
                <w:b/>
                <w:bCs/>
              </w:rPr>
            </w:pPr>
            <w:r>
              <w:t xml:space="preserve"> </w:t>
            </w:r>
            <w:r>
              <w:rPr>
                <w:b/>
              </w:rPr>
              <w:t>Ensisijaisuusjärjestys maksukyvyttömyysmenettelyssä</w:t>
            </w:r>
          </w:p>
          <w:p w14:paraId="7FE1D1B1" w14:textId="0D780E4C" w:rsidR="00B81226" w:rsidRDefault="00B82AC2">
            <w:pPr>
              <w:pStyle w:val="P68B1DB1-TableParagraph40"/>
              <w:spacing w:before="108"/>
              <w:ind w:left="85"/>
              <w:jc w:val="both"/>
            </w:pPr>
            <w:r>
              <w:t>Maksukyvyttömyysluokan on oltava jokin kyseisen lainkäyttöalueen kriisinratkaisuviranomaisen julkaisemiin maksukyvyttömyysluokituksiin kuuluvista luokista.</w:t>
            </w:r>
          </w:p>
        </w:tc>
      </w:tr>
      <w:tr w:rsidR="00B81226" w14:paraId="7FE1D1B6" w14:textId="77777777">
        <w:tc>
          <w:tcPr>
            <w:tcW w:w="1183" w:type="dxa"/>
            <w:tcBorders>
              <w:top w:val="single" w:sz="8" w:space="0" w:color="1A171C"/>
              <w:left w:val="nil"/>
              <w:bottom w:val="single" w:sz="8" w:space="0" w:color="1A171C"/>
              <w:right w:val="single" w:sz="8" w:space="0" w:color="1A171C"/>
            </w:tcBorders>
            <w:vAlign w:val="center"/>
          </w:tcPr>
          <w:p w14:paraId="7FE1D1B3" w14:textId="77777777" w:rsidR="00B81226" w:rsidRDefault="00B82AC2">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B4" w14:textId="77777777" w:rsidR="00B81226" w:rsidRDefault="00B82AC2">
            <w:pPr>
              <w:pStyle w:val="P68B1DB1-TableParagraph73"/>
              <w:spacing w:before="108"/>
              <w:ind w:left="85"/>
              <w:jc w:val="both"/>
              <w:rPr>
                <w:bCs/>
              </w:rPr>
            </w:pPr>
            <w:r>
              <w:t xml:space="preserve"> Pääsopimuksen tunnus </w:t>
            </w:r>
          </w:p>
          <w:p w14:paraId="7FE1D1B5" w14:textId="77777777" w:rsidR="00B81226" w:rsidRDefault="00B82AC2">
            <w:pPr>
              <w:pStyle w:val="P68B1DB1-TableParagraph40"/>
              <w:spacing w:before="108"/>
              <w:ind w:left="85"/>
              <w:jc w:val="both"/>
            </w:pPr>
            <w:r>
              <w:t>Pääsopimuksen tai yksittäisen sopimuksen sisäinen tunniste.</w:t>
            </w:r>
          </w:p>
        </w:tc>
      </w:tr>
      <w:tr w:rsidR="00B81226" w14:paraId="7FE1D1BA" w14:textId="77777777">
        <w:tc>
          <w:tcPr>
            <w:tcW w:w="1183" w:type="dxa"/>
            <w:tcBorders>
              <w:top w:val="single" w:sz="8" w:space="0" w:color="1A171C"/>
              <w:left w:val="nil"/>
              <w:bottom w:val="single" w:sz="8" w:space="0" w:color="1A171C"/>
              <w:right w:val="single" w:sz="8" w:space="0" w:color="1A171C"/>
            </w:tcBorders>
            <w:vAlign w:val="center"/>
          </w:tcPr>
          <w:p w14:paraId="7FE1D1B7" w14:textId="77777777" w:rsidR="00B81226" w:rsidRDefault="00B82AC2">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B8" w14:textId="77777777" w:rsidR="00B81226" w:rsidRDefault="00B82AC2">
            <w:pPr>
              <w:pStyle w:val="P68B1DB1-TableParagraph73"/>
              <w:spacing w:before="108"/>
              <w:ind w:left="85"/>
              <w:jc w:val="both"/>
              <w:rPr>
                <w:bCs/>
              </w:rPr>
            </w:pPr>
            <w:r>
              <w:t xml:space="preserve"> Hallintoviranomaisen tyyppi (esim. GMRA) </w:t>
            </w:r>
          </w:p>
          <w:p w14:paraId="7FE1D1B9" w14:textId="7472E062" w:rsidR="00B81226" w:rsidRDefault="00B82AC2">
            <w:pPr>
              <w:pStyle w:val="P68B1DB1-TableParagraph40"/>
              <w:spacing w:before="108"/>
              <w:ind w:left="85"/>
              <w:jc w:val="both"/>
            </w:pPr>
            <w:r>
              <w:t>Ilmoittakaa pääsopimus, joko ”ICMA 2011 Global re buy agreements”, ”ICMA 2000 Global re buy agreements”, ”ICMA 1995 Global re buy agreements”, ”ICMA 1992 Global master re buy agreements”, ”Muut maailmanlaajuiset takaisinostosopimukset” tai ”kokonaissopimus” ennalta määritetystä luettelosta.</w:t>
            </w:r>
          </w:p>
        </w:tc>
      </w:tr>
      <w:tr w:rsidR="00B81226" w14:paraId="7FE1D1BE" w14:textId="77777777">
        <w:tc>
          <w:tcPr>
            <w:tcW w:w="1183" w:type="dxa"/>
            <w:tcBorders>
              <w:top w:val="single" w:sz="8" w:space="0" w:color="1A171C"/>
              <w:left w:val="nil"/>
              <w:bottom w:val="single" w:sz="8" w:space="0" w:color="1A171C"/>
              <w:right w:val="single" w:sz="8" w:space="0" w:color="1A171C"/>
            </w:tcBorders>
            <w:vAlign w:val="center"/>
          </w:tcPr>
          <w:p w14:paraId="7FE1D1BB" w14:textId="77777777" w:rsidR="00B81226" w:rsidRDefault="00B82AC2">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1BC" w14:textId="6A2B6D2B" w:rsidR="00B81226" w:rsidRDefault="00B82AC2">
            <w:pPr>
              <w:pStyle w:val="P68B1DB1-TableParagraph73"/>
              <w:spacing w:before="108"/>
              <w:ind w:left="85"/>
              <w:jc w:val="both"/>
              <w:rPr>
                <w:bCs/>
              </w:rPr>
            </w:pPr>
            <w:bookmarkStart w:id="252" w:name="_Hlk189839338"/>
            <w:r>
              <w:t xml:space="preserve">Vastapuolen nimi </w:t>
            </w:r>
          </w:p>
          <w:bookmarkEnd w:id="252"/>
          <w:p w14:paraId="7FE1D1BD" w14:textId="0E71EEA1" w:rsidR="00B81226" w:rsidRDefault="00B82AC2">
            <w:pPr>
              <w:pStyle w:val="P68B1DB1-TableParagraph40"/>
              <w:spacing w:before="108"/>
              <w:ind w:left="85"/>
              <w:jc w:val="both"/>
            </w:pPr>
            <w:r>
              <w:t>Vastapuolen yhteisön nimi.</w:t>
            </w:r>
          </w:p>
        </w:tc>
      </w:tr>
      <w:tr w:rsidR="00B81226" w14:paraId="7FE1D1C2" w14:textId="77777777">
        <w:tc>
          <w:tcPr>
            <w:tcW w:w="1183" w:type="dxa"/>
            <w:tcBorders>
              <w:top w:val="single" w:sz="8" w:space="0" w:color="1A171C"/>
              <w:left w:val="nil"/>
              <w:bottom w:val="single" w:sz="8" w:space="0" w:color="1A171C"/>
              <w:right w:val="single" w:sz="8" w:space="0" w:color="1A171C"/>
            </w:tcBorders>
            <w:vAlign w:val="center"/>
          </w:tcPr>
          <w:p w14:paraId="7FE1D1BF" w14:textId="77777777" w:rsidR="00B81226" w:rsidRDefault="00B82AC2">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C0" w14:textId="77777777" w:rsidR="00B81226" w:rsidRDefault="00B82AC2">
            <w:pPr>
              <w:pStyle w:val="P68B1DB1-TableParagraph40"/>
              <w:spacing w:before="108"/>
              <w:ind w:left="85"/>
              <w:jc w:val="both"/>
              <w:rPr>
                <w:b/>
                <w:bCs/>
              </w:rPr>
            </w:pPr>
            <w:r>
              <w:t xml:space="preserve"> </w:t>
            </w:r>
            <w:r>
              <w:rPr>
                <w:b/>
              </w:rPr>
              <w:t>Vastapuoli (LEI/MFI/paikallinen tunniste)</w:t>
            </w:r>
          </w:p>
          <w:p w14:paraId="7FE1D1C1" w14:textId="5ADC0AB9" w:rsidR="00B81226" w:rsidRDefault="00B82AC2">
            <w:pPr>
              <w:pStyle w:val="P68B1DB1-TableParagraph40"/>
              <w:spacing w:before="108"/>
              <w:ind w:left="85"/>
              <w:jc w:val="both"/>
            </w:pPr>
            <w:r>
              <w:t>Ilmoitetaan velkojan LEI-tunnus. Jos oikeushenkilötunnusta ei ole, pankkien raporteissa käytetään RIAD-tietokannassa käytettyä EKP:n rahalaitosten tunnistetta (MFI ID). Jos näistä tunnisteista kumpaakaan ei ole, ilmoita sisäinen tunniste.</w:t>
            </w:r>
          </w:p>
        </w:tc>
      </w:tr>
      <w:tr w:rsidR="00B81226" w14:paraId="7FE1D1C6" w14:textId="77777777">
        <w:tc>
          <w:tcPr>
            <w:tcW w:w="1183" w:type="dxa"/>
            <w:tcBorders>
              <w:top w:val="single" w:sz="8" w:space="0" w:color="1A171C"/>
              <w:left w:val="nil"/>
              <w:bottom w:val="single" w:sz="8" w:space="0" w:color="1A171C"/>
              <w:right w:val="single" w:sz="8" w:space="0" w:color="1A171C"/>
            </w:tcBorders>
            <w:vAlign w:val="center"/>
          </w:tcPr>
          <w:p w14:paraId="7FE1D1C3" w14:textId="77777777" w:rsidR="00B81226" w:rsidRDefault="00B82AC2">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C4" w14:textId="77777777" w:rsidR="00B81226" w:rsidRDefault="00B82AC2">
            <w:pPr>
              <w:pStyle w:val="P68B1DB1-TableParagraph73"/>
              <w:spacing w:before="108"/>
              <w:ind w:left="85"/>
              <w:jc w:val="both"/>
              <w:rPr>
                <w:bCs/>
              </w:rPr>
            </w:pPr>
            <w:r>
              <w:t xml:space="preserve">Tunnustyyppi </w:t>
            </w:r>
          </w:p>
          <w:p w14:paraId="7FE1D1C5" w14:textId="77777777" w:rsidR="00B81226" w:rsidRDefault="00B82AC2">
            <w:pPr>
              <w:pStyle w:val="P68B1DB1-TableParagraph40"/>
              <w:spacing w:before="108"/>
              <w:ind w:left="85"/>
              <w:jc w:val="both"/>
            </w:pPr>
            <w:r>
              <w:t>Tässä on valittava seuraavista vaihtoehdoista: LEI-tunnus, MFI-tunnus tai muu tunnisteen tyyppi kuin LEI- tai MFI-tunnus</w:t>
            </w:r>
          </w:p>
        </w:tc>
      </w:tr>
      <w:tr w:rsidR="00B81226" w14:paraId="7FE1D1CA" w14:textId="77777777">
        <w:tc>
          <w:tcPr>
            <w:tcW w:w="1183" w:type="dxa"/>
            <w:tcBorders>
              <w:top w:val="single" w:sz="8" w:space="0" w:color="1A171C"/>
              <w:left w:val="nil"/>
              <w:bottom w:val="single" w:sz="8" w:space="0" w:color="1A171C"/>
              <w:right w:val="single" w:sz="8" w:space="0" w:color="1A171C"/>
            </w:tcBorders>
            <w:vAlign w:val="center"/>
          </w:tcPr>
          <w:p w14:paraId="7FE1D1C7" w14:textId="77777777" w:rsidR="00B81226" w:rsidRDefault="00B82AC2">
            <w:pPr>
              <w:pStyle w:val="P68B1DB1-Normal31"/>
            </w:pPr>
            <w:r>
              <w:lastRenderedPageBreak/>
              <w:t>0070</w:t>
            </w:r>
          </w:p>
        </w:tc>
        <w:tc>
          <w:tcPr>
            <w:tcW w:w="7832" w:type="dxa"/>
            <w:tcBorders>
              <w:top w:val="single" w:sz="8" w:space="0" w:color="1A171C"/>
              <w:left w:val="single" w:sz="8" w:space="0" w:color="1A171C"/>
              <w:bottom w:val="single" w:sz="8" w:space="0" w:color="1A171C"/>
              <w:right w:val="nil"/>
            </w:tcBorders>
            <w:vAlign w:val="bottom"/>
          </w:tcPr>
          <w:p w14:paraId="7FE1D1C8" w14:textId="77777777" w:rsidR="00B81226" w:rsidRDefault="00B82AC2">
            <w:pPr>
              <w:pStyle w:val="P68B1DB1-TableParagraph40"/>
              <w:spacing w:before="108"/>
              <w:ind w:left="85"/>
              <w:jc w:val="both"/>
              <w:rPr>
                <w:b/>
                <w:bCs/>
              </w:rPr>
            </w:pPr>
            <w:r>
              <w:t xml:space="preserve"> </w:t>
            </w:r>
            <w:r>
              <w:rPr>
                <w:b/>
              </w:rPr>
              <w:t>Vastapuolen maa</w:t>
            </w:r>
          </w:p>
          <w:p w14:paraId="7FE1D1C9" w14:textId="77777777" w:rsidR="00B81226" w:rsidRDefault="00B82AC2">
            <w:pPr>
              <w:pStyle w:val="P68B1DB1-TableParagraph40"/>
              <w:spacing w:before="108"/>
              <w:ind w:left="85"/>
              <w:jc w:val="both"/>
            </w:pPr>
            <w:r>
              <w:t>Sen maan nimi, johon vastapuoli on rekisteröity.</w:t>
            </w:r>
          </w:p>
        </w:tc>
      </w:tr>
      <w:tr w:rsidR="00B81226" w14:paraId="7FE1D1CE" w14:textId="77777777">
        <w:tc>
          <w:tcPr>
            <w:tcW w:w="1183" w:type="dxa"/>
            <w:tcBorders>
              <w:top w:val="single" w:sz="8" w:space="0" w:color="1A171C"/>
              <w:left w:val="nil"/>
              <w:bottom w:val="single" w:sz="8" w:space="0" w:color="1A171C"/>
              <w:right w:val="single" w:sz="8" w:space="0" w:color="1A171C"/>
            </w:tcBorders>
            <w:vAlign w:val="center"/>
          </w:tcPr>
          <w:p w14:paraId="7FE1D1CB" w14:textId="77777777" w:rsidR="00B81226" w:rsidRDefault="00B82AC2">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1CC" w14:textId="77777777" w:rsidR="00B81226" w:rsidRDefault="00B82AC2">
            <w:pPr>
              <w:pStyle w:val="P68B1DB1-TableParagraph40"/>
              <w:spacing w:before="108"/>
              <w:ind w:left="85"/>
              <w:jc w:val="both"/>
              <w:rPr>
                <w:b/>
                <w:bCs/>
              </w:rPr>
            </w:pPr>
            <w:r>
              <w:t xml:space="preserve"> </w:t>
            </w:r>
            <w:r>
              <w:rPr>
                <w:b/>
              </w:rPr>
              <w:t>Vakiosopimukseen/yksittäiseen kauppaan sovellettava laki</w:t>
            </w:r>
          </w:p>
          <w:p w14:paraId="7FE1D1CD" w14:textId="77777777" w:rsidR="00B81226" w:rsidRDefault="00B82AC2">
            <w:pPr>
              <w:pStyle w:val="P68B1DB1-TableParagraph40"/>
              <w:spacing w:before="108"/>
              <w:ind w:left="85"/>
              <w:jc w:val="both"/>
            </w:pPr>
            <w:r>
              <w:t xml:space="preserve">Sen maan nimi, jonka lakia MA/singelkontraktiin sovelletaan. Jos sopimukseen sovelletaan useamman kuin yhden maan lakia, ilmoitetaan maa, jonka laki on merkityksellisin velkakirjojen arvon alaskirjaus- ja muuntamisvaltuuksien tunnustamisen osalta.  </w:t>
            </w:r>
          </w:p>
        </w:tc>
      </w:tr>
      <w:tr w:rsidR="00B81226" w14:paraId="7FE1D1D2" w14:textId="77777777">
        <w:tc>
          <w:tcPr>
            <w:tcW w:w="1183" w:type="dxa"/>
            <w:tcBorders>
              <w:top w:val="single" w:sz="8" w:space="0" w:color="1A171C"/>
              <w:left w:val="nil"/>
              <w:bottom w:val="single" w:sz="8" w:space="0" w:color="1A171C"/>
              <w:right w:val="single" w:sz="8" w:space="0" w:color="1A171C"/>
            </w:tcBorders>
            <w:vAlign w:val="center"/>
          </w:tcPr>
          <w:p w14:paraId="7FE1D1CF" w14:textId="77777777" w:rsidR="00B81226" w:rsidRDefault="00B82AC2">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D0" w14:textId="77777777" w:rsidR="00B81226" w:rsidRDefault="00B82AC2">
            <w:pPr>
              <w:pStyle w:val="P68B1DB1-TableParagraph40"/>
              <w:spacing w:before="108"/>
              <w:ind w:left="85"/>
              <w:jc w:val="both"/>
              <w:rPr>
                <w:b/>
                <w:bCs/>
              </w:rPr>
            </w:pPr>
            <w:r>
              <w:t xml:space="preserve"> </w:t>
            </w:r>
            <w:r>
              <w:rPr>
                <w:b/>
              </w:rPr>
              <w:t>Hakemuksen piiriin kuuluvien</w:t>
            </w:r>
          </w:p>
          <w:p w14:paraId="7FE1D1D1" w14:textId="77777777" w:rsidR="00B81226" w:rsidRDefault="00B82AC2">
            <w:pPr>
              <w:pStyle w:val="P68B1DB1-TableParagraph40"/>
              <w:spacing w:before="108"/>
              <w:ind w:left="85"/>
              <w:jc w:val="both"/>
            </w:pPr>
            <w:r>
              <w:t>Ilmoitetaan niiden yksittäisten sopimusten määrä, jotka sisältyvät vakiosopimuksen nettoutusryhmään.</w:t>
            </w:r>
          </w:p>
        </w:tc>
      </w:tr>
      <w:tr w:rsidR="00B81226" w14:paraId="7FE1D1D6" w14:textId="77777777">
        <w:tc>
          <w:tcPr>
            <w:tcW w:w="1183" w:type="dxa"/>
            <w:tcBorders>
              <w:top w:val="single" w:sz="8" w:space="0" w:color="1A171C"/>
              <w:left w:val="nil"/>
              <w:bottom w:val="single" w:sz="8" w:space="0" w:color="1A171C"/>
              <w:right w:val="single" w:sz="8" w:space="0" w:color="1A171C"/>
            </w:tcBorders>
            <w:vAlign w:val="center"/>
          </w:tcPr>
          <w:p w14:paraId="7FE1D1D3" w14:textId="77777777" w:rsidR="00B81226" w:rsidRDefault="00B82AC2">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D4" w14:textId="77777777" w:rsidR="00B81226" w:rsidRDefault="00B82AC2">
            <w:pPr>
              <w:pStyle w:val="P68B1DB1-TableParagraph40"/>
              <w:spacing w:before="108"/>
              <w:ind w:left="85"/>
              <w:jc w:val="both"/>
              <w:rPr>
                <w:b/>
                <w:bCs/>
              </w:rPr>
            </w:pPr>
            <w:r>
              <w:t xml:space="preserve"> </w:t>
            </w:r>
            <w:r>
              <w:rPr>
                <w:b/>
              </w:rPr>
              <w:t>Saadun rahoituksen nettomäärä</w:t>
            </w:r>
          </w:p>
          <w:p w14:paraId="7FE1D1D5" w14:textId="40508D2F" w:rsidR="00B81226" w:rsidRDefault="00B82AC2">
            <w:pPr>
              <w:pStyle w:val="P68B1DB1-TableParagraph40"/>
              <w:spacing w:before="108"/>
              <w:ind w:left="85"/>
              <w:jc w:val="both"/>
            </w:pPr>
            <w:r>
              <w:t>Tässä kohdassa ilmoitetaan vakuudellisten rahoitussopimusten nojalla saadun rahoituksen nettomäärä.Kaikki nettoutussopimukseen liittyvät transaktiot on otettava huomioon. Huom. Tämä määrä ei sisällä kertyneitä korkoja, kun taas taulukon 02.00 rivillä 0120 ilmoitettava vastaava määrä sisältää.</w:t>
            </w:r>
          </w:p>
        </w:tc>
      </w:tr>
      <w:tr w:rsidR="00B81226" w14:paraId="7FE1D1DA" w14:textId="77777777">
        <w:tc>
          <w:tcPr>
            <w:tcW w:w="1183" w:type="dxa"/>
            <w:tcBorders>
              <w:top w:val="single" w:sz="8" w:space="0" w:color="1A171C"/>
              <w:left w:val="nil"/>
              <w:bottom w:val="single" w:sz="8" w:space="0" w:color="1A171C"/>
              <w:right w:val="single" w:sz="8" w:space="0" w:color="1A171C"/>
            </w:tcBorders>
            <w:vAlign w:val="center"/>
          </w:tcPr>
          <w:p w14:paraId="7FE1D1D7" w14:textId="77777777" w:rsidR="00B81226" w:rsidRDefault="00B82AC2">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D8" w14:textId="77777777" w:rsidR="00B81226" w:rsidRDefault="00B82AC2">
            <w:pPr>
              <w:pStyle w:val="P68B1DB1-TableParagraph73"/>
              <w:spacing w:before="108"/>
              <w:ind w:left="85"/>
              <w:jc w:val="both"/>
              <w:rPr>
                <w:bCs/>
              </w:rPr>
            </w:pPr>
            <w:r>
              <w:t xml:space="preserve"> Lähetettyjen vakuuksien nettomäärä  </w:t>
            </w:r>
          </w:p>
          <w:p w14:paraId="7FE1D1D9" w14:textId="6D452434" w:rsidR="00B81226" w:rsidRDefault="00B82AC2">
            <w:pPr>
              <w:pStyle w:val="P68B1DB1-TableParagraph40"/>
              <w:spacing w:before="108"/>
              <w:ind w:left="85"/>
              <w:jc w:val="both"/>
            </w:pPr>
            <w:r>
              <w:t>Ilmoitetaan nettoutusryhmäkohtaisesti vakuudellisten rahoitustransaktioiden kattamiseksi asetetun vakuuden nettomäärä.Kaikki nettoutussopimukseen kuuluvat vakuudet otetaan huomioon. Tähän sisältyvät kaikki vaihdettavien vakuuksien tai vakuuksien määrät.</w:t>
            </w:r>
          </w:p>
        </w:tc>
      </w:tr>
    </w:tbl>
    <w:p w14:paraId="7FE1D1DB" w14:textId="77777777" w:rsidR="00B81226" w:rsidRDefault="00B81226">
      <w:pPr>
        <w:pStyle w:val="Instructionsberschrift2"/>
        <w:ind w:left="357"/>
        <w:rPr>
          <w:rFonts w:ascii="Times New Roman" w:eastAsia="Calibri" w:hAnsi="Times New Roman" w:cs="Times New Roman"/>
          <w:szCs w:val="20"/>
        </w:rPr>
      </w:pPr>
      <w:bookmarkStart w:id="253" w:name="_Toc81454218"/>
    </w:p>
    <w:p w14:paraId="7FE1D1DC" w14:textId="4F83132F" w:rsidR="00B81226" w:rsidRDefault="00B82AC2">
      <w:pPr>
        <w:pStyle w:val="Instructionsberschrift2"/>
        <w:numPr>
          <w:ilvl w:val="1"/>
          <w:numId w:val="49"/>
        </w:numPr>
        <w:spacing w:before="0"/>
        <w:ind w:left="357" w:hanging="357"/>
        <w:rPr>
          <w:rFonts w:ascii="Times New Roman" w:hAnsi="Times New Roman" w:cs="Times New Roman"/>
        </w:rPr>
      </w:pPr>
      <w:bookmarkStart w:id="254" w:name="_Toc208245472"/>
      <w:r>
        <w:rPr>
          <w:rFonts w:ascii="Times New Roman" w:eastAsiaTheme="minorEastAsia" w:hAnsi="Times New Roman" w:cs="Times New Roman"/>
        </w:rPr>
        <w:t xml:space="preserve">Z 17.00 – </w:t>
      </w:r>
      <w:r>
        <w:rPr>
          <w:rFonts w:ascii="Times New Roman" w:hAnsi="Times New Roman" w:cs="Times New Roman"/>
          <w:color w:val="000000" w:themeColor="text1"/>
        </w:rPr>
        <w:t xml:space="preserve">Muut rahoitusvelat (jotka eivät sisälly muihin välilehtiin, ei kuitenkaan konsernin sisäiset) </w:t>
      </w:r>
      <w:r>
        <w:rPr>
          <w:rFonts w:ascii="Times New Roman" w:eastAsia="Calibri" w:hAnsi="Times New Roman" w:cs="Times New Roman"/>
          <w:szCs w:val="20"/>
        </w:rPr>
        <w:t>(LIAB-G-7)</w:t>
      </w:r>
      <w:bookmarkEnd w:id="254"/>
    </w:p>
    <w:bookmarkEnd w:id="253"/>
    <w:p w14:paraId="7FE1D1DD" w14:textId="28BEEC11" w:rsidR="00B81226" w:rsidRDefault="00B81226">
      <w:pPr>
        <w:pStyle w:val="Instructionsberschrift2"/>
        <w:ind w:left="357"/>
        <w:rPr>
          <w:rFonts w:ascii="Times New Roman" w:eastAsiaTheme="minorEastAsia" w:hAnsi="Times New Roman" w:cs="Times New Roman"/>
          <w:u w:val="none"/>
        </w:rPr>
      </w:pPr>
    </w:p>
    <w:p w14:paraId="7FE1D1DE" w14:textId="77777777" w:rsidR="00B81226" w:rsidRDefault="00B82AC2">
      <w:pPr>
        <w:pStyle w:val="P68B1DB1-Numberedtitlelevel388"/>
      </w:pPr>
      <w:r>
        <w:t>Yleiset huomautukset</w:t>
      </w:r>
    </w:p>
    <w:p w14:paraId="7FE1D1DF" w14:textId="6152DD19" w:rsidR="00B81226" w:rsidRDefault="00B82AC2">
      <w:pPr>
        <w:pStyle w:val="P68B1DB1-InstructionsText286"/>
        <w:numPr>
          <w:ilvl w:val="2"/>
          <w:numId w:val="209"/>
        </w:numPr>
        <w:spacing w:before="0"/>
        <w:ind w:left="1276"/>
        <w:rPr>
          <w:rFonts w:eastAsiaTheme="majorEastAsia"/>
        </w:rPr>
      </w:pPr>
      <w:r>
        <w:t>Tämä taulukko kattaa muut kuin rahoitusvelat, kuten varaukset, verovelat ja tuloennakot.</w:t>
      </w:r>
    </w:p>
    <w:p w14:paraId="7FE1D1E0" w14:textId="6480C40E" w:rsidR="00B81226" w:rsidRDefault="00B82AC2">
      <w:pPr>
        <w:pStyle w:val="P68B1DB1-InstructionsText286"/>
        <w:numPr>
          <w:ilvl w:val="2"/>
          <w:numId w:val="209"/>
        </w:numPr>
        <w:spacing w:before="0"/>
        <w:ind w:left="1276"/>
      </w:pPr>
      <w:r>
        <w:t>Nämä velat ryhmitellään muun kuin rahoitusvelan tyypin ja maksukyvyttömyysjärjestyksen mukaan.</w:t>
      </w:r>
    </w:p>
    <w:p w14:paraId="7FE1D1E2" w14:textId="77777777" w:rsidR="00B81226" w:rsidRDefault="00B82AC2">
      <w:pPr>
        <w:pStyle w:val="P68B1DB1-Numberedtitlelevel388"/>
      </w:pPr>
      <w:r>
        <w:t>Tiettyjä kohtia koskevat ohjeet</w:t>
      </w:r>
    </w:p>
    <w:tbl>
      <w:tblPr>
        <w:tblW w:w="9015" w:type="dxa"/>
        <w:tblInd w:w="135" w:type="dxa"/>
        <w:tblLayout w:type="fixed"/>
        <w:tblLook w:val="04A0" w:firstRow="1" w:lastRow="0" w:firstColumn="1" w:lastColumn="0" w:noHBand="0" w:noVBand="1"/>
      </w:tblPr>
      <w:tblGrid>
        <w:gridCol w:w="1183"/>
        <w:gridCol w:w="7832"/>
      </w:tblGrid>
      <w:tr w:rsidR="00B81226" w14:paraId="7FE1D1E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E3" w14:textId="77777777" w:rsidR="00B81226" w:rsidRDefault="00B82AC2">
            <w:pPr>
              <w:pStyle w:val="P68B1DB1-Normal31"/>
            </w:pPr>
            <w:r>
              <w:t xml:space="preserve">Sarakkeet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E4" w14:textId="77777777" w:rsidR="00B81226" w:rsidRDefault="00B82AC2">
            <w:pPr>
              <w:pStyle w:val="P68B1DB1-Normal31"/>
            </w:pPr>
            <w:r>
              <w:t xml:space="preserve">Ohjeet </w:t>
            </w:r>
          </w:p>
        </w:tc>
      </w:tr>
      <w:tr w:rsidR="00B81226" w14:paraId="7FE1D1E9" w14:textId="77777777">
        <w:tc>
          <w:tcPr>
            <w:tcW w:w="1183" w:type="dxa"/>
            <w:tcBorders>
              <w:top w:val="single" w:sz="8" w:space="0" w:color="1A171C"/>
              <w:left w:val="nil"/>
              <w:bottom w:val="single" w:sz="8" w:space="0" w:color="1A171C"/>
              <w:right w:val="single" w:sz="8" w:space="0" w:color="1A171C"/>
            </w:tcBorders>
            <w:vAlign w:val="center"/>
          </w:tcPr>
          <w:p w14:paraId="7FE1D1E6" w14:textId="77777777" w:rsidR="00B81226" w:rsidRDefault="00B82AC2">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E7" w14:textId="77777777" w:rsidR="00B81226" w:rsidRDefault="00B82AC2">
            <w:pPr>
              <w:pStyle w:val="P68B1DB1-TableParagraph73"/>
              <w:spacing w:before="108"/>
              <w:ind w:left="85"/>
              <w:jc w:val="both"/>
              <w:rPr>
                <w:bCs/>
              </w:rPr>
            </w:pPr>
            <w:r>
              <w:t xml:space="preserve"> NRO </w:t>
            </w:r>
          </w:p>
          <w:p w14:paraId="7FE1D1E8" w14:textId="5AB7F74C" w:rsidR="00B81226" w:rsidRDefault="00B82AC2">
            <w:pPr>
              <w:pStyle w:val="P68B1DB1-TableParagraph40"/>
              <w:spacing w:before="108"/>
              <w:ind w:left="85"/>
              <w:jc w:val="both"/>
            </w:pPr>
            <w:r>
              <w:t>Yksilöllinen numero/ensisijainen tunniste rivikohtien tunnistamiseen.</w:t>
            </w:r>
          </w:p>
        </w:tc>
      </w:tr>
      <w:tr w:rsidR="00B81226" w14:paraId="7FE1D1ED" w14:textId="77777777">
        <w:tc>
          <w:tcPr>
            <w:tcW w:w="1183" w:type="dxa"/>
            <w:tcBorders>
              <w:top w:val="single" w:sz="8" w:space="0" w:color="1A171C"/>
              <w:left w:val="nil"/>
              <w:bottom w:val="single" w:sz="8" w:space="0" w:color="1A171C"/>
              <w:right w:val="single" w:sz="8" w:space="0" w:color="1A171C"/>
            </w:tcBorders>
            <w:vAlign w:val="center"/>
          </w:tcPr>
          <w:p w14:paraId="7FE1D1EA" w14:textId="77777777" w:rsidR="00B81226" w:rsidRDefault="00B82AC2">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EB" w14:textId="632D49C6" w:rsidR="00B81226" w:rsidRDefault="00B82AC2">
            <w:pPr>
              <w:pStyle w:val="P68B1DB1-TableParagraph73"/>
              <w:spacing w:before="108"/>
              <w:ind w:left="85"/>
              <w:jc w:val="both"/>
              <w:rPr>
                <w:bCs/>
              </w:rPr>
            </w:pPr>
            <w:r>
              <w:t xml:space="preserve"> Rivi </w:t>
            </w:r>
          </w:p>
          <w:p w14:paraId="7FE1D1EC" w14:textId="31DF728D" w:rsidR="00B81226" w:rsidRDefault="00B82AC2">
            <w:pPr>
              <w:pStyle w:val="P68B1DB1-TableParagraph40"/>
              <w:spacing w:before="108"/>
              <w:ind w:left="85"/>
              <w:jc w:val="both"/>
            </w:pPr>
            <w:r>
              <w:t>Jokaisesta velasta on esitettävä täsmäytys taulukon 02.00 velkarakenteen velkaluokkiin maturiteetin tasolla.Arvot valitaan valmiista luettelosta.</w:t>
            </w:r>
          </w:p>
        </w:tc>
      </w:tr>
      <w:tr w:rsidR="00B81226" w14:paraId="7FE1D1F1" w14:textId="77777777">
        <w:tc>
          <w:tcPr>
            <w:tcW w:w="1183" w:type="dxa"/>
            <w:tcBorders>
              <w:top w:val="single" w:sz="8" w:space="0" w:color="1A171C"/>
              <w:left w:val="nil"/>
              <w:bottom w:val="single" w:sz="8" w:space="0" w:color="1A171C"/>
              <w:right w:val="single" w:sz="8" w:space="0" w:color="1A171C"/>
            </w:tcBorders>
            <w:vAlign w:val="center"/>
          </w:tcPr>
          <w:p w14:paraId="7FE1D1EE" w14:textId="77777777" w:rsidR="00B81226" w:rsidRDefault="00B82AC2">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EF" w14:textId="77777777" w:rsidR="00B81226" w:rsidRDefault="00B82AC2">
            <w:pPr>
              <w:pStyle w:val="P68B1DB1-TableParagraph40"/>
              <w:spacing w:before="108"/>
              <w:ind w:left="85"/>
              <w:jc w:val="both"/>
              <w:rPr>
                <w:b/>
                <w:bCs/>
              </w:rPr>
            </w:pPr>
            <w:r>
              <w:t xml:space="preserve"> </w:t>
            </w:r>
            <w:r>
              <w:rPr>
                <w:b/>
              </w:rPr>
              <w:t>Sarake</w:t>
            </w:r>
          </w:p>
          <w:p w14:paraId="7FE1D1F0" w14:textId="2D865C88" w:rsidR="00B81226" w:rsidRDefault="00B82AC2">
            <w:pPr>
              <w:pStyle w:val="P68B1DB1-TableParagraph40"/>
              <w:spacing w:before="108"/>
              <w:ind w:left="85"/>
              <w:jc w:val="both"/>
            </w:pPr>
            <w:r>
              <w:t>Jokaisesta velasta on esitettävä täsmäytys taulukon 02.00 siihen vastapuoliluokkaan, johon velka on maksettava.Arvot valitaan valmiista luettelosta.</w:t>
            </w:r>
          </w:p>
        </w:tc>
      </w:tr>
      <w:tr w:rsidR="00B81226" w14:paraId="7FE1D1F5" w14:textId="77777777">
        <w:tc>
          <w:tcPr>
            <w:tcW w:w="1183" w:type="dxa"/>
            <w:tcBorders>
              <w:top w:val="single" w:sz="8" w:space="0" w:color="1A171C"/>
              <w:left w:val="nil"/>
              <w:bottom w:val="single" w:sz="8" w:space="0" w:color="1A171C"/>
              <w:right w:val="single" w:sz="8" w:space="0" w:color="1A171C"/>
            </w:tcBorders>
            <w:vAlign w:val="center"/>
          </w:tcPr>
          <w:p w14:paraId="7FE1D1F2" w14:textId="77777777" w:rsidR="00B81226" w:rsidRDefault="00B82AC2">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F3" w14:textId="77777777" w:rsidR="00B81226" w:rsidRDefault="00B82AC2">
            <w:pPr>
              <w:pStyle w:val="P68B1DB1-TableParagraph40"/>
              <w:spacing w:before="108"/>
              <w:ind w:left="85"/>
              <w:jc w:val="both"/>
              <w:rPr>
                <w:b/>
                <w:bCs/>
              </w:rPr>
            </w:pPr>
            <w:r>
              <w:t xml:space="preserve"> </w:t>
            </w:r>
            <w:r>
              <w:rPr>
                <w:b/>
              </w:rPr>
              <w:t>Ensisijaisuusjärjestys maksukyvyttömyysmenettelyssä</w:t>
            </w:r>
          </w:p>
          <w:p w14:paraId="7FE1D1F4" w14:textId="16989963" w:rsidR="00B81226" w:rsidRDefault="00B82AC2">
            <w:pPr>
              <w:pStyle w:val="P68B1DB1-TableParagraph40"/>
              <w:spacing w:before="108"/>
              <w:ind w:left="85"/>
              <w:jc w:val="both"/>
            </w:pPr>
            <w:r>
              <w:t>Maksukyvyttömyysluokan on oltava jokin kyseisen lainkäyttöalueen kriisinratkaisuviranomaisen julkaisemiin maksukyvyttömyysluokituksiin kuuluvista luokista.</w:t>
            </w:r>
          </w:p>
        </w:tc>
      </w:tr>
      <w:tr w:rsidR="00B81226" w14:paraId="7FE1D1F9" w14:textId="77777777">
        <w:tc>
          <w:tcPr>
            <w:tcW w:w="1183" w:type="dxa"/>
            <w:tcBorders>
              <w:top w:val="single" w:sz="8" w:space="0" w:color="1A171C"/>
              <w:left w:val="nil"/>
              <w:bottom w:val="single" w:sz="8" w:space="0" w:color="1A171C"/>
              <w:right w:val="single" w:sz="8" w:space="0" w:color="1A171C"/>
            </w:tcBorders>
            <w:vAlign w:val="center"/>
          </w:tcPr>
          <w:p w14:paraId="7FE1D1F6" w14:textId="77777777" w:rsidR="00B81226" w:rsidRDefault="00B82AC2">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F7" w14:textId="77777777" w:rsidR="00B81226" w:rsidRDefault="00B82AC2">
            <w:pPr>
              <w:pStyle w:val="P68B1DB1-TableParagraph73"/>
              <w:spacing w:before="108"/>
              <w:ind w:left="85"/>
              <w:jc w:val="both"/>
              <w:rPr>
                <w:bCs/>
              </w:rPr>
            </w:pPr>
            <w:r>
              <w:t xml:space="preserve">Sopimuksen tunniste </w:t>
            </w:r>
          </w:p>
          <w:p w14:paraId="7FE1D1F8" w14:textId="77777777" w:rsidR="00B81226" w:rsidRDefault="00B82AC2">
            <w:pPr>
              <w:pStyle w:val="P68B1DB1-TableParagraph40"/>
              <w:spacing w:before="108"/>
              <w:ind w:left="85"/>
              <w:jc w:val="both"/>
            </w:pPr>
            <w:r>
              <w:lastRenderedPageBreak/>
              <w:t>Sopimuksen sisäinen tunniste, joka vastaa arvopapereiden ISIN-koodia.</w:t>
            </w:r>
          </w:p>
        </w:tc>
      </w:tr>
      <w:tr w:rsidR="00B81226" w14:paraId="7FE1D1FD" w14:textId="77777777">
        <w:tc>
          <w:tcPr>
            <w:tcW w:w="1183" w:type="dxa"/>
            <w:tcBorders>
              <w:top w:val="single" w:sz="8" w:space="0" w:color="1A171C"/>
              <w:left w:val="nil"/>
              <w:bottom w:val="single" w:sz="8" w:space="0" w:color="1A171C"/>
              <w:right w:val="single" w:sz="8" w:space="0" w:color="1A171C"/>
            </w:tcBorders>
            <w:vAlign w:val="center"/>
          </w:tcPr>
          <w:p w14:paraId="7FE1D1FA" w14:textId="77777777" w:rsidR="00B81226" w:rsidRDefault="00B82AC2">
            <w:pPr>
              <w:pStyle w:val="P68B1DB1-Normal31"/>
            </w:pPr>
            <w:r>
              <w:lastRenderedPageBreak/>
              <w:t>0060</w:t>
            </w:r>
          </w:p>
        </w:tc>
        <w:tc>
          <w:tcPr>
            <w:tcW w:w="7832" w:type="dxa"/>
            <w:tcBorders>
              <w:top w:val="single" w:sz="8" w:space="0" w:color="1A171C"/>
              <w:left w:val="single" w:sz="8" w:space="0" w:color="1A171C"/>
              <w:bottom w:val="single" w:sz="8" w:space="0" w:color="1A171C"/>
              <w:right w:val="nil"/>
            </w:tcBorders>
            <w:vAlign w:val="bottom"/>
          </w:tcPr>
          <w:p w14:paraId="7FE1D1FB" w14:textId="7741257B" w:rsidR="00B81226" w:rsidRDefault="00B82AC2">
            <w:pPr>
              <w:pStyle w:val="P68B1DB1-TableParagraph73"/>
              <w:spacing w:before="108"/>
              <w:ind w:left="85"/>
              <w:jc w:val="both"/>
              <w:rPr>
                <w:bCs/>
              </w:rPr>
            </w:pPr>
            <w:r>
              <w:t xml:space="preserve"> Vastapuolen tunniste </w:t>
            </w:r>
          </w:p>
          <w:p w14:paraId="7FE1D1FC" w14:textId="3D6CB4CA" w:rsidR="00B81226" w:rsidRDefault="00B82AC2">
            <w:pPr>
              <w:pStyle w:val="P68B1DB1-TableParagraph40"/>
              <w:spacing w:before="108"/>
              <w:ind w:left="85"/>
              <w:jc w:val="both"/>
            </w:pPr>
            <w:r>
              <w:t>Ilmoitetaan velkojan LEI-tunnus. Jos oikeushenkilötunnusta ei ole, pankkien raporteissa käytetään RIAD-tietokannassa käytettyä EKP:n rahalaitosten tunnistetta (MFI ID). Jos näistä tunnisteista kumpaakaan ei ole, raportoi sisäinen tunniste.</w:t>
            </w:r>
          </w:p>
        </w:tc>
      </w:tr>
      <w:tr w:rsidR="00B81226" w14:paraId="7FE1D201" w14:textId="77777777">
        <w:tc>
          <w:tcPr>
            <w:tcW w:w="1183" w:type="dxa"/>
            <w:tcBorders>
              <w:top w:val="single" w:sz="8" w:space="0" w:color="1A171C"/>
              <w:left w:val="nil"/>
              <w:bottom w:val="single" w:sz="8" w:space="0" w:color="1A171C"/>
              <w:right w:val="single" w:sz="8" w:space="0" w:color="1A171C"/>
            </w:tcBorders>
            <w:vAlign w:val="center"/>
          </w:tcPr>
          <w:p w14:paraId="7FE1D1FE" w14:textId="77777777" w:rsidR="00B81226" w:rsidRDefault="00B82AC2">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FF" w14:textId="77777777" w:rsidR="00B81226" w:rsidRDefault="00B82AC2">
            <w:pPr>
              <w:pStyle w:val="P68B1DB1-TableParagraph73"/>
              <w:spacing w:before="108"/>
              <w:ind w:left="85"/>
              <w:jc w:val="both"/>
              <w:rPr>
                <w:bCs/>
              </w:rPr>
            </w:pPr>
            <w:r>
              <w:t xml:space="preserve">Tunnustyyppi </w:t>
            </w:r>
          </w:p>
          <w:p w14:paraId="7FE1D200" w14:textId="77777777" w:rsidR="00B81226" w:rsidRDefault="00B82AC2">
            <w:pPr>
              <w:pStyle w:val="P68B1DB1-TableParagraph40"/>
              <w:spacing w:before="108"/>
              <w:ind w:left="85"/>
              <w:jc w:val="both"/>
            </w:pPr>
            <w:r>
              <w:t>Tässä on valittava seuraavista vaihtoehdoista: LEI-tunnus, MFI-tunnus tai muu tunnisteen tyyppi kuin LEI- tai MFI-tunnus</w:t>
            </w:r>
          </w:p>
        </w:tc>
      </w:tr>
      <w:tr w:rsidR="00B81226" w14:paraId="7FE1D205" w14:textId="77777777">
        <w:tc>
          <w:tcPr>
            <w:tcW w:w="1183" w:type="dxa"/>
            <w:tcBorders>
              <w:top w:val="single" w:sz="8" w:space="0" w:color="1A171C"/>
              <w:left w:val="nil"/>
              <w:bottom w:val="single" w:sz="8" w:space="0" w:color="1A171C"/>
              <w:right w:val="single" w:sz="8" w:space="0" w:color="1A171C"/>
            </w:tcBorders>
            <w:vAlign w:val="center"/>
          </w:tcPr>
          <w:p w14:paraId="7FE1D202" w14:textId="0E607091" w:rsidR="00B81226" w:rsidRDefault="00B82AC2">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203" w14:textId="77777777" w:rsidR="00B81226" w:rsidRDefault="00B82AC2">
            <w:pPr>
              <w:pStyle w:val="P68B1DB1-TableParagraph40"/>
              <w:spacing w:before="108"/>
              <w:ind w:left="85"/>
              <w:jc w:val="both"/>
              <w:rPr>
                <w:b/>
                <w:bCs/>
              </w:rPr>
            </w:pPr>
            <w:r>
              <w:t xml:space="preserve"> </w:t>
            </w:r>
            <w:r>
              <w:rPr>
                <w:b/>
              </w:rPr>
              <w:t>Sovellettava laki;</w:t>
            </w:r>
          </w:p>
          <w:p w14:paraId="7FE1D204" w14:textId="24CB3395" w:rsidR="00B81226" w:rsidRDefault="00B82AC2">
            <w:pPr>
              <w:pStyle w:val="P68B1DB1-TableParagraph40"/>
              <w:spacing w:before="108"/>
              <w:ind w:left="85"/>
              <w:jc w:val="both"/>
            </w:pPr>
            <w:r>
              <w:t xml:space="preserve">Sen maan nimi, jonka lakia vastuuseen sovelletaan. Jos sopimukseen sovelletaan useamman kuin yhden maan lakia, ilmoitetaan maa, jonka laki on merkityksellisin velkakirjojen arvon alaskirjaus- ja muuntamisvaltuuksien tunnustamisen osalta.  </w:t>
            </w:r>
          </w:p>
        </w:tc>
      </w:tr>
      <w:tr w:rsidR="00B81226" w14:paraId="7FE1D213" w14:textId="77777777">
        <w:trPr>
          <w:trHeight w:val="5139"/>
        </w:trPr>
        <w:tc>
          <w:tcPr>
            <w:tcW w:w="1183" w:type="dxa"/>
            <w:tcBorders>
              <w:top w:val="single" w:sz="8" w:space="0" w:color="1A171C"/>
              <w:left w:val="nil"/>
              <w:bottom w:val="single" w:sz="4" w:space="0" w:color="auto"/>
              <w:right w:val="single" w:sz="4" w:space="0" w:color="auto"/>
            </w:tcBorders>
            <w:vAlign w:val="center"/>
          </w:tcPr>
          <w:p w14:paraId="7FE1D206" w14:textId="2286AADB" w:rsidR="00B81226" w:rsidRDefault="00B82AC2">
            <w:pPr>
              <w:pStyle w:val="P68B1DB1-Normal31"/>
            </w:pPr>
            <w:r>
              <w:t>0080</w:t>
            </w:r>
          </w:p>
        </w:tc>
        <w:tc>
          <w:tcPr>
            <w:tcW w:w="7832" w:type="dxa"/>
            <w:tcBorders>
              <w:top w:val="single" w:sz="8" w:space="0" w:color="1A171C"/>
              <w:left w:val="single" w:sz="4" w:space="0" w:color="auto"/>
              <w:right w:val="nil"/>
            </w:tcBorders>
            <w:vAlign w:val="bottom"/>
          </w:tcPr>
          <w:p w14:paraId="7FE1D207" w14:textId="77777777" w:rsidR="00B81226" w:rsidRDefault="00B82AC2">
            <w:pPr>
              <w:pStyle w:val="P68B1DB1-TableParagraph40"/>
              <w:spacing w:before="108"/>
              <w:ind w:left="85"/>
              <w:jc w:val="both"/>
              <w:rPr>
                <w:b/>
                <w:bCs/>
              </w:rPr>
            </w:pPr>
            <w:r>
              <w:t xml:space="preserve"> </w:t>
            </w:r>
            <w:r>
              <w:rPr>
                <w:b/>
              </w:rPr>
              <w:t>Muiden kuin rahoitusvelkojen tyyppi</w:t>
            </w:r>
          </w:p>
          <w:p w14:paraId="7FE1D208" w14:textId="234E81AF" w:rsidR="00B81226" w:rsidRDefault="00B82AC2">
            <w:pPr>
              <w:pStyle w:val="P68B1DB1-TableParagraph40"/>
              <w:spacing w:before="108"/>
              <w:ind w:left="85"/>
              <w:jc w:val="both"/>
            </w:pPr>
            <w:r>
              <w:t>Tässä on valittava seuraavista vaihtoehdoista:</w:t>
            </w:r>
          </w:p>
          <w:p w14:paraId="7FE1D209" w14:textId="1B19E45B" w:rsidR="00B81226" w:rsidRDefault="00B82AC2">
            <w:pPr>
              <w:pStyle w:val="P68B1DB1-TableParagraph40"/>
              <w:numPr>
                <w:ilvl w:val="0"/>
                <w:numId w:val="269"/>
              </w:numPr>
              <w:spacing w:before="108"/>
              <w:jc w:val="both"/>
            </w:pPr>
            <w:r>
              <w:t>Yleisten pankkiriskien rahastot</w:t>
            </w:r>
          </w:p>
          <w:p w14:paraId="7FE1D20A" w14:textId="5F4C425A" w:rsidR="00B81226" w:rsidRDefault="00B82AC2">
            <w:pPr>
              <w:pStyle w:val="P68B1DB1-TableParagraph40"/>
              <w:numPr>
                <w:ilvl w:val="0"/>
                <w:numId w:val="269"/>
              </w:numPr>
              <w:spacing w:before="108"/>
              <w:jc w:val="both"/>
            </w:pPr>
            <w:r>
              <w:t>Eläkettä ja muita määritettyjä työsuhteen päättymisen jälkeisiä etuuksia koskevat velvoitteet</w:t>
            </w:r>
          </w:p>
          <w:p w14:paraId="7FE1D20B" w14:textId="3AEADF9D" w:rsidR="00B81226" w:rsidRDefault="00B82AC2">
            <w:pPr>
              <w:pStyle w:val="P68B1DB1-TableParagraph40"/>
              <w:numPr>
                <w:ilvl w:val="0"/>
                <w:numId w:val="269"/>
              </w:numPr>
              <w:spacing w:before="108"/>
              <w:jc w:val="both"/>
            </w:pPr>
            <w:r>
              <w:t>Työsuhde-etuudet. Muut kuin eläkettä ja muita määritettyjä työsuhteen päättymisen jälkeisiä etuuksia koskevat velvoitteet</w:t>
            </w:r>
          </w:p>
          <w:p w14:paraId="7FE1D20C" w14:textId="66AEA5AF" w:rsidR="00B81226" w:rsidRDefault="00B82AC2">
            <w:pPr>
              <w:pStyle w:val="P68B1DB1-TableParagraph40"/>
              <w:numPr>
                <w:ilvl w:val="0"/>
                <w:numId w:val="269"/>
              </w:numPr>
              <w:spacing w:before="108"/>
              <w:jc w:val="both"/>
            </w:pPr>
            <w:r>
              <w:t>Rakenneuudistus</w:t>
            </w:r>
          </w:p>
          <w:p w14:paraId="7FE1D20D" w14:textId="72D6FCB9" w:rsidR="00B81226" w:rsidRDefault="00B82AC2">
            <w:pPr>
              <w:pStyle w:val="P68B1DB1-TableParagraph40"/>
              <w:numPr>
                <w:ilvl w:val="0"/>
                <w:numId w:val="269"/>
              </w:numPr>
              <w:spacing w:before="108"/>
              <w:jc w:val="both"/>
            </w:pPr>
            <w:r>
              <w:t>Vireillä olevat oikeusriidat ja veroasiat</w:t>
            </w:r>
          </w:p>
          <w:p w14:paraId="7FE1D20E" w14:textId="6A9A65DF" w:rsidR="00B81226" w:rsidRDefault="00B82AC2">
            <w:pPr>
              <w:pStyle w:val="P68B1DB1-TableParagraph40"/>
              <w:numPr>
                <w:ilvl w:val="0"/>
                <w:numId w:val="269"/>
              </w:numPr>
              <w:spacing w:before="108"/>
              <w:jc w:val="both"/>
            </w:pPr>
            <w:r>
              <w:t>Luottoriskin alaiset taseen ulkopuoliset vastuut</w:t>
            </w:r>
          </w:p>
          <w:p w14:paraId="7FE1D20F" w14:textId="69731D97" w:rsidR="00B81226" w:rsidRDefault="00B82AC2">
            <w:pPr>
              <w:pStyle w:val="P68B1DB1-TableParagraph40"/>
              <w:numPr>
                <w:ilvl w:val="0"/>
                <w:numId w:val="269"/>
              </w:numPr>
              <w:spacing w:before="108"/>
              <w:jc w:val="both"/>
            </w:pPr>
            <w:r>
              <w:t>Muut kuin työsuhde-etuudet, uudelleenjärjestely, vireillä olevat oikeudenkäynnit ja verokanteet, luottoriskin alaiset taseen ulkopuoliset vastuut</w:t>
            </w:r>
          </w:p>
          <w:p w14:paraId="7FE1D210" w14:textId="00431AB4" w:rsidR="00B81226" w:rsidRDefault="00B82AC2">
            <w:pPr>
              <w:pStyle w:val="P68B1DB1-TableParagraph40"/>
              <w:numPr>
                <w:ilvl w:val="0"/>
                <w:numId w:val="269"/>
              </w:numPr>
              <w:spacing w:before="108"/>
              <w:jc w:val="both"/>
            </w:pPr>
            <w:r>
              <w:t>Verovelat</w:t>
            </w:r>
          </w:p>
          <w:p w14:paraId="7FE1D211" w14:textId="29640DA2" w:rsidR="00B81226" w:rsidRDefault="00B82AC2">
            <w:pPr>
              <w:pStyle w:val="P68B1DB1-TableParagraph40"/>
              <w:numPr>
                <w:ilvl w:val="0"/>
                <w:numId w:val="269"/>
              </w:numPr>
              <w:spacing w:before="108"/>
              <w:jc w:val="both"/>
            </w:pPr>
            <w:r>
              <w:t>Tuloennakot</w:t>
            </w:r>
          </w:p>
          <w:p w14:paraId="7FE1D212" w14:textId="7E6BDA10" w:rsidR="00B81226" w:rsidRDefault="00B82AC2">
            <w:pPr>
              <w:pStyle w:val="P68B1DB1-TableParagraph40"/>
              <w:numPr>
                <w:ilvl w:val="0"/>
                <w:numId w:val="269"/>
              </w:numPr>
              <w:spacing w:before="108"/>
              <w:jc w:val="both"/>
            </w:pPr>
            <w:r>
              <w:t>Muut velat kuin rahoitusvelat, varaukset, verovelat, tuloennakot</w:t>
            </w:r>
          </w:p>
        </w:tc>
      </w:tr>
      <w:tr w:rsidR="00B81226" w14:paraId="7FE1D217" w14:textId="77777777">
        <w:tc>
          <w:tcPr>
            <w:tcW w:w="1183" w:type="dxa"/>
            <w:tcBorders>
              <w:top w:val="single" w:sz="4" w:space="0" w:color="auto"/>
              <w:left w:val="nil"/>
              <w:bottom w:val="single" w:sz="8" w:space="0" w:color="1A171C"/>
              <w:right w:val="single" w:sz="8" w:space="0" w:color="1A171C"/>
            </w:tcBorders>
            <w:vAlign w:val="center"/>
          </w:tcPr>
          <w:p w14:paraId="7FE1D214" w14:textId="77777777" w:rsidR="00B81226" w:rsidRDefault="00B82AC2">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215" w14:textId="77777777" w:rsidR="00B81226" w:rsidRDefault="00B82AC2">
            <w:pPr>
              <w:pStyle w:val="P68B1DB1-TableParagraph40"/>
              <w:spacing w:before="108"/>
              <w:ind w:left="85"/>
              <w:jc w:val="both"/>
              <w:rPr>
                <w:b/>
                <w:bCs/>
              </w:rPr>
            </w:pPr>
            <w:r>
              <w:t xml:space="preserve"> </w:t>
            </w:r>
            <w:r>
              <w:rPr>
                <w:b/>
              </w:rPr>
              <w:t>Kantatietoja kuvaava indikaattori</w:t>
            </w:r>
          </w:p>
          <w:p w14:paraId="7FE1D216" w14:textId="41D11E8B" w:rsidR="00B81226" w:rsidRDefault="00B82AC2">
            <w:pPr>
              <w:pStyle w:val="P68B1DB1-TableParagraph40"/>
              <w:spacing w:before="108"/>
              <w:ind w:left="85"/>
              <w:jc w:val="both"/>
            </w:pPr>
            <w:r>
              <w:t>Velan jäljellä oleva määrä.</w:t>
            </w:r>
          </w:p>
        </w:tc>
      </w:tr>
      <w:tr w:rsidR="00B81226" w14:paraId="7FE1D21B" w14:textId="77777777">
        <w:tc>
          <w:tcPr>
            <w:tcW w:w="1183" w:type="dxa"/>
            <w:tcBorders>
              <w:top w:val="single" w:sz="8" w:space="0" w:color="1A171C"/>
              <w:left w:val="nil"/>
              <w:bottom w:val="single" w:sz="8" w:space="0" w:color="1A171C"/>
              <w:right w:val="single" w:sz="8" w:space="0" w:color="1A171C"/>
            </w:tcBorders>
            <w:vAlign w:val="center"/>
          </w:tcPr>
          <w:p w14:paraId="7FE1D218" w14:textId="77777777" w:rsidR="00B81226" w:rsidRDefault="00B82AC2">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219" w14:textId="77777777" w:rsidR="00B81226" w:rsidRDefault="00B82AC2">
            <w:pPr>
              <w:pStyle w:val="P68B1DB1-TableParagraph73"/>
              <w:spacing w:before="108"/>
              <w:ind w:left="85"/>
              <w:jc w:val="both"/>
              <w:rPr>
                <w:bCs/>
              </w:rPr>
            </w:pPr>
            <w:r>
              <w:t xml:space="preserve">Valuutta  </w:t>
            </w:r>
          </w:p>
          <w:p w14:paraId="7FE1D21A" w14:textId="0E8D9FF4" w:rsidR="00B81226" w:rsidRDefault="00B82AC2">
            <w:pPr>
              <w:pStyle w:val="P68B1DB1-TableParagraph40"/>
              <w:spacing w:before="108"/>
              <w:ind w:left="85"/>
              <w:jc w:val="both"/>
            </w:pPr>
            <w:r>
              <w:t>Velan valuutta lasketaan liikkeeseen sen kolmikirjaimisen ISO 4217 -koodin mukaisesti.</w:t>
            </w:r>
          </w:p>
        </w:tc>
      </w:tr>
      <w:tr w:rsidR="00B81226" w14:paraId="7FE1D21F" w14:textId="77777777">
        <w:tc>
          <w:tcPr>
            <w:tcW w:w="1183" w:type="dxa"/>
            <w:tcBorders>
              <w:top w:val="single" w:sz="8" w:space="0" w:color="1A171C"/>
              <w:left w:val="nil"/>
              <w:bottom w:val="single" w:sz="8" w:space="0" w:color="1A171C"/>
              <w:right w:val="single" w:sz="8" w:space="0" w:color="1A171C"/>
            </w:tcBorders>
            <w:vAlign w:val="center"/>
          </w:tcPr>
          <w:p w14:paraId="7FE1D21C" w14:textId="77777777" w:rsidR="00B81226" w:rsidRDefault="00B82AC2">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21D" w14:textId="77777777" w:rsidR="00B81226" w:rsidRDefault="00B82AC2">
            <w:pPr>
              <w:pStyle w:val="P68B1DB1-TableParagraph73"/>
              <w:spacing w:before="108"/>
              <w:ind w:left="85"/>
              <w:jc w:val="both"/>
              <w:rPr>
                <w:bCs/>
              </w:rPr>
            </w:pPr>
            <w:r>
              <w:t xml:space="preserve"> Hyväksynnän myöntämispäivä </w:t>
            </w:r>
          </w:p>
          <w:p w14:paraId="7FE1D21E" w14:textId="6A3E04DE" w:rsidR="00B81226" w:rsidRDefault="00B82AC2">
            <w:pPr>
              <w:pStyle w:val="P68B1DB1-TableParagraph40"/>
              <w:spacing w:before="108"/>
              <w:ind w:left="85"/>
              <w:jc w:val="both"/>
            </w:pPr>
            <w:r>
              <w:t>Päivä, jona velka on kirjattu rahoituskirjanpitoon sovellettavien tilinpäätösstandardien mukaisesti.</w:t>
            </w:r>
          </w:p>
        </w:tc>
      </w:tr>
      <w:tr w:rsidR="00B81226" w14:paraId="7FE1D223" w14:textId="77777777">
        <w:tc>
          <w:tcPr>
            <w:tcW w:w="1183" w:type="dxa"/>
            <w:tcBorders>
              <w:top w:val="single" w:sz="8" w:space="0" w:color="1A171C"/>
              <w:left w:val="nil"/>
              <w:bottom w:val="single" w:sz="8" w:space="0" w:color="1A171C"/>
              <w:right w:val="single" w:sz="8" w:space="0" w:color="1A171C"/>
            </w:tcBorders>
            <w:vAlign w:val="center"/>
          </w:tcPr>
          <w:p w14:paraId="7FE1D220" w14:textId="77777777" w:rsidR="00B81226" w:rsidRDefault="00B82AC2">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221" w14:textId="77777777" w:rsidR="00B81226" w:rsidRDefault="00B82AC2">
            <w:pPr>
              <w:pStyle w:val="P68B1DB1-TableParagraph73"/>
              <w:spacing w:before="108"/>
              <w:ind w:left="85"/>
              <w:jc w:val="both"/>
              <w:rPr>
                <w:bCs/>
              </w:rPr>
            </w:pPr>
            <w:r>
              <w:t xml:space="preserve">Erääntymispäivä </w:t>
            </w:r>
          </w:p>
          <w:p w14:paraId="7FE1D222" w14:textId="41BB691A" w:rsidR="00B81226" w:rsidRDefault="00B82AC2">
            <w:pPr>
              <w:pStyle w:val="P68B1DB1-TableParagraph40"/>
              <w:spacing w:before="108"/>
              <w:ind w:left="85"/>
              <w:jc w:val="both"/>
            </w:pPr>
            <w:r>
              <w:t>Velan lainmukainen ja lopullinen erääntymispäivä. Eräpäivättömien velkojen osalta merkitään ”2099–01–31”.</w:t>
            </w:r>
          </w:p>
        </w:tc>
      </w:tr>
      <w:tr w:rsidR="00B81226" w14:paraId="7FE1D228" w14:textId="77777777">
        <w:trPr>
          <w:trHeight w:val="2644"/>
        </w:trPr>
        <w:tc>
          <w:tcPr>
            <w:tcW w:w="1183" w:type="dxa"/>
            <w:tcBorders>
              <w:top w:val="single" w:sz="8" w:space="0" w:color="1A171C"/>
              <w:left w:val="nil"/>
              <w:bottom w:val="single" w:sz="8" w:space="0" w:color="1A171C"/>
              <w:right w:val="single" w:sz="8" w:space="0" w:color="1A171C"/>
            </w:tcBorders>
            <w:vAlign w:val="center"/>
          </w:tcPr>
          <w:p w14:paraId="7FE1D224" w14:textId="77777777" w:rsidR="00B81226" w:rsidRDefault="00B82AC2">
            <w:pPr>
              <w:pStyle w:val="P68B1DB1-Normal31"/>
            </w:pPr>
            <w:r>
              <w:lastRenderedPageBreak/>
              <w:t>0130</w:t>
            </w:r>
          </w:p>
        </w:tc>
        <w:tc>
          <w:tcPr>
            <w:tcW w:w="7832" w:type="dxa"/>
            <w:tcBorders>
              <w:top w:val="single" w:sz="8" w:space="0" w:color="1A171C"/>
              <w:left w:val="single" w:sz="8" w:space="0" w:color="1A171C"/>
              <w:right w:val="nil"/>
            </w:tcBorders>
            <w:vAlign w:val="bottom"/>
          </w:tcPr>
          <w:p w14:paraId="7FE1D225" w14:textId="77777777" w:rsidR="00B81226" w:rsidRDefault="00B82AC2">
            <w:pPr>
              <w:pStyle w:val="P68B1DB1-TableParagraph40"/>
              <w:spacing w:before="108"/>
              <w:ind w:left="85"/>
              <w:jc w:val="both"/>
              <w:rPr>
                <w:b/>
                <w:bCs/>
              </w:rPr>
            </w:pPr>
            <w:r>
              <w:t xml:space="preserve"> </w:t>
            </w:r>
            <w:r>
              <w:rPr>
                <w:b/>
              </w:rPr>
              <w:t>Katsotaan omiksi varoiksi</w:t>
            </w:r>
          </w:p>
          <w:p w14:paraId="7FE1D226" w14:textId="3E6ABC96" w:rsidR="00B81226" w:rsidRDefault="00B82AC2">
            <w:pPr>
              <w:pStyle w:val="P68B1DB1-TableParagraph40"/>
              <w:spacing w:before="108"/>
              <w:ind w:left="85"/>
              <w:jc w:val="both"/>
            </w:pPr>
            <w:r>
              <w:t xml:space="preserve">Ilmoitetaan, sisältyykö kyseinen instrumentti omiin varoihin, ja jos sisältyy, millä tasolla, porrastettua käytöstäpoistoa ja uusista säännöksistä siirtymäajaksi vapauttamista koskevien tietojen lisäksi. Arvoksi valitaan valmiista luettelosta joko ”Ei”, ”Osittain AT1, T1 ja T2”, ”Porrastetusti käytöstä poistettava T2”, ”Uusista säännöksistä siirtymäajaksi vapautettu T2”, ”Täysin vaatimustenmukainen T2”, ”Uusista säännöksistä siirtymäajaksi vapautettu AT1”, ”Täysin vaatimustenmukainen AT1” tai ”CET1”. </w:t>
            </w:r>
          </w:p>
          <w:p w14:paraId="7FE1D227" w14:textId="4662C12C" w:rsidR="00B81226" w:rsidRDefault="00B82AC2">
            <w:pPr>
              <w:pStyle w:val="P68B1DB1-TableParagraph40"/>
              <w:spacing w:before="108"/>
              <w:ind w:left="85"/>
              <w:jc w:val="both"/>
            </w:pPr>
            <w:r>
              <w:t xml:space="preserve"> Vaihtoehtojen luettelossa oleva ilmaisu ”porrastettu käytöstäpoisto” tarkoittaa minkä tahansa T2-instrumentin maturiteettia edeltävää viiden vuoden ajanjaksoa, jonka aikana vain tietty osuus hyväksytään maturiteettiin kuluvan ajan perusteella. Ilmaisu ”uusista säännöksistä siirtymäajaksi vapautettu” tarkoittaa kaikkia T2-instrumenttiin sovellettavia siirtymäajan toimia, joihin ”porrastettu käytöstäpoisto” ei kuulu. Siirtymäajan aikana hyväksyntä voidaan tehdä kokonaan tai osittain.</w:t>
            </w:r>
          </w:p>
        </w:tc>
      </w:tr>
      <w:tr w:rsidR="00B81226" w14:paraId="7FE1D22C" w14:textId="77777777">
        <w:tc>
          <w:tcPr>
            <w:tcW w:w="1183" w:type="dxa"/>
            <w:tcBorders>
              <w:top w:val="nil"/>
              <w:left w:val="nil"/>
              <w:bottom w:val="single" w:sz="8" w:space="0" w:color="1A171C"/>
              <w:right w:val="single" w:sz="8" w:space="0" w:color="1A171C"/>
            </w:tcBorders>
            <w:vAlign w:val="center"/>
          </w:tcPr>
          <w:p w14:paraId="7FE1D229" w14:textId="77777777" w:rsidR="00B81226" w:rsidRDefault="00B82AC2">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22A" w14:textId="5599A05B" w:rsidR="00B81226" w:rsidRDefault="00B82AC2">
            <w:pPr>
              <w:pStyle w:val="P68B1DB1-TableParagraph40"/>
              <w:spacing w:before="108"/>
              <w:ind w:left="85"/>
              <w:jc w:val="both"/>
              <w:rPr>
                <w:b/>
                <w:bCs/>
              </w:rPr>
            </w:pPr>
            <w:r>
              <w:t xml:space="preserve"> </w:t>
            </w:r>
            <w:r>
              <w:rPr>
                <w:b/>
              </w:rPr>
              <w:t>Määrä, joka hyväksytään omiksi varoiksi</w:t>
            </w:r>
          </w:p>
          <w:p w14:paraId="7FE1D22B" w14:textId="01A9A811" w:rsidR="00B81226" w:rsidRDefault="00B82AC2">
            <w:pPr>
              <w:pStyle w:val="P68B1DB1-TableParagraph40"/>
              <w:spacing w:before="108"/>
              <w:ind w:left="85"/>
              <w:jc w:val="both"/>
            </w:pPr>
            <w:r>
              <w:t>Omia varoja koskevat ehdot täyttävän instrumentin määrä.</w:t>
            </w:r>
          </w:p>
        </w:tc>
      </w:tr>
    </w:tbl>
    <w:p w14:paraId="7FE1D22D" w14:textId="01F1CEAB" w:rsidR="00B81226" w:rsidRDefault="00B81226">
      <w:pPr>
        <w:pStyle w:val="body"/>
        <w:rPr>
          <w:rFonts w:ascii="Times New Roman" w:hAnsi="Times New Roman" w:cs="Times New Roman"/>
          <w:sz w:val="20"/>
          <w:szCs w:val="20"/>
        </w:rPr>
      </w:pPr>
    </w:p>
    <w:p w14:paraId="349218F7" w14:textId="77777777" w:rsidR="00B81226" w:rsidRDefault="00B82AC2">
      <w:pPr>
        <w:pStyle w:val="P68B1DB1-Normal19"/>
        <w:spacing w:after="200" w:line="276" w:lineRule="auto"/>
      </w:pPr>
      <w:r>
        <w:br w:type="page"/>
      </w:r>
    </w:p>
    <w:p w14:paraId="42DED9B4" w14:textId="77777777" w:rsidR="00B81226" w:rsidRDefault="00B81226">
      <w:pPr>
        <w:pStyle w:val="Instructionsberschrift2"/>
        <w:ind w:left="357"/>
        <w:rPr>
          <w:rFonts w:ascii="Times New Roman" w:eastAsia="Calibri" w:hAnsi="Times New Roman" w:cs="Times New Roman"/>
          <w:szCs w:val="20"/>
        </w:rPr>
      </w:pPr>
    </w:p>
    <w:p w14:paraId="4BD624F8" w14:textId="77777777" w:rsidR="00B81226" w:rsidRDefault="00B81226">
      <w:pPr>
        <w:spacing w:after="200" w:line="276" w:lineRule="auto"/>
        <w:rPr>
          <w:rFonts w:ascii="Times New Roman" w:hAnsi="Times New Roman" w:cs="Times New Roman"/>
          <w:sz w:val="20"/>
          <w:szCs w:val="20"/>
        </w:rPr>
      </w:pPr>
    </w:p>
    <w:p w14:paraId="715529B0" w14:textId="64A141F4" w:rsidR="00B81226" w:rsidRDefault="00B82AC2">
      <w:pPr>
        <w:pStyle w:val="P68B1DB1-Instructionsberschrift284"/>
        <w:numPr>
          <w:ilvl w:val="1"/>
          <w:numId w:val="49"/>
        </w:numPr>
        <w:spacing w:before="0"/>
        <w:ind w:left="357" w:hanging="357"/>
      </w:pPr>
      <w:bookmarkStart w:id="255" w:name="_Toc192248856"/>
      <w:bookmarkStart w:id="256" w:name="_Toc208245473"/>
      <w:r>
        <w:t>Liite I – Luettelo lomakkeessa Z 09.01 – c0050 käytettävistä FMI-infrastruktuureista</w:t>
      </w:r>
      <w:bookmarkEnd w:id="255"/>
      <w:bookmarkEnd w:id="256"/>
    </w:p>
    <w:p w14:paraId="31681B73" w14:textId="51FEAE08" w:rsidR="00B81226" w:rsidRDefault="00B81226">
      <w:pPr>
        <w:pStyle w:val="body"/>
        <w:rPr>
          <w:rFonts w:ascii="Times New Roman" w:hAnsi="Times New Roman" w:cs="Times New Roman"/>
          <w:sz w:val="20"/>
          <w:szCs w:val="20"/>
        </w:rPr>
      </w:pPr>
    </w:p>
    <w:tbl>
      <w:tblPr>
        <w:tblW w:w="9072" w:type="dxa"/>
        <w:tblLook w:val="04A0" w:firstRow="1" w:lastRow="0" w:firstColumn="1" w:lastColumn="0" w:noHBand="0" w:noVBand="1"/>
      </w:tblPr>
      <w:tblGrid>
        <w:gridCol w:w="9072"/>
      </w:tblGrid>
      <w:tr w:rsidR="00B81226" w14:paraId="567BC9DC" w14:textId="77777777">
        <w:trPr>
          <w:trHeight w:val="80"/>
        </w:trPr>
        <w:tc>
          <w:tcPr>
            <w:tcW w:w="9072" w:type="dxa"/>
            <w:tcBorders>
              <w:top w:val="nil"/>
              <w:left w:val="nil"/>
              <w:bottom w:val="nil"/>
              <w:right w:val="nil"/>
            </w:tcBorders>
            <w:shd w:val="clear" w:color="auto" w:fill="EEECE1" w:themeFill="background2"/>
            <w:noWrap/>
            <w:vAlign w:val="bottom"/>
          </w:tcPr>
          <w:p w14:paraId="1C1E6E57" w14:textId="77777777" w:rsidR="00B81226" w:rsidRDefault="00B82AC2">
            <w:pPr>
              <w:pStyle w:val="P68B1DB1-Normal90"/>
            </w:pPr>
            <w:r>
              <w:t>Kirjaus rahoitusmarkkinoiden infrastruktuurien pudotusvalikossa</w:t>
            </w:r>
          </w:p>
        </w:tc>
      </w:tr>
      <w:tr w:rsidR="00B81226" w14:paraId="09736821" w14:textId="77777777">
        <w:trPr>
          <w:trHeight w:val="300"/>
        </w:trPr>
        <w:tc>
          <w:tcPr>
            <w:tcW w:w="9072" w:type="dxa"/>
            <w:tcBorders>
              <w:top w:val="nil"/>
              <w:left w:val="nil"/>
              <w:bottom w:val="nil"/>
              <w:right w:val="nil"/>
            </w:tcBorders>
            <w:noWrap/>
            <w:vAlign w:val="bottom"/>
            <w:hideMark/>
          </w:tcPr>
          <w:p w14:paraId="65FBD6FC" w14:textId="77777777" w:rsidR="00B81226" w:rsidRDefault="00B82AC2">
            <w:pPr>
              <w:pStyle w:val="P68B1DB1-Normal91"/>
            </w:pPr>
            <w:bookmarkStart w:id="257" w:name="RANGE!A3:A168"/>
            <w:r>
              <w:t>Ateenan selvitystoimisto (ACO)</w:t>
            </w:r>
            <w:bookmarkEnd w:id="257"/>
          </w:p>
        </w:tc>
      </w:tr>
      <w:tr w:rsidR="00B81226" w14:paraId="447EB604" w14:textId="77777777">
        <w:trPr>
          <w:trHeight w:val="300"/>
        </w:trPr>
        <w:tc>
          <w:tcPr>
            <w:tcW w:w="9072" w:type="dxa"/>
            <w:tcBorders>
              <w:top w:val="nil"/>
              <w:left w:val="nil"/>
              <w:bottom w:val="nil"/>
              <w:right w:val="nil"/>
            </w:tcBorders>
            <w:noWrap/>
            <w:vAlign w:val="bottom"/>
            <w:hideMark/>
          </w:tcPr>
          <w:p w14:paraId="2B6E60A7" w14:textId="77777777" w:rsidR="00B81226" w:rsidRDefault="00B82AC2">
            <w:pPr>
              <w:pStyle w:val="P68B1DB1-Normal91"/>
            </w:pPr>
            <w:r>
              <w:t>ATHEX (Ateenan arvopaperipörssi)</w:t>
            </w:r>
          </w:p>
        </w:tc>
      </w:tr>
      <w:tr w:rsidR="00B81226" w14:paraId="0DF5C441" w14:textId="77777777">
        <w:trPr>
          <w:trHeight w:val="300"/>
        </w:trPr>
        <w:tc>
          <w:tcPr>
            <w:tcW w:w="9072" w:type="dxa"/>
            <w:tcBorders>
              <w:top w:val="nil"/>
              <w:left w:val="nil"/>
              <w:bottom w:val="nil"/>
              <w:right w:val="nil"/>
            </w:tcBorders>
            <w:noWrap/>
            <w:vAlign w:val="bottom"/>
            <w:hideMark/>
          </w:tcPr>
          <w:p w14:paraId="4C199F01" w14:textId="77777777" w:rsidR="00B81226" w:rsidRDefault="00B82AC2">
            <w:pPr>
              <w:pStyle w:val="P68B1DB1-Normal91"/>
            </w:pPr>
            <w:r>
              <w:t>ATHEX-KESKUS</w:t>
            </w:r>
          </w:p>
        </w:tc>
      </w:tr>
      <w:tr w:rsidR="00B81226" w14:paraId="6C8DFF2B" w14:textId="77777777">
        <w:trPr>
          <w:trHeight w:val="300"/>
        </w:trPr>
        <w:tc>
          <w:tcPr>
            <w:tcW w:w="9072" w:type="dxa"/>
            <w:tcBorders>
              <w:top w:val="nil"/>
              <w:left w:val="nil"/>
              <w:bottom w:val="nil"/>
              <w:right w:val="nil"/>
            </w:tcBorders>
            <w:noWrap/>
            <w:vAlign w:val="bottom"/>
            <w:hideMark/>
          </w:tcPr>
          <w:p w14:paraId="2876B1C1" w14:textId="77777777" w:rsidR="00B81226" w:rsidRDefault="00B82AC2">
            <w:pPr>
              <w:pStyle w:val="P68B1DB1-Normal91"/>
            </w:pPr>
            <w:r>
              <w:t>ATHEXClear SA</w:t>
            </w:r>
          </w:p>
        </w:tc>
      </w:tr>
      <w:tr w:rsidR="00B81226" w14:paraId="24CE5F78" w14:textId="77777777">
        <w:trPr>
          <w:trHeight w:val="300"/>
        </w:trPr>
        <w:tc>
          <w:tcPr>
            <w:tcW w:w="9072" w:type="dxa"/>
            <w:tcBorders>
              <w:top w:val="nil"/>
              <w:left w:val="nil"/>
              <w:bottom w:val="nil"/>
              <w:right w:val="nil"/>
            </w:tcBorders>
            <w:noWrap/>
            <w:vAlign w:val="bottom"/>
            <w:hideMark/>
          </w:tcPr>
          <w:p w14:paraId="1E830E75" w14:textId="77777777" w:rsidR="00B81226" w:rsidRDefault="00B82AC2">
            <w:pPr>
              <w:pStyle w:val="P68B1DB1-Normal91"/>
            </w:pPr>
            <w:r>
              <w:t>SELVITYSKESKUS ACH</w:t>
            </w:r>
          </w:p>
        </w:tc>
      </w:tr>
      <w:tr w:rsidR="00B81226" w14:paraId="2920AE45" w14:textId="77777777">
        <w:trPr>
          <w:trHeight w:val="300"/>
        </w:trPr>
        <w:tc>
          <w:tcPr>
            <w:tcW w:w="9072" w:type="dxa"/>
            <w:tcBorders>
              <w:top w:val="nil"/>
              <w:left w:val="nil"/>
              <w:bottom w:val="nil"/>
              <w:right w:val="nil"/>
            </w:tcBorders>
            <w:noWrap/>
            <w:vAlign w:val="bottom"/>
            <w:hideMark/>
          </w:tcPr>
          <w:p w14:paraId="1C314494" w14:textId="77777777" w:rsidR="00B81226" w:rsidRDefault="00B82AC2">
            <w:pPr>
              <w:pStyle w:val="P68B1DB1-Normal91"/>
            </w:pPr>
            <w:r>
              <w:t>Automaattinen selvitysjärjestelmä (ACSS)</w:t>
            </w:r>
          </w:p>
        </w:tc>
      </w:tr>
      <w:tr w:rsidR="00B81226" w14:paraId="1DB8A80A" w14:textId="77777777">
        <w:trPr>
          <w:trHeight w:val="300"/>
        </w:trPr>
        <w:tc>
          <w:tcPr>
            <w:tcW w:w="9072" w:type="dxa"/>
            <w:tcBorders>
              <w:top w:val="nil"/>
              <w:left w:val="nil"/>
              <w:bottom w:val="nil"/>
              <w:right w:val="nil"/>
            </w:tcBorders>
            <w:noWrap/>
            <w:vAlign w:val="bottom"/>
            <w:hideMark/>
          </w:tcPr>
          <w:p w14:paraId="65CA5200" w14:textId="77777777" w:rsidR="00B81226" w:rsidRDefault="00B82AC2">
            <w:pPr>
              <w:pStyle w:val="P68B1DB1-Normal91"/>
            </w:pPr>
            <w:r>
              <w:t>BACS (pankkien automaattiset tiedonvälityspalvelut)</w:t>
            </w:r>
          </w:p>
        </w:tc>
      </w:tr>
      <w:tr w:rsidR="00B81226" w14:paraId="0C931590" w14:textId="77777777">
        <w:trPr>
          <w:trHeight w:val="300"/>
        </w:trPr>
        <w:tc>
          <w:tcPr>
            <w:tcW w:w="9072" w:type="dxa"/>
            <w:tcBorders>
              <w:top w:val="nil"/>
              <w:left w:val="nil"/>
              <w:bottom w:val="nil"/>
              <w:right w:val="nil"/>
            </w:tcBorders>
            <w:noWrap/>
            <w:vAlign w:val="bottom"/>
            <w:hideMark/>
          </w:tcPr>
          <w:p w14:paraId="50133989" w14:textId="77777777" w:rsidR="00B81226" w:rsidRDefault="00B82AC2">
            <w:pPr>
              <w:pStyle w:val="P68B1DB1-Normal91"/>
            </w:pPr>
            <w:r>
              <w:t>Bankgirot (Bankgirocentralen BGC AB)</w:t>
            </w:r>
          </w:p>
        </w:tc>
      </w:tr>
      <w:tr w:rsidR="00B81226" w14:paraId="2F8CAEE4" w14:textId="77777777">
        <w:trPr>
          <w:trHeight w:val="300"/>
        </w:trPr>
        <w:tc>
          <w:tcPr>
            <w:tcW w:w="9072" w:type="dxa"/>
            <w:tcBorders>
              <w:top w:val="nil"/>
              <w:left w:val="nil"/>
              <w:bottom w:val="nil"/>
              <w:right w:val="nil"/>
            </w:tcBorders>
            <w:noWrap/>
            <w:vAlign w:val="bottom"/>
            <w:hideMark/>
          </w:tcPr>
          <w:p w14:paraId="01AEF229" w14:textId="77777777" w:rsidR="00B81226" w:rsidRDefault="00B82AC2">
            <w:pPr>
              <w:pStyle w:val="P68B1DB1-Normal91"/>
            </w:pPr>
            <w:r>
              <w:t>KAKSITAHOINEN COMP</w:t>
            </w:r>
          </w:p>
        </w:tc>
      </w:tr>
      <w:tr w:rsidR="00B81226" w14:paraId="7736D7E4" w14:textId="77777777">
        <w:trPr>
          <w:trHeight w:val="300"/>
        </w:trPr>
        <w:tc>
          <w:tcPr>
            <w:tcW w:w="9072" w:type="dxa"/>
            <w:tcBorders>
              <w:top w:val="nil"/>
              <w:left w:val="nil"/>
              <w:bottom w:val="nil"/>
              <w:right w:val="nil"/>
            </w:tcBorders>
            <w:noWrap/>
            <w:vAlign w:val="bottom"/>
            <w:hideMark/>
          </w:tcPr>
          <w:p w14:paraId="431E29D0" w14:textId="77777777" w:rsidR="00B81226" w:rsidRDefault="00B82AC2">
            <w:pPr>
              <w:pStyle w:val="P68B1DB1-Normal91"/>
            </w:pPr>
            <w:r>
              <w:t>Bisera (pankkien integroitu sähköisten maksujen järjestelmä)</w:t>
            </w:r>
          </w:p>
        </w:tc>
      </w:tr>
      <w:tr w:rsidR="00B81226" w14:paraId="7AE977D3" w14:textId="77777777">
        <w:trPr>
          <w:trHeight w:val="300"/>
        </w:trPr>
        <w:tc>
          <w:tcPr>
            <w:tcW w:w="9072" w:type="dxa"/>
            <w:tcBorders>
              <w:top w:val="nil"/>
              <w:left w:val="nil"/>
              <w:bottom w:val="nil"/>
              <w:right w:val="nil"/>
            </w:tcBorders>
            <w:noWrap/>
            <w:vAlign w:val="bottom"/>
            <w:hideMark/>
          </w:tcPr>
          <w:p w14:paraId="0E054309" w14:textId="77777777" w:rsidR="00B81226" w:rsidRDefault="00B82AC2">
            <w:pPr>
              <w:pStyle w:val="P68B1DB1-Normal91"/>
            </w:pPr>
            <w:r>
              <w:t>Bloomberg Trade Repository Limited</w:t>
            </w:r>
          </w:p>
        </w:tc>
      </w:tr>
      <w:tr w:rsidR="00B81226" w14:paraId="3DEFBBB0" w14:textId="77777777">
        <w:trPr>
          <w:trHeight w:val="300"/>
        </w:trPr>
        <w:tc>
          <w:tcPr>
            <w:tcW w:w="9072" w:type="dxa"/>
            <w:tcBorders>
              <w:top w:val="nil"/>
              <w:left w:val="nil"/>
              <w:bottom w:val="nil"/>
              <w:right w:val="nil"/>
            </w:tcBorders>
            <w:noWrap/>
            <w:vAlign w:val="bottom"/>
            <w:hideMark/>
          </w:tcPr>
          <w:p w14:paraId="69A6C566" w14:textId="77777777" w:rsidR="00B81226" w:rsidRDefault="00B82AC2">
            <w:pPr>
              <w:pStyle w:val="P68B1DB1-Normal91"/>
            </w:pPr>
            <w:r>
              <w:t>BME</w:t>
            </w:r>
          </w:p>
        </w:tc>
      </w:tr>
      <w:tr w:rsidR="00B81226" w14:paraId="6C4EE14D" w14:textId="77777777">
        <w:trPr>
          <w:trHeight w:val="300"/>
        </w:trPr>
        <w:tc>
          <w:tcPr>
            <w:tcW w:w="9072" w:type="dxa"/>
            <w:tcBorders>
              <w:top w:val="nil"/>
              <w:left w:val="nil"/>
              <w:bottom w:val="nil"/>
              <w:right w:val="nil"/>
            </w:tcBorders>
            <w:noWrap/>
            <w:vAlign w:val="bottom"/>
            <w:hideMark/>
          </w:tcPr>
          <w:p w14:paraId="31001C6A" w14:textId="77777777" w:rsidR="00B81226" w:rsidRDefault="00B82AC2">
            <w:pPr>
              <w:pStyle w:val="P68B1DB1-Normal91"/>
            </w:pPr>
            <w:r>
              <w:t>BME-selvitys</w:t>
            </w:r>
          </w:p>
        </w:tc>
      </w:tr>
      <w:tr w:rsidR="00B81226" w14:paraId="3ADECE08" w14:textId="77777777">
        <w:trPr>
          <w:trHeight w:val="300"/>
        </w:trPr>
        <w:tc>
          <w:tcPr>
            <w:tcW w:w="9072" w:type="dxa"/>
            <w:tcBorders>
              <w:top w:val="nil"/>
              <w:left w:val="nil"/>
              <w:bottom w:val="nil"/>
              <w:right w:val="nil"/>
            </w:tcBorders>
            <w:noWrap/>
            <w:vAlign w:val="bottom"/>
            <w:hideMark/>
          </w:tcPr>
          <w:p w14:paraId="29263C2A" w14:textId="77777777" w:rsidR="00B81226" w:rsidRDefault="00B82AC2">
            <w:pPr>
              <w:pStyle w:val="P68B1DB1-Normal91"/>
            </w:pPr>
            <w:r>
              <w:t>Teot (Kreikan keskuspankki, arvopaperien toimitusjärjestelmä)</w:t>
            </w:r>
          </w:p>
        </w:tc>
      </w:tr>
      <w:tr w:rsidR="00B81226" w14:paraId="6CCCB9AC" w14:textId="77777777">
        <w:trPr>
          <w:trHeight w:val="300"/>
        </w:trPr>
        <w:tc>
          <w:tcPr>
            <w:tcW w:w="9072" w:type="dxa"/>
            <w:tcBorders>
              <w:top w:val="nil"/>
              <w:left w:val="nil"/>
              <w:bottom w:val="nil"/>
              <w:right w:val="nil"/>
            </w:tcBorders>
            <w:noWrap/>
            <w:vAlign w:val="bottom"/>
            <w:hideMark/>
          </w:tcPr>
          <w:p w14:paraId="1092DA48" w14:textId="77777777" w:rsidR="00B81226" w:rsidRDefault="00B82AC2">
            <w:pPr>
              <w:pStyle w:val="P68B1DB1-Normal91"/>
            </w:pPr>
            <w:r>
              <w:t>BOJ-NET</w:t>
            </w:r>
          </w:p>
        </w:tc>
      </w:tr>
      <w:tr w:rsidR="00B81226" w14:paraId="4CEE7A6B" w14:textId="77777777">
        <w:trPr>
          <w:trHeight w:val="300"/>
        </w:trPr>
        <w:tc>
          <w:tcPr>
            <w:tcW w:w="9072" w:type="dxa"/>
            <w:tcBorders>
              <w:top w:val="nil"/>
              <w:left w:val="nil"/>
              <w:bottom w:val="nil"/>
              <w:right w:val="nil"/>
            </w:tcBorders>
            <w:noWrap/>
            <w:vAlign w:val="bottom"/>
            <w:hideMark/>
          </w:tcPr>
          <w:p w14:paraId="04FBDA33" w14:textId="77777777" w:rsidR="00B81226" w:rsidRDefault="00B82AC2">
            <w:pPr>
              <w:pStyle w:val="P68B1DB1-Normal91"/>
            </w:pPr>
            <w:r>
              <w:t>BondSpot S.A.</w:t>
            </w:r>
          </w:p>
        </w:tc>
      </w:tr>
      <w:tr w:rsidR="00B81226" w14:paraId="3B8A9B67" w14:textId="77777777">
        <w:trPr>
          <w:trHeight w:val="300"/>
        </w:trPr>
        <w:tc>
          <w:tcPr>
            <w:tcW w:w="9072" w:type="dxa"/>
            <w:tcBorders>
              <w:top w:val="nil"/>
              <w:left w:val="nil"/>
              <w:bottom w:val="nil"/>
              <w:right w:val="nil"/>
            </w:tcBorders>
            <w:noWrap/>
            <w:vAlign w:val="bottom"/>
            <w:hideMark/>
          </w:tcPr>
          <w:p w14:paraId="73DB34EF" w14:textId="77777777" w:rsidR="00B81226" w:rsidRDefault="00B82AC2">
            <w:pPr>
              <w:pStyle w:val="P68B1DB1-Normal91"/>
            </w:pPr>
            <w:r>
              <w:t>BORICA</w:t>
            </w:r>
          </w:p>
        </w:tc>
      </w:tr>
      <w:tr w:rsidR="00B81226" w14:paraId="5E8D43A2" w14:textId="77777777">
        <w:trPr>
          <w:trHeight w:val="300"/>
        </w:trPr>
        <w:tc>
          <w:tcPr>
            <w:tcW w:w="9072" w:type="dxa"/>
            <w:tcBorders>
              <w:top w:val="nil"/>
              <w:left w:val="nil"/>
              <w:bottom w:val="nil"/>
              <w:right w:val="nil"/>
            </w:tcBorders>
            <w:noWrap/>
            <w:vAlign w:val="bottom"/>
            <w:hideMark/>
          </w:tcPr>
          <w:p w14:paraId="4F788B85" w14:textId="77777777" w:rsidR="00B81226" w:rsidRDefault="00B82AC2">
            <w:pPr>
              <w:pStyle w:val="P68B1DB1-Normal91"/>
            </w:pPr>
            <w:r>
              <w:t>Borsa Italiana SpA</w:t>
            </w:r>
          </w:p>
        </w:tc>
      </w:tr>
      <w:tr w:rsidR="00B81226" w14:paraId="0034826C" w14:textId="77777777">
        <w:trPr>
          <w:trHeight w:val="300"/>
        </w:trPr>
        <w:tc>
          <w:tcPr>
            <w:tcW w:w="9072" w:type="dxa"/>
            <w:tcBorders>
              <w:top w:val="nil"/>
              <w:left w:val="nil"/>
              <w:bottom w:val="nil"/>
              <w:right w:val="nil"/>
            </w:tcBorders>
            <w:noWrap/>
            <w:vAlign w:val="bottom"/>
            <w:hideMark/>
          </w:tcPr>
          <w:p w14:paraId="6C688147" w14:textId="77777777" w:rsidR="00B81226" w:rsidRDefault="00B82AC2">
            <w:pPr>
              <w:pStyle w:val="P68B1DB1-Normal91"/>
            </w:pPr>
            <w:r>
              <w:t>Bratislava Stock Exchange (Bratislavan arvopaperipörssi)</w:t>
            </w:r>
          </w:p>
        </w:tc>
      </w:tr>
      <w:tr w:rsidR="00B81226" w14:paraId="2ACAB3C1" w14:textId="77777777">
        <w:trPr>
          <w:trHeight w:val="300"/>
        </w:trPr>
        <w:tc>
          <w:tcPr>
            <w:tcW w:w="9072" w:type="dxa"/>
            <w:tcBorders>
              <w:top w:val="nil"/>
              <w:left w:val="nil"/>
              <w:bottom w:val="nil"/>
              <w:right w:val="nil"/>
            </w:tcBorders>
            <w:noWrap/>
            <w:vAlign w:val="bottom"/>
            <w:hideMark/>
          </w:tcPr>
          <w:p w14:paraId="797C25FF" w14:textId="77777777" w:rsidR="00B81226" w:rsidRDefault="00B82AC2">
            <w:pPr>
              <w:pStyle w:val="P68B1DB1-Normal91"/>
            </w:pPr>
            <w:r>
              <w:t>Budapestin arvopaperipörssi</w:t>
            </w:r>
          </w:p>
        </w:tc>
      </w:tr>
      <w:tr w:rsidR="00B81226" w14:paraId="7928BB77" w14:textId="77777777">
        <w:trPr>
          <w:trHeight w:val="300"/>
        </w:trPr>
        <w:tc>
          <w:tcPr>
            <w:tcW w:w="9072" w:type="dxa"/>
            <w:tcBorders>
              <w:top w:val="nil"/>
              <w:left w:val="nil"/>
              <w:bottom w:val="nil"/>
              <w:right w:val="nil"/>
            </w:tcBorders>
            <w:noWrap/>
            <w:vAlign w:val="bottom"/>
            <w:hideMark/>
          </w:tcPr>
          <w:p w14:paraId="3D5ECE9A" w14:textId="77777777" w:rsidR="00B81226" w:rsidRDefault="00B82AC2">
            <w:pPr>
              <w:pStyle w:val="P68B1DB1-Normal91"/>
            </w:pPr>
            <w:r>
              <w:t>Bulgarian pörssi</w:t>
            </w:r>
          </w:p>
        </w:tc>
      </w:tr>
      <w:tr w:rsidR="00B81226" w14:paraId="3ED0C0E7" w14:textId="77777777">
        <w:trPr>
          <w:trHeight w:val="300"/>
        </w:trPr>
        <w:tc>
          <w:tcPr>
            <w:tcW w:w="9072" w:type="dxa"/>
            <w:tcBorders>
              <w:top w:val="nil"/>
              <w:left w:val="nil"/>
              <w:bottom w:val="nil"/>
              <w:right w:val="nil"/>
            </w:tcBorders>
            <w:noWrap/>
            <w:vAlign w:val="bottom"/>
            <w:hideMark/>
          </w:tcPr>
          <w:p w14:paraId="2AACB60C" w14:textId="77777777" w:rsidR="00B81226" w:rsidRDefault="00B82AC2">
            <w:pPr>
              <w:pStyle w:val="P68B1DB1-Normal91"/>
            </w:pPr>
            <w:r>
              <w:t>Bursa de Valori Bucaresti</w:t>
            </w:r>
          </w:p>
        </w:tc>
      </w:tr>
      <w:tr w:rsidR="00B81226" w14:paraId="358B0CBB" w14:textId="77777777">
        <w:trPr>
          <w:trHeight w:val="300"/>
        </w:trPr>
        <w:tc>
          <w:tcPr>
            <w:tcW w:w="9072" w:type="dxa"/>
            <w:tcBorders>
              <w:top w:val="nil"/>
              <w:left w:val="nil"/>
              <w:bottom w:val="nil"/>
              <w:right w:val="nil"/>
            </w:tcBorders>
            <w:noWrap/>
            <w:vAlign w:val="bottom"/>
            <w:hideMark/>
          </w:tcPr>
          <w:p w14:paraId="69852FE3" w14:textId="77777777" w:rsidR="00B81226" w:rsidRDefault="00B82AC2">
            <w:pPr>
              <w:pStyle w:val="P68B1DB1-Normal91"/>
            </w:pPr>
            <w:r>
              <w:t>Burza cenných papírя Praha, a.s. (Prahan pörssi)</w:t>
            </w:r>
          </w:p>
        </w:tc>
      </w:tr>
      <w:tr w:rsidR="00B81226" w14:paraId="2BEFFD1A" w14:textId="77777777">
        <w:trPr>
          <w:trHeight w:val="300"/>
        </w:trPr>
        <w:tc>
          <w:tcPr>
            <w:tcW w:w="9072" w:type="dxa"/>
            <w:tcBorders>
              <w:top w:val="nil"/>
              <w:left w:val="nil"/>
              <w:bottom w:val="nil"/>
              <w:right w:val="nil"/>
            </w:tcBorders>
            <w:noWrap/>
            <w:vAlign w:val="bottom"/>
            <w:hideMark/>
          </w:tcPr>
          <w:p w14:paraId="32741FAD" w14:textId="77777777" w:rsidR="00B81226" w:rsidRDefault="00B82AC2">
            <w:pPr>
              <w:pStyle w:val="P68B1DB1-Normal91"/>
            </w:pPr>
            <w:r>
              <w:t>Kanadan arvopaperitalletuslaitos (CDS)</w:t>
            </w:r>
          </w:p>
        </w:tc>
      </w:tr>
      <w:tr w:rsidR="00B81226" w14:paraId="588D9A6E" w14:textId="77777777">
        <w:trPr>
          <w:trHeight w:val="300"/>
        </w:trPr>
        <w:tc>
          <w:tcPr>
            <w:tcW w:w="9072" w:type="dxa"/>
            <w:tcBorders>
              <w:top w:val="nil"/>
              <w:left w:val="nil"/>
              <w:bottom w:val="nil"/>
              <w:right w:val="nil"/>
            </w:tcBorders>
            <w:noWrap/>
            <w:vAlign w:val="bottom"/>
            <w:hideMark/>
          </w:tcPr>
          <w:p w14:paraId="30CD8C56" w14:textId="77777777" w:rsidR="00B81226" w:rsidRDefault="00B82AC2">
            <w:pPr>
              <w:pStyle w:val="P68B1DB1-Normal91"/>
            </w:pPr>
            <w:r>
              <w:t>Canadian Derivatives Clearing Corporation</w:t>
            </w:r>
          </w:p>
        </w:tc>
      </w:tr>
      <w:tr w:rsidR="00B81226" w14:paraId="47A4B165" w14:textId="77777777">
        <w:trPr>
          <w:trHeight w:val="300"/>
        </w:trPr>
        <w:tc>
          <w:tcPr>
            <w:tcW w:w="9072" w:type="dxa"/>
            <w:tcBorders>
              <w:top w:val="nil"/>
              <w:left w:val="nil"/>
              <w:bottom w:val="nil"/>
              <w:right w:val="nil"/>
            </w:tcBorders>
            <w:noWrap/>
            <w:vAlign w:val="bottom"/>
          </w:tcPr>
          <w:p w14:paraId="4B6A49F9" w14:textId="77777777" w:rsidR="00B81226" w:rsidRDefault="00B82AC2">
            <w:pPr>
              <w:pStyle w:val="P68B1DB1-Normal91"/>
            </w:pPr>
            <w:r>
              <w:t>Cboe Clear Europe</w:t>
            </w:r>
          </w:p>
        </w:tc>
      </w:tr>
      <w:tr w:rsidR="00B81226" w14:paraId="00F4E07D" w14:textId="77777777">
        <w:trPr>
          <w:trHeight w:val="300"/>
        </w:trPr>
        <w:tc>
          <w:tcPr>
            <w:tcW w:w="9072" w:type="dxa"/>
            <w:tcBorders>
              <w:top w:val="nil"/>
              <w:left w:val="nil"/>
              <w:bottom w:val="nil"/>
              <w:right w:val="nil"/>
            </w:tcBorders>
            <w:noWrap/>
            <w:vAlign w:val="bottom"/>
            <w:hideMark/>
          </w:tcPr>
          <w:p w14:paraId="143644AA" w14:textId="77777777" w:rsidR="00B81226" w:rsidRDefault="00B82AC2">
            <w:pPr>
              <w:pStyle w:val="P68B1DB1-Normal91"/>
            </w:pPr>
            <w:r>
              <w:t>CCP Austria</w:t>
            </w:r>
          </w:p>
        </w:tc>
      </w:tr>
      <w:tr w:rsidR="00B81226" w14:paraId="49668E14" w14:textId="77777777">
        <w:trPr>
          <w:trHeight w:val="300"/>
        </w:trPr>
        <w:tc>
          <w:tcPr>
            <w:tcW w:w="9072" w:type="dxa"/>
            <w:tcBorders>
              <w:top w:val="nil"/>
              <w:left w:val="nil"/>
              <w:bottom w:val="nil"/>
              <w:right w:val="nil"/>
            </w:tcBorders>
            <w:noWrap/>
            <w:vAlign w:val="bottom"/>
            <w:hideMark/>
          </w:tcPr>
          <w:p w14:paraId="4D54CDC3" w14:textId="77777777" w:rsidR="00B81226" w:rsidRDefault="00B82AC2">
            <w:pPr>
              <w:pStyle w:val="P68B1DB1-Normal91"/>
            </w:pPr>
            <w:r>
              <w:t>CEC/UCV</w:t>
            </w:r>
          </w:p>
        </w:tc>
      </w:tr>
      <w:tr w:rsidR="00B81226" w14:paraId="13CEB735" w14:textId="77777777">
        <w:trPr>
          <w:trHeight w:val="300"/>
        </w:trPr>
        <w:tc>
          <w:tcPr>
            <w:tcW w:w="9072" w:type="dxa"/>
            <w:tcBorders>
              <w:top w:val="nil"/>
              <w:left w:val="nil"/>
              <w:bottom w:val="nil"/>
              <w:right w:val="nil"/>
            </w:tcBorders>
            <w:noWrap/>
            <w:vAlign w:val="bottom"/>
            <w:hideMark/>
          </w:tcPr>
          <w:p w14:paraId="7E656B34" w14:textId="77777777" w:rsidR="00B81226" w:rsidRDefault="00B82AC2">
            <w:pPr>
              <w:pStyle w:val="P68B1DB1-Normal91"/>
            </w:pPr>
            <w:r>
              <w:t>CEESEG AG (Wiener Borse)</w:t>
            </w:r>
          </w:p>
        </w:tc>
      </w:tr>
      <w:tr w:rsidR="00B81226" w14:paraId="38BBF453" w14:textId="77777777">
        <w:trPr>
          <w:trHeight w:val="300"/>
        </w:trPr>
        <w:tc>
          <w:tcPr>
            <w:tcW w:w="9072" w:type="dxa"/>
            <w:tcBorders>
              <w:top w:val="nil"/>
              <w:left w:val="nil"/>
              <w:bottom w:val="nil"/>
              <w:right w:val="nil"/>
            </w:tcBorders>
            <w:noWrap/>
            <w:vAlign w:val="bottom"/>
            <w:hideMark/>
          </w:tcPr>
          <w:p w14:paraId="7C5735E8" w14:textId="77777777" w:rsidR="00B81226" w:rsidRDefault="00B82AC2">
            <w:pPr>
              <w:pStyle w:val="P68B1DB1-Normal91"/>
            </w:pPr>
            <w:r>
              <w:t>Central Depository &amp; Clearing Company</w:t>
            </w:r>
          </w:p>
        </w:tc>
      </w:tr>
      <w:tr w:rsidR="00B81226" w14:paraId="100E6E04" w14:textId="77777777">
        <w:trPr>
          <w:trHeight w:val="300"/>
        </w:trPr>
        <w:tc>
          <w:tcPr>
            <w:tcW w:w="9072" w:type="dxa"/>
            <w:tcBorders>
              <w:top w:val="nil"/>
              <w:left w:val="nil"/>
              <w:bottom w:val="nil"/>
              <w:right w:val="nil"/>
            </w:tcBorders>
            <w:noWrap/>
            <w:vAlign w:val="bottom"/>
            <w:hideMark/>
          </w:tcPr>
          <w:p w14:paraId="1D98F57D" w14:textId="77777777" w:rsidR="00B81226" w:rsidRDefault="00B82AC2">
            <w:pPr>
              <w:pStyle w:val="P68B1DB1-Normal91"/>
            </w:pPr>
            <w:r>
              <w:t>Central Depository AD</w:t>
            </w:r>
          </w:p>
        </w:tc>
      </w:tr>
      <w:tr w:rsidR="00B81226" w14:paraId="3E41A5D7" w14:textId="77777777">
        <w:trPr>
          <w:trHeight w:val="300"/>
        </w:trPr>
        <w:tc>
          <w:tcPr>
            <w:tcW w:w="9072" w:type="dxa"/>
            <w:tcBorders>
              <w:top w:val="nil"/>
              <w:left w:val="nil"/>
              <w:bottom w:val="nil"/>
              <w:right w:val="nil"/>
            </w:tcBorders>
            <w:noWrap/>
            <w:vAlign w:val="bottom"/>
            <w:hideMark/>
          </w:tcPr>
          <w:p w14:paraId="149F4C5F" w14:textId="77777777" w:rsidR="00B81226" w:rsidRDefault="00B82AC2">
            <w:pPr>
              <w:pStyle w:val="P68B1DB1-Normal91"/>
            </w:pPr>
            <w:r>
              <w:t>Keskustalletus- ja keskusrekisteri</w:t>
            </w:r>
          </w:p>
        </w:tc>
      </w:tr>
      <w:tr w:rsidR="00B81226" w14:paraId="1B4CF3CD" w14:textId="77777777">
        <w:trPr>
          <w:trHeight w:val="300"/>
        </w:trPr>
        <w:tc>
          <w:tcPr>
            <w:tcW w:w="9072" w:type="dxa"/>
            <w:tcBorders>
              <w:top w:val="nil"/>
              <w:left w:val="nil"/>
              <w:bottom w:val="nil"/>
              <w:right w:val="nil"/>
            </w:tcBorders>
            <w:noWrap/>
            <w:vAlign w:val="bottom"/>
            <w:hideMark/>
          </w:tcPr>
          <w:p w14:paraId="7783EDF6" w14:textId="77777777" w:rsidR="00B81226" w:rsidRDefault="00B82AC2">
            <w:pPr>
              <w:pStyle w:val="P68B1DB1-Normal91"/>
            </w:pPr>
            <w:r>
              <w:t>Centralna klirinško depotna družba (KDD)</w:t>
            </w:r>
          </w:p>
        </w:tc>
      </w:tr>
      <w:tr w:rsidR="00B81226" w14:paraId="7812614A" w14:textId="77777777">
        <w:trPr>
          <w:trHeight w:val="300"/>
        </w:trPr>
        <w:tc>
          <w:tcPr>
            <w:tcW w:w="9072" w:type="dxa"/>
            <w:tcBorders>
              <w:top w:val="nil"/>
              <w:left w:val="nil"/>
              <w:bottom w:val="nil"/>
              <w:right w:val="nil"/>
            </w:tcBorders>
            <w:noWrap/>
            <w:vAlign w:val="bottom"/>
            <w:hideMark/>
          </w:tcPr>
          <w:p w14:paraId="7231B5A5" w14:textId="77777777" w:rsidR="00B81226" w:rsidRDefault="00B82AC2">
            <w:pPr>
              <w:pStyle w:val="P68B1DB1-Normal91"/>
            </w:pPr>
            <w:r>
              <w:t>Centrální depozitár cenných papíru SR a.s. (CDCP)/Prahan arvopaperikeskus</w:t>
            </w:r>
          </w:p>
        </w:tc>
      </w:tr>
      <w:tr w:rsidR="00B81226" w14:paraId="3DFD9976" w14:textId="77777777">
        <w:trPr>
          <w:trHeight w:val="300"/>
        </w:trPr>
        <w:tc>
          <w:tcPr>
            <w:tcW w:w="9072" w:type="dxa"/>
            <w:tcBorders>
              <w:top w:val="nil"/>
              <w:left w:val="nil"/>
              <w:bottom w:val="nil"/>
              <w:right w:val="nil"/>
            </w:tcBorders>
            <w:noWrap/>
            <w:vAlign w:val="bottom"/>
            <w:hideMark/>
          </w:tcPr>
          <w:p w14:paraId="742B58E1" w14:textId="77777777" w:rsidR="00B81226" w:rsidRDefault="00B82AC2">
            <w:pPr>
              <w:pStyle w:val="P68B1DB1-Normal91"/>
            </w:pPr>
            <w:r>
              <w:t>Centrálny Depositár cenných Papierov (CDCP)</w:t>
            </w:r>
          </w:p>
        </w:tc>
      </w:tr>
      <w:tr w:rsidR="00B81226" w14:paraId="0C3666C6" w14:textId="77777777">
        <w:trPr>
          <w:trHeight w:val="300"/>
        </w:trPr>
        <w:tc>
          <w:tcPr>
            <w:tcW w:w="9072" w:type="dxa"/>
            <w:tcBorders>
              <w:top w:val="nil"/>
              <w:left w:val="nil"/>
              <w:bottom w:val="nil"/>
              <w:right w:val="nil"/>
            </w:tcBorders>
            <w:noWrap/>
            <w:vAlign w:val="bottom"/>
            <w:hideMark/>
          </w:tcPr>
          <w:p w14:paraId="44F52918" w14:textId="77777777" w:rsidR="00B81226" w:rsidRDefault="00B82AC2">
            <w:pPr>
              <w:pStyle w:val="P68B1DB1-Normal91"/>
            </w:pPr>
            <w:r>
              <w:t>CENTROlink</w:t>
            </w:r>
          </w:p>
        </w:tc>
      </w:tr>
      <w:tr w:rsidR="00B81226" w14:paraId="1BAAD6F5" w14:textId="77777777">
        <w:trPr>
          <w:trHeight w:val="300"/>
        </w:trPr>
        <w:tc>
          <w:tcPr>
            <w:tcW w:w="9072" w:type="dxa"/>
            <w:tcBorders>
              <w:top w:val="nil"/>
              <w:left w:val="nil"/>
              <w:bottom w:val="nil"/>
              <w:right w:val="nil"/>
            </w:tcBorders>
            <w:noWrap/>
            <w:vAlign w:val="bottom"/>
            <w:hideMark/>
          </w:tcPr>
          <w:p w14:paraId="1E11605F" w14:textId="77777777" w:rsidR="00B81226" w:rsidRDefault="00B82AC2">
            <w:pPr>
              <w:pStyle w:val="P68B1DB1-Normal91"/>
            </w:pPr>
            <w:r>
              <w:t>CERTIS (Tšekin reaaliaikainen pankkienvälinen bruttomääräisten pikamaksujen järjestelmä)</w:t>
            </w:r>
          </w:p>
        </w:tc>
      </w:tr>
      <w:tr w:rsidR="00B81226" w14:paraId="58D71B59" w14:textId="77777777">
        <w:trPr>
          <w:trHeight w:val="300"/>
        </w:trPr>
        <w:tc>
          <w:tcPr>
            <w:tcW w:w="9072" w:type="dxa"/>
            <w:tcBorders>
              <w:top w:val="nil"/>
              <w:left w:val="nil"/>
              <w:bottom w:val="nil"/>
              <w:right w:val="nil"/>
            </w:tcBorders>
            <w:noWrap/>
            <w:vAlign w:val="bottom"/>
            <w:hideMark/>
          </w:tcPr>
          <w:p w14:paraId="0405428F" w14:textId="77777777" w:rsidR="00B81226" w:rsidRDefault="00B82AC2">
            <w:pPr>
              <w:pStyle w:val="P68B1DB1-Normal91"/>
            </w:pPr>
            <w:r>
              <w:t>CHAPS (Clearing House Automated Payment System)</w:t>
            </w:r>
          </w:p>
        </w:tc>
      </w:tr>
      <w:tr w:rsidR="00B81226" w14:paraId="0F052492" w14:textId="77777777">
        <w:trPr>
          <w:trHeight w:val="300"/>
        </w:trPr>
        <w:tc>
          <w:tcPr>
            <w:tcW w:w="9072" w:type="dxa"/>
            <w:tcBorders>
              <w:top w:val="nil"/>
              <w:left w:val="nil"/>
              <w:bottom w:val="nil"/>
              <w:right w:val="nil"/>
            </w:tcBorders>
            <w:noWrap/>
            <w:vAlign w:val="bottom"/>
            <w:hideMark/>
          </w:tcPr>
          <w:p w14:paraId="4F411666" w14:textId="77777777" w:rsidR="00B81226" w:rsidRDefault="00B82AC2">
            <w:pPr>
              <w:pStyle w:val="P68B1DB1-Normal91"/>
            </w:pPr>
            <w:r>
              <w:t>Cheque &amp; Credit Clearing System Ltd</w:t>
            </w:r>
          </w:p>
        </w:tc>
      </w:tr>
      <w:tr w:rsidR="00B81226" w14:paraId="0979B652" w14:textId="77777777">
        <w:trPr>
          <w:trHeight w:val="300"/>
        </w:trPr>
        <w:tc>
          <w:tcPr>
            <w:tcW w:w="9072" w:type="dxa"/>
            <w:tcBorders>
              <w:top w:val="nil"/>
              <w:left w:val="nil"/>
              <w:bottom w:val="nil"/>
              <w:right w:val="nil"/>
            </w:tcBorders>
            <w:noWrap/>
            <w:vAlign w:val="bottom"/>
            <w:hideMark/>
          </w:tcPr>
          <w:p w14:paraId="53589C87" w14:textId="77777777" w:rsidR="00B81226" w:rsidRDefault="00B82AC2">
            <w:pPr>
              <w:pStyle w:val="P68B1DB1-Normal91"/>
            </w:pPr>
            <w:r>
              <w:lastRenderedPageBreak/>
              <w:t>CHIPS</w:t>
            </w:r>
          </w:p>
        </w:tc>
      </w:tr>
      <w:tr w:rsidR="00B81226" w14:paraId="3FA985BC" w14:textId="77777777">
        <w:trPr>
          <w:trHeight w:val="300"/>
        </w:trPr>
        <w:tc>
          <w:tcPr>
            <w:tcW w:w="9072" w:type="dxa"/>
            <w:tcBorders>
              <w:top w:val="nil"/>
              <w:left w:val="nil"/>
              <w:bottom w:val="nil"/>
              <w:right w:val="nil"/>
            </w:tcBorders>
            <w:noWrap/>
            <w:vAlign w:val="bottom"/>
            <w:hideMark/>
          </w:tcPr>
          <w:p w14:paraId="1D542203" w14:textId="77777777" w:rsidR="00B81226" w:rsidRDefault="00B82AC2">
            <w:pPr>
              <w:pStyle w:val="P68B1DB1-Normal91"/>
            </w:pPr>
            <w:r>
              <w:t>Selvityspalvelu Itävalta (CSA)</w:t>
            </w:r>
          </w:p>
        </w:tc>
      </w:tr>
      <w:tr w:rsidR="00B81226" w14:paraId="6FFF162D" w14:textId="77777777">
        <w:trPr>
          <w:trHeight w:val="300"/>
        </w:trPr>
        <w:tc>
          <w:tcPr>
            <w:tcW w:w="9072" w:type="dxa"/>
            <w:tcBorders>
              <w:top w:val="nil"/>
              <w:left w:val="nil"/>
              <w:bottom w:val="nil"/>
              <w:right w:val="nil"/>
            </w:tcBorders>
            <w:noWrap/>
            <w:vAlign w:val="bottom"/>
            <w:hideMark/>
          </w:tcPr>
          <w:p w14:paraId="657C636C" w14:textId="77777777" w:rsidR="00B81226" w:rsidRDefault="00B82AC2">
            <w:pPr>
              <w:pStyle w:val="P68B1DB1-Normal91"/>
            </w:pPr>
            <w:r>
              <w:t>Selvityspalvelu International (CSI)</w:t>
            </w:r>
          </w:p>
        </w:tc>
      </w:tr>
      <w:tr w:rsidR="00B81226" w14:paraId="086AA89E" w14:textId="77777777">
        <w:trPr>
          <w:trHeight w:val="300"/>
        </w:trPr>
        <w:tc>
          <w:tcPr>
            <w:tcW w:w="9072" w:type="dxa"/>
            <w:tcBorders>
              <w:top w:val="nil"/>
              <w:left w:val="nil"/>
              <w:bottom w:val="nil"/>
              <w:right w:val="nil"/>
            </w:tcBorders>
            <w:noWrap/>
            <w:vAlign w:val="bottom"/>
            <w:hideMark/>
          </w:tcPr>
          <w:p w14:paraId="2802A46D" w14:textId="77777777" w:rsidR="00B81226" w:rsidRDefault="00B82AC2">
            <w:pPr>
              <w:pStyle w:val="P68B1DB1-Normal91"/>
            </w:pPr>
            <w:r>
              <w:t>Clearstream Banking AG</w:t>
            </w:r>
          </w:p>
        </w:tc>
      </w:tr>
      <w:tr w:rsidR="00B81226" w14:paraId="0E099AF5" w14:textId="77777777">
        <w:trPr>
          <w:trHeight w:val="300"/>
        </w:trPr>
        <w:tc>
          <w:tcPr>
            <w:tcW w:w="9072" w:type="dxa"/>
            <w:tcBorders>
              <w:top w:val="nil"/>
              <w:left w:val="nil"/>
              <w:bottom w:val="nil"/>
              <w:right w:val="nil"/>
            </w:tcBorders>
            <w:noWrap/>
            <w:vAlign w:val="bottom"/>
            <w:hideMark/>
          </w:tcPr>
          <w:p w14:paraId="7ED35FA8" w14:textId="77777777" w:rsidR="00B81226" w:rsidRDefault="00B82AC2">
            <w:pPr>
              <w:pStyle w:val="P68B1DB1-Normal91"/>
            </w:pPr>
            <w:r>
              <w:t>Clearstream Banking Luxembourg</w:t>
            </w:r>
          </w:p>
        </w:tc>
      </w:tr>
      <w:tr w:rsidR="00B81226" w14:paraId="55359EE8" w14:textId="77777777">
        <w:trPr>
          <w:trHeight w:val="300"/>
        </w:trPr>
        <w:tc>
          <w:tcPr>
            <w:tcW w:w="9072" w:type="dxa"/>
            <w:tcBorders>
              <w:top w:val="nil"/>
              <w:left w:val="nil"/>
              <w:bottom w:val="nil"/>
              <w:right w:val="nil"/>
            </w:tcBorders>
            <w:noWrap/>
            <w:vAlign w:val="bottom"/>
            <w:hideMark/>
          </w:tcPr>
          <w:p w14:paraId="218A6446" w14:textId="77777777" w:rsidR="00B81226" w:rsidRDefault="00B82AC2">
            <w:pPr>
              <w:pStyle w:val="P68B1DB1-Normal91"/>
            </w:pPr>
            <w:r>
              <w:t>CLS</w:t>
            </w:r>
          </w:p>
        </w:tc>
      </w:tr>
      <w:tr w:rsidR="00B81226" w14:paraId="6A82B717" w14:textId="77777777">
        <w:trPr>
          <w:trHeight w:val="300"/>
        </w:trPr>
        <w:tc>
          <w:tcPr>
            <w:tcW w:w="9072" w:type="dxa"/>
            <w:tcBorders>
              <w:top w:val="nil"/>
              <w:left w:val="nil"/>
              <w:bottom w:val="nil"/>
              <w:right w:val="nil"/>
            </w:tcBorders>
            <w:noWrap/>
            <w:vAlign w:val="bottom"/>
            <w:hideMark/>
          </w:tcPr>
          <w:p w14:paraId="051DFD15" w14:textId="77777777" w:rsidR="00B81226" w:rsidRDefault="00B82AC2">
            <w:pPr>
              <w:pStyle w:val="P68B1DB1-Normal91"/>
            </w:pPr>
            <w:r>
              <w:t>CME Trade Repository Ltd (CME TR)</w:t>
            </w:r>
          </w:p>
        </w:tc>
      </w:tr>
      <w:tr w:rsidR="00B81226" w14:paraId="06831526" w14:textId="77777777">
        <w:trPr>
          <w:trHeight w:val="300"/>
        </w:trPr>
        <w:tc>
          <w:tcPr>
            <w:tcW w:w="9072" w:type="dxa"/>
            <w:tcBorders>
              <w:top w:val="nil"/>
              <w:left w:val="nil"/>
              <w:bottom w:val="nil"/>
              <w:right w:val="nil"/>
            </w:tcBorders>
            <w:noWrap/>
            <w:vAlign w:val="bottom"/>
            <w:hideMark/>
          </w:tcPr>
          <w:p w14:paraId="33B6CA7E" w14:textId="77777777" w:rsidR="00B81226" w:rsidRDefault="00B82AC2">
            <w:pPr>
              <w:pStyle w:val="P68B1DB1-Normal91"/>
            </w:pPr>
            <w:r>
              <w:t>Kyproksen selvityskeskus</w:t>
            </w:r>
          </w:p>
        </w:tc>
      </w:tr>
      <w:tr w:rsidR="00B81226" w14:paraId="3BB1F880" w14:textId="77777777">
        <w:trPr>
          <w:trHeight w:val="300"/>
        </w:trPr>
        <w:tc>
          <w:tcPr>
            <w:tcW w:w="9072" w:type="dxa"/>
            <w:tcBorders>
              <w:top w:val="nil"/>
              <w:left w:val="nil"/>
              <w:bottom w:val="nil"/>
              <w:right w:val="nil"/>
            </w:tcBorders>
            <w:noWrap/>
            <w:vAlign w:val="bottom"/>
            <w:hideMark/>
          </w:tcPr>
          <w:p w14:paraId="6DCF1051" w14:textId="77777777" w:rsidR="00B81226" w:rsidRDefault="00B82AC2">
            <w:pPr>
              <w:pStyle w:val="P68B1DB1-Normal91"/>
            </w:pPr>
            <w:r>
              <w:t>Cyprus Stock Exchange</w:t>
            </w:r>
          </w:p>
        </w:tc>
      </w:tr>
      <w:tr w:rsidR="00B81226" w14:paraId="7F6A962C" w14:textId="77777777">
        <w:trPr>
          <w:trHeight w:val="300"/>
        </w:trPr>
        <w:tc>
          <w:tcPr>
            <w:tcW w:w="9072" w:type="dxa"/>
            <w:tcBorders>
              <w:top w:val="nil"/>
              <w:left w:val="nil"/>
              <w:bottom w:val="nil"/>
              <w:right w:val="nil"/>
            </w:tcBorders>
            <w:noWrap/>
            <w:vAlign w:val="bottom"/>
            <w:hideMark/>
          </w:tcPr>
          <w:p w14:paraId="359710C1" w14:textId="77777777" w:rsidR="00B81226" w:rsidRDefault="00B82AC2">
            <w:pPr>
              <w:pStyle w:val="P68B1DB1-Normal91"/>
            </w:pPr>
            <w:r>
              <w:t>Tietojen selvittäminen</w:t>
            </w:r>
          </w:p>
        </w:tc>
      </w:tr>
      <w:tr w:rsidR="00B81226" w14:paraId="0118AB34" w14:textId="77777777">
        <w:trPr>
          <w:trHeight w:val="300"/>
        </w:trPr>
        <w:tc>
          <w:tcPr>
            <w:tcW w:w="9072" w:type="dxa"/>
            <w:tcBorders>
              <w:top w:val="nil"/>
              <w:left w:val="nil"/>
              <w:bottom w:val="nil"/>
              <w:right w:val="nil"/>
            </w:tcBorders>
            <w:noWrap/>
            <w:vAlign w:val="bottom"/>
            <w:hideMark/>
          </w:tcPr>
          <w:p w14:paraId="371022ED" w14:textId="77777777" w:rsidR="00B81226" w:rsidRDefault="00B82AC2">
            <w:pPr>
              <w:pStyle w:val="P68B1DB1-Normal91"/>
            </w:pPr>
            <w:r>
              <w:t>Depozitarul Central S.A.</w:t>
            </w:r>
          </w:p>
        </w:tc>
      </w:tr>
      <w:tr w:rsidR="00B81226" w14:paraId="2356D6E7" w14:textId="77777777">
        <w:trPr>
          <w:trHeight w:val="300"/>
        </w:trPr>
        <w:tc>
          <w:tcPr>
            <w:tcW w:w="9072" w:type="dxa"/>
            <w:tcBorders>
              <w:top w:val="nil"/>
              <w:left w:val="nil"/>
              <w:bottom w:val="nil"/>
              <w:right w:val="nil"/>
            </w:tcBorders>
            <w:noWrap/>
            <w:vAlign w:val="bottom"/>
            <w:hideMark/>
          </w:tcPr>
          <w:p w14:paraId="2A6C99D9" w14:textId="77777777" w:rsidR="00B81226" w:rsidRDefault="00B82AC2">
            <w:pPr>
              <w:pStyle w:val="P68B1DB1-Normal91"/>
            </w:pPr>
            <w:r>
              <w:t>Deutsche Börse AG</w:t>
            </w:r>
          </w:p>
        </w:tc>
      </w:tr>
      <w:tr w:rsidR="00B81226" w14:paraId="086E410F" w14:textId="77777777">
        <w:trPr>
          <w:trHeight w:val="300"/>
        </w:trPr>
        <w:tc>
          <w:tcPr>
            <w:tcW w:w="9072" w:type="dxa"/>
            <w:tcBorders>
              <w:top w:val="nil"/>
              <w:left w:val="nil"/>
              <w:bottom w:val="nil"/>
              <w:right w:val="nil"/>
            </w:tcBorders>
            <w:noWrap/>
            <w:vAlign w:val="bottom"/>
            <w:hideMark/>
          </w:tcPr>
          <w:p w14:paraId="557F1C51" w14:textId="77777777" w:rsidR="00B81226" w:rsidRDefault="00B82AC2">
            <w:pPr>
              <w:pStyle w:val="P68B1DB1-Normal91"/>
            </w:pPr>
            <w:r>
              <w:t>Dias (Interbanking Systems S.A.)</w:t>
            </w:r>
          </w:p>
        </w:tc>
      </w:tr>
      <w:tr w:rsidR="00B81226" w14:paraId="2ADBEB7D" w14:textId="77777777">
        <w:trPr>
          <w:trHeight w:val="300"/>
        </w:trPr>
        <w:tc>
          <w:tcPr>
            <w:tcW w:w="9072" w:type="dxa"/>
            <w:tcBorders>
              <w:top w:val="nil"/>
              <w:left w:val="nil"/>
              <w:bottom w:val="nil"/>
              <w:right w:val="nil"/>
            </w:tcBorders>
            <w:noWrap/>
            <w:vAlign w:val="bottom"/>
            <w:hideMark/>
          </w:tcPr>
          <w:p w14:paraId="08C28E5B" w14:textId="77777777" w:rsidR="00B81226" w:rsidRDefault="00B82AC2">
            <w:pPr>
              <w:pStyle w:val="P68B1DB1-Normal91"/>
            </w:pPr>
            <w:r>
              <w:t>DTC (talletuspalveluyhtiö)</w:t>
            </w:r>
          </w:p>
        </w:tc>
      </w:tr>
      <w:tr w:rsidR="00B81226" w14:paraId="797F9EF8" w14:textId="77777777">
        <w:trPr>
          <w:trHeight w:val="300"/>
        </w:trPr>
        <w:tc>
          <w:tcPr>
            <w:tcW w:w="9072" w:type="dxa"/>
            <w:tcBorders>
              <w:top w:val="nil"/>
              <w:left w:val="nil"/>
              <w:bottom w:val="nil"/>
              <w:right w:val="nil"/>
            </w:tcBorders>
            <w:noWrap/>
            <w:vAlign w:val="bottom"/>
            <w:hideMark/>
          </w:tcPr>
          <w:p w14:paraId="51E5D740" w14:textId="77777777" w:rsidR="00B81226" w:rsidRDefault="00B82AC2">
            <w:pPr>
              <w:pStyle w:val="P68B1DB1-Normal91"/>
            </w:pPr>
            <w:r>
              <w:t>DTCC Derivatives Repository Plc</w:t>
            </w:r>
          </w:p>
        </w:tc>
      </w:tr>
      <w:tr w:rsidR="00B81226" w14:paraId="6ADFC287" w14:textId="77777777">
        <w:trPr>
          <w:trHeight w:val="300"/>
        </w:trPr>
        <w:tc>
          <w:tcPr>
            <w:tcW w:w="9072" w:type="dxa"/>
            <w:tcBorders>
              <w:top w:val="nil"/>
              <w:left w:val="nil"/>
              <w:bottom w:val="nil"/>
              <w:right w:val="nil"/>
            </w:tcBorders>
            <w:noWrap/>
            <w:vAlign w:val="bottom"/>
            <w:hideMark/>
          </w:tcPr>
          <w:p w14:paraId="30027F70" w14:textId="77777777" w:rsidR="00B81226" w:rsidRDefault="00B82AC2">
            <w:pPr>
              <w:pStyle w:val="P68B1DB1-Normal91"/>
            </w:pPr>
            <w:r>
              <w:t>Sähköinen tiedonvälitysjärjestelmä (EKS)</w:t>
            </w:r>
          </w:p>
        </w:tc>
      </w:tr>
      <w:tr w:rsidR="00B81226" w14:paraId="3C13C365" w14:textId="77777777">
        <w:trPr>
          <w:trHeight w:val="300"/>
        </w:trPr>
        <w:tc>
          <w:tcPr>
            <w:tcW w:w="9072" w:type="dxa"/>
            <w:tcBorders>
              <w:top w:val="nil"/>
              <w:left w:val="nil"/>
              <w:bottom w:val="nil"/>
              <w:right w:val="nil"/>
            </w:tcBorders>
            <w:noWrap/>
            <w:vAlign w:val="bottom"/>
            <w:hideMark/>
          </w:tcPr>
          <w:p w14:paraId="2536A2E4" w14:textId="77777777" w:rsidR="00B81226" w:rsidRDefault="00B82AC2">
            <w:pPr>
              <w:pStyle w:val="P68B1DB1-Normal91"/>
            </w:pPr>
            <w:r>
              <w:t>ELIXIR</w:t>
            </w:r>
          </w:p>
        </w:tc>
      </w:tr>
      <w:tr w:rsidR="00B81226" w14:paraId="59490FEF" w14:textId="77777777">
        <w:trPr>
          <w:trHeight w:val="300"/>
        </w:trPr>
        <w:tc>
          <w:tcPr>
            <w:tcW w:w="9072" w:type="dxa"/>
            <w:tcBorders>
              <w:top w:val="nil"/>
              <w:left w:val="nil"/>
              <w:bottom w:val="nil"/>
              <w:right w:val="nil"/>
            </w:tcBorders>
            <w:noWrap/>
            <w:vAlign w:val="bottom"/>
            <w:hideMark/>
          </w:tcPr>
          <w:p w14:paraId="5D3BC6DE" w14:textId="77777777" w:rsidR="00B81226" w:rsidRDefault="00B82AC2">
            <w:pPr>
              <w:pStyle w:val="P68B1DB1-Normal91"/>
            </w:pPr>
            <w:r>
              <w:t>Equens</w:t>
            </w:r>
          </w:p>
        </w:tc>
      </w:tr>
      <w:tr w:rsidR="00B81226" w14:paraId="7151AAFC" w14:textId="77777777">
        <w:trPr>
          <w:trHeight w:val="300"/>
        </w:trPr>
        <w:tc>
          <w:tcPr>
            <w:tcW w:w="9072" w:type="dxa"/>
            <w:tcBorders>
              <w:top w:val="nil"/>
              <w:left w:val="nil"/>
              <w:bottom w:val="nil"/>
              <w:right w:val="nil"/>
            </w:tcBorders>
            <w:noWrap/>
            <w:vAlign w:val="bottom"/>
            <w:hideMark/>
          </w:tcPr>
          <w:p w14:paraId="62F52322" w14:textId="77777777" w:rsidR="00B81226" w:rsidRDefault="00B82AC2">
            <w:pPr>
              <w:pStyle w:val="P68B1DB1-Normal91"/>
            </w:pPr>
            <w:r>
              <w:t>Eurexin selvitysryhmä</w:t>
            </w:r>
          </w:p>
        </w:tc>
      </w:tr>
      <w:tr w:rsidR="00B81226" w14:paraId="20047EE0" w14:textId="77777777">
        <w:trPr>
          <w:trHeight w:val="300"/>
        </w:trPr>
        <w:tc>
          <w:tcPr>
            <w:tcW w:w="9072" w:type="dxa"/>
            <w:tcBorders>
              <w:top w:val="nil"/>
              <w:left w:val="nil"/>
              <w:bottom w:val="nil"/>
              <w:right w:val="nil"/>
            </w:tcBorders>
            <w:noWrap/>
            <w:vAlign w:val="bottom"/>
            <w:hideMark/>
          </w:tcPr>
          <w:p w14:paraId="65198B5E" w14:textId="77777777" w:rsidR="00B81226" w:rsidRDefault="00B82AC2">
            <w:pPr>
              <w:pStyle w:val="P68B1DB1-Normal91"/>
            </w:pPr>
            <w:r>
              <w:t>EURO 1</w:t>
            </w:r>
          </w:p>
        </w:tc>
      </w:tr>
      <w:tr w:rsidR="00B81226" w14:paraId="51532B57" w14:textId="77777777">
        <w:trPr>
          <w:trHeight w:val="300"/>
        </w:trPr>
        <w:tc>
          <w:tcPr>
            <w:tcW w:w="9072" w:type="dxa"/>
            <w:tcBorders>
              <w:top w:val="nil"/>
              <w:left w:val="nil"/>
              <w:bottom w:val="nil"/>
              <w:right w:val="nil"/>
            </w:tcBorders>
            <w:noWrap/>
            <w:vAlign w:val="bottom"/>
            <w:hideMark/>
          </w:tcPr>
          <w:p w14:paraId="6784162A" w14:textId="77777777" w:rsidR="00B81226" w:rsidRDefault="00B82AC2">
            <w:pPr>
              <w:pStyle w:val="P68B1DB1-Normal91"/>
            </w:pPr>
            <w:r>
              <w:t>Euroclear Bank</w:t>
            </w:r>
          </w:p>
        </w:tc>
      </w:tr>
      <w:tr w:rsidR="00B81226" w14:paraId="1FED107A" w14:textId="77777777">
        <w:trPr>
          <w:trHeight w:val="300"/>
        </w:trPr>
        <w:tc>
          <w:tcPr>
            <w:tcW w:w="9072" w:type="dxa"/>
            <w:tcBorders>
              <w:top w:val="nil"/>
              <w:left w:val="nil"/>
              <w:bottom w:val="nil"/>
              <w:right w:val="nil"/>
            </w:tcBorders>
            <w:noWrap/>
            <w:vAlign w:val="bottom"/>
            <w:hideMark/>
          </w:tcPr>
          <w:p w14:paraId="7EB27986" w14:textId="77777777" w:rsidR="00B81226" w:rsidRDefault="00B82AC2">
            <w:pPr>
              <w:pStyle w:val="P68B1DB1-Normal91"/>
            </w:pPr>
            <w:r>
              <w:t>Euroclear Belgium (ESES)</w:t>
            </w:r>
          </w:p>
        </w:tc>
      </w:tr>
      <w:tr w:rsidR="00B81226" w14:paraId="19126F92" w14:textId="77777777">
        <w:trPr>
          <w:trHeight w:val="300"/>
        </w:trPr>
        <w:tc>
          <w:tcPr>
            <w:tcW w:w="9072" w:type="dxa"/>
            <w:tcBorders>
              <w:top w:val="nil"/>
              <w:left w:val="nil"/>
              <w:bottom w:val="nil"/>
              <w:right w:val="nil"/>
            </w:tcBorders>
            <w:noWrap/>
            <w:vAlign w:val="bottom"/>
            <w:hideMark/>
          </w:tcPr>
          <w:p w14:paraId="649DE977" w14:textId="77777777" w:rsidR="00B81226" w:rsidRDefault="00B82AC2">
            <w:pPr>
              <w:pStyle w:val="P68B1DB1-Normal91"/>
            </w:pPr>
            <w:r>
              <w:t>Euroclear Finland</w:t>
            </w:r>
          </w:p>
        </w:tc>
      </w:tr>
      <w:tr w:rsidR="00B81226" w14:paraId="37A9A6E1" w14:textId="77777777">
        <w:trPr>
          <w:trHeight w:val="300"/>
        </w:trPr>
        <w:tc>
          <w:tcPr>
            <w:tcW w:w="9072" w:type="dxa"/>
            <w:tcBorders>
              <w:top w:val="nil"/>
              <w:left w:val="nil"/>
              <w:bottom w:val="nil"/>
              <w:right w:val="nil"/>
            </w:tcBorders>
            <w:noWrap/>
            <w:vAlign w:val="bottom"/>
            <w:hideMark/>
          </w:tcPr>
          <w:p w14:paraId="734EF8BF" w14:textId="77777777" w:rsidR="00B81226" w:rsidRDefault="00B82AC2">
            <w:pPr>
              <w:pStyle w:val="P68B1DB1-Normal91"/>
            </w:pPr>
            <w:r>
              <w:t>Euroclear France (ESES)</w:t>
            </w:r>
          </w:p>
        </w:tc>
      </w:tr>
      <w:tr w:rsidR="00B81226" w14:paraId="33F2EFD1" w14:textId="77777777">
        <w:trPr>
          <w:trHeight w:val="300"/>
        </w:trPr>
        <w:tc>
          <w:tcPr>
            <w:tcW w:w="9072" w:type="dxa"/>
            <w:tcBorders>
              <w:top w:val="nil"/>
              <w:left w:val="nil"/>
              <w:bottom w:val="nil"/>
              <w:right w:val="nil"/>
            </w:tcBorders>
            <w:noWrap/>
            <w:vAlign w:val="bottom"/>
            <w:hideMark/>
          </w:tcPr>
          <w:p w14:paraId="0273EA5F" w14:textId="77777777" w:rsidR="00B81226" w:rsidRDefault="00B82AC2">
            <w:pPr>
              <w:pStyle w:val="P68B1DB1-Normal91"/>
            </w:pPr>
            <w:r>
              <w:t>Euroclear Alankomaat (ESES)</w:t>
            </w:r>
          </w:p>
        </w:tc>
      </w:tr>
      <w:tr w:rsidR="00B81226" w14:paraId="7B056DB0" w14:textId="77777777">
        <w:trPr>
          <w:trHeight w:val="300"/>
        </w:trPr>
        <w:tc>
          <w:tcPr>
            <w:tcW w:w="9072" w:type="dxa"/>
            <w:tcBorders>
              <w:top w:val="nil"/>
              <w:left w:val="nil"/>
              <w:bottom w:val="nil"/>
              <w:right w:val="nil"/>
            </w:tcBorders>
            <w:noWrap/>
            <w:vAlign w:val="bottom"/>
            <w:hideMark/>
          </w:tcPr>
          <w:p w14:paraId="09E6EC57" w14:textId="77777777" w:rsidR="00B81226" w:rsidRDefault="00B82AC2">
            <w:pPr>
              <w:pStyle w:val="P68B1DB1-Normal91"/>
            </w:pPr>
            <w:r>
              <w:t>Euroclear Sweden AB (VPC-järjestelmä)</w:t>
            </w:r>
          </w:p>
        </w:tc>
      </w:tr>
      <w:tr w:rsidR="00B81226" w14:paraId="3D614022" w14:textId="77777777">
        <w:trPr>
          <w:trHeight w:val="300"/>
        </w:trPr>
        <w:tc>
          <w:tcPr>
            <w:tcW w:w="9072" w:type="dxa"/>
            <w:tcBorders>
              <w:top w:val="nil"/>
              <w:left w:val="nil"/>
              <w:bottom w:val="nil"/>
              <w:right w:val="nil"/>
            </w:tcBorders>
            <w:noWrap/>
            <w:vAlign w:val="bottom"/>
            <w:hideMark/>
          </w:tcPr>
          <w:p w14:paraId="1A4DFFF6" w14:textId="77777777" w:rsidR="00B81226" w:rsidRDefault="00B82AC2">
            <w:pPr>
              <w:pStyle w:val="P68B1DB1-Normal91"/>
            </w:pPr>
            <w:r>
              <w:t>Euroclear UK &amp; Ireland Limited (EUI) (CREST)</w:t>
            </w:r>
          </w:p>
        </w:tc>
      </w:tr>
      <w:tr w:rsidR="00B81226" w14:paraId="55B08F89" w14:textId="77777777">
        <w:trPr>
          <w:trHeight w:val="300"/>
        </w:trPr>
        <w:tc>
          <w:tcPr>
            <w:tcW w:w="9072" w:type="dxa"/>
            <w:tcBorders>
              <w:top w:val="nil"/>
              <w:left w:val="nil"/>
              <w:bottom w:val="nil"/>
              <w:right w:val="nil"/>
            </w:tcBorders>
            <w:noWrap/>
            <w:vAlign w:val="bottom"/>
            <w:hideMark/>
          </w:tcPr>
          <w:p w14:paraId="56E621EE" w14:textId="77777777" w:rsidR="00B81226" w:rsidRDefault="00B82AC2">
            <w:pPr>
              <w:pStyle w:val="P68B1DB1-Normal91"/>
            </w:pPr>
            <w:r>
              <w:t>Euronext Amsterdam Cash Market</w:t>
            </w:r>
          </w:p>
        </w:tc>
      </w:tr>
      <w:tr w:rsidR="00B81226" w14:paraId="08BE70B5" w14:textId="77777777">
        <w:trPr>
          <w:trHeight w:val="300"/>
        </w:trPr>
        <w:tc>
          <w:tcPr>
            <w:tcW w:w="9072" w:type="dxa"/>
            <w:tcBorders>
              <w:top w:val="nil"/>
              <w:left w:val="nil"/>
              <w:bottom w:val="nil"/>
              <w:right w:val="nil"/>
            </w:tcBorders>
            <w:noWrap/>
            <w:vAlign w:val="bottom"/>
            <w:hideMark/>
          </w:tcPr>
          <w:p w14:paraId="717F6012" w14:textId="77777777" w:rsidR="00B81226" w:rsidRDefault="00B82AC2">
            <w:pPr>
              <w:pStyle w:val="P68B1DB1-Normal91"/>
            </w:pPr>
            <w:r>
              <w:t>Euronext Brussels SA</w:t>
            </w:r>
          </w:p>
          <w:p w14:paraId="3E95828F" w14:textId="77777777" w:rsidR="00B81226" w:rsidRDefault="00B82AC2">
            <w:pPr>
              <w:rPr>
                <w:rFonts w:eastAsia="Times New Roman" w:cs="Calibri"/>
                <w:color w:val="000000"/>
                <w:sz w:val="18"/>
                <w:szCs w:val="18"/>
              </w:rPr>
            </w:pPr>
            <w:r>
              <w:rPr>
                <w:rFonts w:eastAsia="Times New Roman" w:cs="Calibri"/>
                <w:color w:val="000000"/>
                <w:sz w:val="18"/>
                <w:szCs w:val="18"/>
              </w:rPr>
              <w:t>Euronext Clearing</w:t>
            </w:r>
            <w:r>
              <w:rPr>
                <w:rStyle w:val="FootnoteReference"/>
                <w:rFonts w:eastAsia="Times New Roman" w:cs="Calibri"/>
                <w:color w:val="000000"/>
                <w:sz w:val="18"/>
              </w:rPr>
              <w:footnoteReference w:id="37"/>
            </w:r>
          </w:p>
        </w:tc>
      </w:tr>
      <w:tr w:rsidR="00B81226" w14:paraId="6A3A4767" w14:textId="77777777">
        <w:trPr>
          <w:trHeight w:val="300"/>
        </w:trPr>
        <w:tc>
          <w:tcPr>
            <w:tcW w:w="9072" w:type="dxa"/>
            <w:tcBorders>
              <w:top w:val="nil"/>
              <w:left w:val="nil"/>
              <w:bottom w:val="nil"/>
              <w:right w:val="nil"/>
            </w:tcBorders>
            <w:noWrap/>
            <w:vAlign w:val="bottom"/>
            <w:hideMark/>
          </w:tcPr>
          <w:p w14:paraId="0CF6918B" w14:textId="77777777" w:rsidR="00B81226" w:rsidRDefault="00B82AC2">
            <w:pPr>
              <w:pStyle w:val="P68B1DB1-Normal91"/>
            </w:pPr>
            <w:r>
              <w:t>Euronext Lisbon SA</w:t>
            </w:r>
          </w:p>
        </w:tc>
      </w:tr>
      <w:tr w:rsidR="00B81226" w14:paraId="1114BA7C" w14:textId="77777777">
        <w:trPr>
          <w:trHeight w:val="300"/>
        </w:trPr>
        <w:tc>
          <w:tcPr>
            <w:tcW w:w="9072" w:type="dxa"/>
            <w:tcBorders>
              <w:top w:val="nil"/>
              <w:left w:val="nil"/>
              <w:bottom w:val="nil"/>
              <w:right w:val="nil"/>
            </w:tcBorders>
            <w:noWrap/>
            <w:vAlign w:val="bottom"/>
            <w:hideMark/>
          </w:tcPr>
          <w:p w14:paraId="58D22650" w14:textId="77777777" w:rsidR="00B81226" w:rsidRDefault="00B82AC2">
            <w:pPr>
              <w:pStyle w:val="P68B1DB1-Normal91"/>
            </w:pPr>
            <w:r>
              <w:t>Eurooppalainen keskusvastapuoli, NV</w:t>
            </w:r>
          </w:p>
        </w:tc>
      </w:tr>
      <w:tr w:rsidR="00B81226" w14:paraId="1758B1C2" w14:textId="77777777">
        <w:trPr>
          <w:trHeight w:val="300"/>
        </w:trPr>
        <w:tc>
          <w:tcPr>
            <w:tcW w:w="9072" w:type="dxa"/>
            <w:tcBorders>
              <w:top w:val="nil"/>
              <w:left w:val="nil"/>
              <w:bottom w:val="nil"/>
              <w:right w:val="nil"/>
            </w:tcBorders>
            <w:noWrap/>
            <w:vAlign w:val="bottom"/>
            <w:hideMark/>
          </w:tcPr>
          <w:p w14:paraId="6342DE58" w14:textId="77777777" w:rsidR="00B81226" w:rsidRDefault="00B82AC2">
            <w:pPr>
              <w:pStyle w:val="P68B1DB1-Normal91"/>
            </w:pPr>
            <w:r>
              <w:t>Eurooppalainen hyödykeselvitys (ECC)</w:t>
            </w:r>
          </w:p>
        </w:tc>
      </w:tr>
      <w:tr w:rsidR="00B81226" w14:paraId="0DDA2A90" w14:textId="77777777">
        <w:trPr>
          <w:trHeight w:val="300"/>
        </w:trPr>
        <w:tc>
          <w:tcPr>
            <w:tcW w:w="9072" w:type="dxa"/>
            <w:tcBorders>
              <w:top w:val="nil"/>
              <w:left w:val="nil"/>
              <w:bottom w:val="nil"/>
              <w:right w:val="nil"/>
            </w:tcBorders>
            <w:noWrap/>
            <w:vAlign w:val="bottom"/>
            <w:hideMark/>
          </w:tcPr>
          <w:p w14:paraId="40A82682" w14:textId="77777777" w:rsidR="00B81226" w:rsidRDefault="00B82AC2">
            <w:pPr>
              <w:pStyle w:val="P68B1DB1-Normal91"/>
            </w:pPr>
            <w:r>
              <w:t>Express Elixir</w:t>
            </w:r>
          </w:p>
        </w:tc>
      </w:tr>
      <w:tr w:rsidR="00B81226" w14:paraId="542DFF49" w14:textId="77777777">
        <w:trPr>
          <w:trHeight w:val="300"/>
        </w:trPr>
        <w:tc>
          <w:tcPr>
            <w:tcW w:w="9072" w:type="dxa"/>
            <w:tcBorders>
              <w:top w:val="nil"/>
              <w:left w:val="nil"/>
              <w:bottom w:val="nil"/>
              <w:right w:val="nil"/>
            </w:tcBorders>
            <w:noWrap/>
            <w:vAlign w:val="bottom"/>
            <w:hideMark/>
          </w:tcPr>
          <w:p w14:paraId="059F87EB" w14:textId="77777777" w:rsidR="00B81226" w:rsidRDefault="00B82AC2">
            <w:pPr>
              <w:pStyle w:val="P68B1DB1-Normal91"/>
            </w:pPr>
            <w:r>
              <w:t>Nopeampi maksupalvelu (FPS)</w:t>
            </w:r>
          </w:p>
        </w:tc>
      </w:tr>
      <w:tr w:rsidR="00B81226" w14:paraId="4CFAE77A" w14:textId="77777777">
        <w:trPr>
          <w:trHeight w:val="300"/>
        </w:trPr>
        <w:tc>
          <w:tcPr>
            <w:tcW w:w="9072" w:type="dxa"/>
            <w:tcBorders>
              <w:top w:val="nil"/>
              <w:left w:val="nil"/>
              <w:bottom w:val="nil"/>
              <w:right w:val="nil"/>
            </w:tcBorders>
            <w:noWrap/>
            <w:vAlign w:val="bottom"/>
            <w:hideMark/>
          </w:tcPr>
          <w:p w14:paraId="03A78736" w14:textId="77777777" w:rsidR="00B81226" w:rsidRDefault="00B82AC2">
            <w:pPr>
              <w:pStyle w:val="P68B1DB1-Normal91"/>
            </w:pPr>
            <w:r>
              <w:t>FedACH-palvelut</w:t>
            </w:r>
          </w:p>
        </w:tc>
      </w:tr>
      <w:tr w:rsidR="00B81226" w14:paraId="1A8E545B" w14:textId="77777777">
        <w:trPr>
          <w:trHeight w:val="300"/>
        </w:trPr>
        <w:tc>
          <w:tcPr>
            <w:tcW w:w="9072" w:type="dxa"/>
            <w:tcBorders>
              <w:top w:val="nil"/>
              <w:left w:val="nil"/>
              <w:bottom w:val="nil"/>
              <w:right w:val="nil"/>
            </w:tcBorders>
            <w:noWrap/>
            <w:vAlign w:val="bottom"/>
            <w:hideMark/>
          </w:tcPr>
          <w:p w14:paraId="508F0A63" w14:textId="77777777" w:rsidR="00B81226" w:rsidRDefault="00B82AC2">
            <w:pPr>
              <w:pStyle w:val="P68B1DB1-Normal91"/>
            </w:pPr>
            <w:r>
              <w:t>Fedwire Funds Service (Fedwire Funds Service)</w:t>
            </w:r>
          </w:p>
        </w:tc>
      </w:tr>
      <w:tr w:rsidR="00B81226" w14:paraId="7603EDE5" w14:textId="77777777">
        <w:trPr>
          <w:trHeight w:val="300"/>
        </w:trPr>
        <w:tc>
          <w:tcPr>
            <w:tcW w:w="9072" w:type="dxa"/>
            <w:tcBorders>
              <w:top w:val="nil"/>
              <w:left w:val="nil"/>
              <w:bottom w:val="nil"/>
              <w:right w:val="nil"/>
            </w:tcBorders>
            <w:noWrap/>
            <w:vAlign w:val="bottom"/>
            <w:hideMark/>
          </w:tcPr>
          <w:p w14:paraId="6146D91C" w14:textId="77777777" w:rsidR="00B81226" w:rsidRDefault="00B82AC2">
            <w:pPr>
              <w:pStyle w:val="P68B1DB1-Normal91"/>
            </w:pPr>
            <w:r>
              <w:t>Fedwire Securities Services (Fedwire Securities Services)</w:t>
            </w:r>
          </w:p>
        </w:tc>
      </w:tr>
      <w:tr w:rsidR="00B81226" w14:paraId="638B9492" w14:textId="77777777">
        <w:trPr>
          <w:trHeight w:val="300"/>
        </w:trPr>
        <w:tc>
          <w:tcPr>
            <w:tcW w:w="9072" w:type="dxa"/>
            <w:tcBorders>
              <w:top w:val="nil"/>
              <w:left w:val="nil"/>
              <w:bottom w:val="nil"/>
              <w:right w:val="nil"/>
            </w:tcBorders>
            <w:noWrap/>
            <w:vAlign w:val="bottom"/>
            <w:hideMark/>
          </w:tcPr>
          <w:p w14:paraId="0FCA6B85" w14:textId="77777777" w:rsidR="00B81226" w:rsidRDefault="00B82AC2">
            <w:pPr>
              <w:pStyle w:val="P68B1DB1-Normal91"/>
            </w:pPr>
            <w:r>
              <w:t>Kiinteän tulon selvityskorko (FICC)</w:t>
            </w:r>
          </w:p>
        </w:tc>
      </w:tr>
      <w:tr w:rsidR="00B81226" w14:paraId="4384BE65" w14:textId="77777777">
        <w:trPr>
          <w:trHeight w:val="300"/>
        </w:trPr>
        <w:tc>
          <w:tcPr>
            <w:tcW w:w="9072" w:type="dxa"/>
            <w:tcBorders>
              <w:top w:val="nil"/>
              <w:left w:val="nil"/>
              <w:bottom w:val="nil"/>
              <w:right w:val="nil"/>
            </w:tcBorders>
            <w:noWrap/>
            <w:vAlign w:val="bottom"/>
            <w:hideMark/>
          </w:tcPr>
          <w:p w14:paraId="7CCF9B46" w14:textId="77777777" w:rsidR="00B81226" w:rsidRDefault="00B82AC2">
            <w:pPr>
              <w:pStyle w:val="P68B1DB1-Normal91"/>
            </w:pPr>
            <w:r>
              <w:t>Gielda Papierow Wartosciowych w Warszawie (Varsovan pörssi)</w:t>
            </w:r>
          </w:p>
        </w:tc>
      </w:tr>
      <w:tr w:rsidR="00B81226" w14:paraId="62CB1AB6" w14:textId="77777777">
        <w:trPr>
          <w:trHeight w:val="300"/>
        </w:trPr>
        <w:tc>
          <w:tcPr>
            <w:tcW w:w="9072" w:type="dxa"/>
            <w:tcBorders>
              <w:top w:val="nil"/>
              <w:left w:val="nil"/>
              <w:bottom w:val="nil"/>
              <w:right w:val="nil"/>
            </w:tcBorders>
            <w:noWrap/>
            <w:vAlign w:val="bottom"/>
            <w:hideMark/>
          </w:tcPr>
          <w:p w14:paraId="56890D2B" w14:textId="77777777" w:rsidR="00B81226" w:rsidRDefault="00B82AC2">
            <w:pPr>
              <w:pStyle w:val="P68B1DB1-Normal91"/>
            </w:pPr>
            <w:r>
              <w:t>Government Securities Depository (GSD)</w:t>
            </w:r>
          </w:p>
        </w:tc>
      </w:tr>
      <w:tr w:rsidR="00B81226" w14:paraId="5B41050C" w14:textId="77777777">
        <w:trPr>
          <w:trHeight w:val="300"/>
        </w:trPr>
        <w:tc>
          <w:tcPr>
            <w:tcW w:w="9072" w:type="dxa"/>
            <w:tcBorders>
              <w:top w:val="nil"/>
              <w:left w:val="nil"/>
              <w:bottom w:val="nil"/>
              <w:right w:val="nil"/>
            </w:tcBorders>
            <w:noWrap/>
            <w:vAlign w:val="bottom"/>
            <w:hideMark/>
          </w:tcPr>
          <w:p w14:paraId="24CCAE22" w14:textId="77777777" w:rsidR="00B81226" w:rsidRDefault="00B82AC2">
            <w:pPr>
              <w:pStyle w:val="P68B1DB1-Normal91"/>
            </w:pPr>
            <w:r>
              <w:t>HSVP (RTGS)</w:t>
            </w:r>
          </w:p>
        </w:tc>
      </w:tr>
      <w:tr w:rsidR="00B81226" w14:paraId="013849A1" w14:textId="77777777">
        <w:trPr>
          <w:trHeight w:val="300"/>
        </w:trPr>
        <w:tc>
          <w:tcPr>
            <w:tcW w:w="9072" w:type="dxa"/>
            <w:tcBorders>
              <w:top w:val="nil"/>
              <w:left w:val="nil"/>
              <w:bottom w:val="nil"/>
              <w:right w:val="nil"/>
            </w:tcBorders>
            <w:noWrap/>
            <w:vAlign w:val="bottom"/>
            <w:hideMark/>
          </w:tcPr>
          <w:p w14:paraId="686B8E20" w14:textId="77777777" w:rsidR="00B81226" w:rsidRDefault="00B82AC2">
            <w:pPr>
              <w:pStyle w:val="P68B1DB1-Normal91"/>
            </w:pPr>
            <w:r>
              <w:t>Iberclear</w:t>
            </w:r>
          </w:p>
        </w:tc>
      </w:tr>
      <w:tr w:rsidR="00B81226" w14:paraId="69A745A4" w14:textId="77777777">
        <w:trPr>
          <w:trHeight w:val="300"/>
        </w:trPr>
        <w:tc>
          <w:tcPr>
            <w:tcW w:w="9072" w:type="dxa"/>
            <w:tcBorders>
              <w:top w:val="nil"/>
              <w:left w:val="nil"/>
              <w:bottom w:val="nil"/>
              <w:right w:val="nil"/>
            </w:tcBorders>
            <w:noWrap/>
            <w:vAlign w:val="bottom"/>
            <w:hideMark/>
          </w:tcPr>
          <w:p w14:paraId="676D5D75" w14:textId="77777777" w:rsidR="00B81226" w:rsidRDefault="00B82AC2">
            <w:pPr>
              <w:pStyle w:val="P68B1DB1-Normal91"/>
            </w:pPr>
            <w:r>
              <w:t>ICE Clear</w:t>
            </w:r>
          </w:p>
        </w:tc>
      </w:tr>
      <w:tr w:rsidR="00B81226" w14:paraId="780088CD" w14:textId="77777777">
        <w:trPr>
          <w:trHeight w:val="300"/>
        </w:trPr>
        <w:tc>
          <w:tcPr>
            <w:tcW w:w="9072" w:type="dxa"/>
            <w:tcBorders>
              <w:top w:val="nil"/>
              <w:left w:val="nil"/>
              <w:bottom w:val="nil"/>
              <w:right w:val="nil"/>
            </w:tcBorders>
            <w:noWrap/>
            <w:vAlign w:val="bottom"/>
            <w:hideMark/>
          </w:tcPr>
          <w:p w14:paraId="51279EB6" w14:textId="77777777" w:rsidR="00B81226" w:rsidRDefault="00B82AC2">
            <w:pPr>
              <w:pStyle w:val="P68B1DB1-Normal91"/>
            </w:pPr>
            <w:r>
              <w:lastRenderedPageBreak/>
              <w:t>ICE Clear Europe Limited</w:t>
            </w:r>
          </w:p>
        </w:tc>
      </w:tr>
      <w:tr w:rsidR="00B81226" w14:paraId="0A625316" w14:textId="77777777">
        <w:trPr>
          <w:trHeight w:val="300"/>
        </w:trPr>
        <w:tc>
          <w:tcPr>
            <w:tcW w:w="9072" w:type="dxa"/>
            <w:tcBorders>
              <w:top w:val="nil"/>
              <w:left w:val="nil"/>
              <w:bottom w:val="nil"/>
              <w:right w:val="nil"/>
            </w:tcBorders>
            <w:noWrap/>
            <w:vAlign w:val="bottom"/>
            <w:hideMark/>
          </w:tcPr>
          <w:p w14:paraId="478D14C3" w14:textId="77777777" w:rsidR="00B81226" w:rsidRDefault="00B82AC2">
            <w:pPr>
              <w:pStyle w:val="P68B1DB1-Normal91"/>
            </w:pPr>
            <w:r>
              <w:t>Jääkirkas Alankomaat</w:t>
            </w:r>
          </w:p>
        </w:tc>
      </w:tr>
      <w:tr w:rsidR="00B81226" w14:paraId="7BA736BC" w14:textId="77777777">
        <w:trPr>
          <w:trHeight w:val="300"/>
        </w:trPr>
        <w:tc>
          <w:tcPr>
            <w:tcW w:w="9072" w:type="dxa"/>
            <w:tcBorders>
              <w:top w:val="nil"/>
              <w:left w:val="nil"/>
              <w:bottom w:val="nil"/>
              <w:right w:val="nil"/>
            </w:tcBorders>
            <w:noWrap/>
            <w:vAlign w:val="bottom"/>
            <w:hideMark/>
          </w:tcPr>
          <w:p w14:paraId="791A2916" w14:textId="77777777" w:rsidR="00B81226" w:rsidRDefault="00B82AC2">
            <w:pPr>
              <w:pStyle w:val="P68B1DB1-Normal91"/>
            </w:pPr>
            <w:r>
              <w:t>Ice Trade Vault Europe Limited (ICE TVEL)</w:t>
            </w:r>
          </w:p>
        </w:tc>
      </w:tr>
      <w:tr w:rsidR="00B81226" w14:paraId="6A1792FC" w14:textId="77777777">
        <w:trPr>
          <w:trHeight w:val="300"/>
        </w:trPr>
        <w:tc>
          <w:tcPr>
            <w:tcW w:w="9072" w:type="dxa"/>
            <w:tcBorders>
              <w:top w:val="nil"/>
              <w:left w:val="nil"/>
              <w:bottom w:val="nil"/>
              <w:right w:val="nil"/>
            </w:tcBorders>
            <w:noWrap/>
            <w:vAlign w:val="bottom"/>
            <w:hideMark/>
          </w:tcPr>
          <w:p w14:paraId="58EBD357" w14:textId="77777777" w:rsidR="00B81226" w:rsidRDefault="00B82AC2">
            <w:pPr>
              <w:pStyle w:val="P68B1DB1-Normal91"/>
            </w:pPr>
            <w:r>
              <w:t>ID2S/RSS</w:t>
            </w:r>
          </w:p>
        </w:tc>
      </w:tr>
      <w:tr w:rsidR="00B81226" w14:paraId="23EF91EB" w14:textId="77777777">
        <w:trPr>
          <w:trHeight w:val="300"/>
        </w:trPr>
        <w:tc>
          <w:tcPr>
            <w:tcW w:w="9072" w:type="dxa"/>
            <w:tcBorders>
              <w:top w:val="nil"/>
              <w:left w:val="nil"/>
              <w:bottom w:val="nil"/>
              <w:right w:val="nil"/>
            </w:tcBorders>
            <w:noWrap/>
            <w:vAlign w:val="bottom"/>
            <w:hideMark/>
          </w:tcPr>
          <w:p w14:paraId="256EBA58" w14:textId="77777777" w:rsidR="00B81226" w:rsidRDefault="00B82AC2">
            <w:pPr>
              <w:pStyle w:val="P68B1DB1-Normal91"/>
            </w:pPr>
            <w:r>
              <w:t>Pankkien välinen selvitysjärjestelmä (ICS)</w:t>
            </w:r>
          </w:p>
        </w:tc>
      </w:tr>
      <w:tr w:rsidR="00B81226" w14:paraId="61201BD5" w14:textId="77777777">
        <w:trPr>
          <w:trHeight w:val="300"/>
        </w:trPr>
        <w:tc>
          <w:tcPr>
            <w:tcW w:w="9072" w:type="dxa"/>
            <w:tcBorders>
              <w:top w:val="nil"/>
              <w:left w:val="nil"/>
              <w:bottom w:val="nil"/>
              <w:right w:val="nil"/>
            </w:tcBorders>
            <w:noWrap/>
            <w:vAlign w:val="bottom"/>
            <w:hideMark/>
          </w:tcPr>
          <w:p w14:paraId="38BDB6F1" w14:textId="77777777" w:rsidR="00B81226" w:rsidRDefault="00B82AC2">
            <w:pPr>
              <w:pStyle w:val="P68B1DB1-Normal91"/>
            </w:pPr>
            <w:r>
              <w:t>INTERBOLSA</w:t>
            </w:r>
          </w:p>
        </w:tc>
      </w:tr>
      <w:tr w:rsidR="00B81226" w14:paraId="3D13BEFD" w14:textId="77777777">
        <w:trPr>
          <w:trHeight w:val="300"/>
        </w:trPr>
        <w:tc>
          <w:tcPr>
            <w:tcW w:w="9072" w:type="dxa"/>
            <w:tcBorders>
              <w:top w:val="nil"/>
              <w:left w:val="nil"/>
              <w:bottom w:val="nil"/>
              <w:right w:val="nil"/>
            </w:tcBorders>
            <w:noWrap/>
            <w:vAlign w:val="bottom"/>
            <w:hideMark/>
          </w:tcPr>
          <w:p w14:paraId="27D8A3E1" w14:textId="77777777" w:rsidR="00B81226" w:rsidRDefault="00B82AC2">
            <w:pPr>
              <w:pStyle w:val="P68B1DB1-Normal91"/>
            </w:pPr>
            <w:r>
              <w:t>IntradagClearing</w:t>
            </w:r>
          </w:p>
        </w:tc>
      </w:tr>
      <w:tr w:rsidR="00B81226" w14:paraId="4CA95B12" w14:textId="77777777">
        <w:trPr>
          <w:trHeight w:val="300"/>
        </w:trPr>
        <w:tc>
          <w:tcPr>
            <w:tcW w:w="9072" w:type="dxa"/>
            <w:tcBorders>
              <w:top w:val="nil"/>
              <w:left w:val="nil"/>
              <w:bottom w:val="nil"/>
              <w:right w:val="nil"/>
            </w:tcBorders>
            <w:noWrap/>
            <w:vAlign w:val="bottom"/>
            <w:hideMark/>
          </w:tcPr>
          <w:p w14:paraId="3992B7FE" w14:textId="77777777" w:rsidR="00B81226" w:rsidRDefault="00B82AC2">
            <w:pPr>
              <w:pStyle w:val="P68B1DB1-Normal91"/>
            </w:pPr>
            <w:r>
              <w:t>IRGiT Izba Rozliczeniowa Giełd Towarowych S.A (tavarakaupan selvityskeskus)</w:t>
            </w:r>
          </w:p>
        </w:tc>
      </w:tr>
      <w:tr w:rsidR="00B81226" w14:paraId="5F42EC4B" w14:textId="77777777">
        <w:trPr>
          <w:trHeight w:val="300"/>
        </w:trPr>
        <w:tc>
          <w:tcPr>
            <w:tcW w:w="9072" w:type="dxa"/>
            <w:tcBorders>
              <w:top w:val="nil"/>
              <w:left w:val="nil"/>
              <w:bottom w:val="nil"/>
              <w:right w:val="nil"/>
            </w:tcBorders>
            <w:noWrap/>
            <w:vAlign w:val="bottom"/>
            <w:hideMark/>
          </w:tcPr>
          <w:p w14:paraId="1817AC8A" w14:textId="77777777" w:rsidR="00B81226" w:rsidRDefault="00B82AC2">
            <w:pPr>
              <w:pStyle w:val="P68B1DB1-Normal91"/>
            </w:pPr>
            <w:r>
              <w:t>Irish Paper Clearing Company (IPCC)</w:t>
            </w:r>
          </w:p>
        </w:tc>
      </w:tr>
      <w:tr w:rsidR="00B81226" w14:paraId="503DCAED" w14:textId="77777777">
        <w:trPr>
          <w:trHeight w:val="300"/>
        </w:trPr>
        <w:tc>
          <w:tcPr>
            <w:tcW w:w="9072" w:type="dxa"/>
            <w:tcBorders>
              <w:top w:val="nil"/>
              <w:left w:val="nil"/>
              <w:bottom w:val="nil"/>
              <w:right w:val="nil"/>
            </w:tcBorders>
            <w:noWrap/>
            <w:vAlign w:val="bottom"/>
            <w:hideMark/>
          </w:tcPr>
          <w:p w14:paraId="256FE1FF" w14:textId="77777777" w:rsidR="00B81226" w:rsidRDefault="00B82AC2">
            <w:pPr>
              <w:pStyle w:val="P68B1DB1-Normal91"/>
            </w:pPr>
            <w:r>
              <w:t>Irish Stock Exchange Ltd.</w:t>
            </w:r>
          </w:p>
        </w:tc>
      </w:tr>
      <w:tr w:rsidR="00B81226" w14:paraId="01B9E362" w14:textId="77777777">
        <w:trPr>
          <w:trHeight w:val="300"/>
        </w:trPr>
        <w:tc>
          <w:tcPr>
            <w:tcW w:w="9072" w:type="dxa"/>
            <w:tcBorders>
              <w:top w:val="nil"/>
              <w:left w:val="nil"/>
              <w:bottom w:val="nil"/>
              <w:right w:val="nil"/>
            </w:tcBorders>
            <w:noWrap/>
            <w:vAlign w:val="bottom"/>
            <w:hideMark/>
          </w:tcPr>
          <w:p w14:paraId="6D9ED763" w14:textId="77777777" w:rsidR="00B81226" w:rsidRDefault="00B82AC2">
            <w:pPr>
              <w:pStyle w:val="P68B1DB1-Normal91"/>
            </w:pPr>
            <w:r>
              <w:t>Japan Securities Clearing Corporation</w:t>
            </w:r>
          </w:p>
        </w:tc>
      </w:tr>
      <w:tr w:rsidR="00B81226" w14:paraId="7B5B6AA0" w14:textId="77777777">
        <w:trPr>
          <w:trHeight w:val="300"/>
        </w:trPr>
        <w:tc>
          <w:tcPr>
            <w:tcW w:w="9072" w:type="dxa"/>
            <w:tcBorders>
              <w:top w:val="nil"/>
              <w:left w:val="nil"/>
              <w:bottom w:val="nil"/>
              <w:right w:val="nil"/>
            </w:tcBorders>
            <w:noWrap/>
            <w:vAlign w:val="bottom"/>
            <w:hideMark/>
          </w:tcPr>
          <w:p w14:paraId="5354E82A" w14:textId="77777777" w:rsidR="00B81226" w:rsidRDefault="00B82AC2">
            <w:pPr>
              <w:pStyle w:val="P68B1DB1-Normal91"/>
            </w:pPr>
            <w:r>
              <w:t>JASDEC</w:t>
            </w:r>
          </w:p>
        </w:tc>
      </w:tr>
      <w:tr w:rsidR="00B81226" w14:paraId="5F2E7C68" w14:textId="77777777">
        <w:trPr>
          <w:trHeight w:val="300"/>
        </w:trPr>
        <w:tc>
          <w:tcPr>
            <w:tcW w:w="9072" w:type="dxa"/>
            <w:tcBorders>
              <w:top w:val="nil"/>
              <w:left w:val="nil"/>
              <w:bottom w:val="nil"/>
              <w:right w:val="nil"/>
            </w:tcBorders>
            <w:noWrap/>
            <w:vAlign w:val="bottom"/>
            <w:hideMark/>
          </w:tcPr>
          <w:p w14:paraId="7D166505" w14:textId="77777777" w:rsidR="00B81226" w:rsidRDefault="00B82AC2">
            <w:pPr>
              <w:pStyle w:val="P68B1DB1-Normal91"/>
            </w:pPr>
            <w:r>
              <w:t>JASDEC DVP</w:t>
            </w:r>
          </w:p>
        </w:tc>
      </w:tr>
      <w:tr w:rsidR="00B81226" w14:paraId="4048BA0D" w14:textId="77777777">
        <w:trPr>
          <w:trHeight w:val="300"/>
        </w:trPr>
        <w:tc>
          <w:tcPr>
            <w:tcW w:w="9072" w:type="dxa"/>
            <w:tcBorders>
              <w:top w:val="nil"/>
              <w:left w:val="nil"/>
              <w:bottom w:val="nil"/>
              <w:right w:val="nil"/>
            </w:tcBorders>
            <w:noWrap/>
            <w:vAlign w:val="bottom"/>
            <w:hideMark/>
          </w:tcPr>
          <w:p w14:paraId="15678AE9" w14:textId="77777777" w:rsidR="00B81226" w:rsidRDefault="00B82AC2">
            <w:pPr>
              <w:pStyle w:val="P68B1DB1-Normal91"/>
            </w:pPr>
            <w:r>
              <w:t>NEUVOA-ANTAVAT SEKAKOMITEAT</w:t>
            </w:r>
          </w:p>
        </w:tc>
      </w:tr>
      <w:tr w:rsidR="00B81226" w14:paraId="12A3C713" w14:textId="77777777">
        <w:trPr>
          <w:trHeight w:val="300"/>
        </w:trPr>
        <w:tc>
          <w:tcPr>
            <w:tcW w:w="9072" w:type="dxa"/>
            <w:tcBorders>
              <w:top w:val="nil"/>
              <w:left w:val="nil"/>
              <w:bottom w:val="nil"/>
              <w:right w:val="nil"/>
            </w:tcBorders>
            <w:noWrap/>
            <w:vAlign w:val="bottom"/>
            <w:hideMark/>
          </w:tcPr>
          <w:p w14:paraId="41166169" w14:textId="77777777" w:rsidR="00B81226" w:rsidRDefault="00B82AC2">
            <w:pPr>
              <w:pStyle w:val="P68B1DB1-Normal91"/>
            </w:pPr>
            <w:r>
              <w:t>KDPW S.A.</w:t>
            </w:r>
          </w:p>
        </w:tc>
      </w:tr>
      <w:tr w:rsidR="00B81226" w14:paraId="43817C1E" w14:textId="77777777">
        <w:trPr>
          <w:trHeight w:val="300"/>
        </w:trPr>
        <w:tc>
          <w:tcPr>
            <w:tcW w:w="9072" w:type="dxa"/>
            <w:tcBorders>
              <w:top w:val="nil"/>
              <w:left w:val="nil"/>
              <w:bottom w:val="nil"/>
              <w:right w:val="nil"/>
            </w:tcBorders>
            <w:noWrap/>
            <w:vAlign w:val="bottom"/>
            <w:hideMark/>
          </w:tcPr>
          <w:p w14:paraId="3018D3C8" w14:textId="77777777" w:rsidR="00B81226" w:rsidRDefault="00B82AC2">
            <w:pPr>
              <w:pStyle w:val="P68B1DB1-Normal91"/>
            </w:pPr>
            <w:r>
              <w:t>KDPW_CCP S.A.</w:t>
            </w:r>
          </w:p>
        </w:tc>
      </w:tr>
      <w:tr w:rsidR="00B81226" w14:paraId="21912EC4" w14:textId="77777777">
        <w:trPr>
          <w:trHeight w:val="300"/>
        </w:trPr>
        <w:tc>
          <w:tcPr>
            <w:tcW w:w="9072" w:type="dxa"/>
            <w:tcBorders>
              <w:top w:val="nil"/>
              <w:left w:val="nil"/>
              <w:bottom w:val="nil"/>
              <w:right w:val="nil"/>
            </w:tcBorders>
            <w:noWrap/>
            <w:vAlign w:val="bottom"/>
            <w:hideMark/>
          </w:tcPr>
          <w:p w14:paraId="59836A48" w14:textId="77777777" w:rsidR="00B81226" w:rsidRDefault="00B82AC2">
            <w:pPr>
              <w:pStyle w:val="P68B1DB1-Normal91"/>
            </w:pPr>
            <w:r>
              <w:t>KDPW-TR</w:t>
            </w:r>
          </w:p>
        </w:tc>
      </w:tr>
      <w:tr w:rsidR="00B81226" w14:paraId="14480A4D" w14:textId="77777777">
        <w:trPr>
          <w:trHeight w:val="300"/>
        </w:trPr>
        <w:tc>
          <w:tcPr>
            <w:tcW w:w="9072" w:type="dxa"/>
            <w:tcBorders>
              <w:top w:val="nil"/>
              <w:left w:val="nil"/>
              <w:bottom w:val="nil"/>
              <w:right w:val="nil"/>
            </w:tcBorders>
            <w:noWrap/>
            <w:vAlign w:val="bottom"/>
            <w:hideMark/>
          </w:tcPr>
          <w:p w14:paraId="59BBCA2D" w14:textId="77777777" w:rsidR="00B81226" w:rsidRDefault="00B82AC2">
            <w:pPr>
              <w:pStyle w:val="P68B1DB1-Normal91"/>
            </w:pPr>
            <w:r>
              <w:t>KELER CCP</w:t>
            </w:r>
          </w:p>
        </w:tc>
      </w:tr>
      <w:tr w:rsidR="00B81226" w14:paraId="1D005B0E" w14:textId="77777777">
        <w:trPr>
          <w:trHeight w:val="300"/>
        </w:trPr>
        <w:tc>
          <w:tcPr>
            <w:tcW w:w="9072" w:type="dxa"/>
            <w:tcBorders>
              <w:top w:val="nil"/>
              <w:left w:val="nil"/>
              <w:bottom w:val="nil"/>
              <w:right w:val="nil"/>
            </w:tcBorders>
            <w:noWrap/>
            <w:vAlign w:val="bottom"/>
            <w:hideMark/>
          </w:tcPr>
          <w:p w14:paraId="2ABFD94E" w14:textId="77777777" w:rsidR="00B81226" w:rsidRDefault="00B82AC2">
            <w:pPr>
              <w:pStyle w:val="P68B1DB1-Normal91"/>
            </w:pPr>
            <w:r>
              <w:t>KELERIN ARVOPAPERIKESKUS</w:t>
            </w:r>
          </w:p>
        </w:tc>
      </w:tr>
      <w:tr w:rsidR="00B81226" w14:paraId="13D5C039" w14:textId="77777777">
        <w:trPr>
          <w:trHeight w:val="300"/>
        </w:trPr>
        <w:tc>
          <w:tcPr>
            <w:tcW w:w="9072" w:type="dxa"/>
            <w:tcBorders>
              <w:top w:val="nil"/>
              <w:left w:val="nil"/>
              <w:bottom w:val="nil"/>
              <w:right w:val="nil"/>
            </w:tcBorders>
            <w:noWrap/>
            <w:vAlign w:val="bottom"/>
            <w:hideMark/>
          </w:tcPr>
          <w:p w14:paraId="31B1FA22" w14:textId="77777777" w:rsidR="00B81226" w:rsidRDefault="00B82AC2">
            <w:pPr>
              <w:pStyle w:val="P68B1DB1-Normal91"/>
            </w:pPr>
            <w:r>
              <w:t>KRONOS</w:t>
            </w:r>
          </w:p>
        </w:tc>
      </w:tr>
      <w:tr w:rsidR="00B81226" w14:paraId="3B7ED824" w14:textId="77777777">
        <w:trPr>
          <w:trHeight w:val="300"/>
        </w:trPr>
        <w:tc>
          <w:tcPr>
            <w:tcW w:w="9072" w:type="dxa"/>
            <w:tcBorders>
              <w:top w:val="nil"/>
              <w:left w:val="nil"/>
              <w:bottom w:val="nil"/>
              <w:right w:val="nil"/>
            </w:tcBorders>
            <w:noWrap/>
            <w:vAlign w:val="bottom"/>
            <w:hideMark/>
          </w:tcPr>
          <w:p w14:paraId="0A3C0455" w14:textId="77777777" w:rsidR="00B81226" w:rsidRDefault="00B82AC2">
            <w:pPr>
              <w:pStyle w:val="P68B1DB1-Normal91"/>
            </w:pPr>
            <w:r>
              <w:t>KUBAS</w:t>
            </w:r>
          </w:p>
        </w:tc>
      </w:tr>
      <w:tr w:rsidR="00B81226" w14:paraId="2B1C9B26" w14:textId="77777777">
        <w:trPr>
          <w:trHeight w:val="300"/>
        </w:trPr>
        <w:tc>
          <w:tcPr>
            <w:tcW w:w="9072" w:type="dxa"/>
            <w:tcBorders>
              <w:top w:val="nil"/>
              <w:left w:val="nil"/>
              <w:bottom w:val="nil"/>
              <w:right w:val="nil"/>
            </w:tcBorders>
            <w:noWrap/>
            <w:vAlign w:val="bottom"/>
            <w:hideMark/>
          </w:tcPr>
          <w:p w14:paraId="0C36BDD0" w14:textId="77777777" w:rsidR="00B81226" w:rsidRDefault="00B82AC2">
            <w:pPr>
              <w:pStyle w:val="P68B1DB1-Normal91"/>
            </w:pPr>
            <w:r>
              <w:t>Suurten arvojen siirtojärjestelmä (LVTS)</w:t>
            </w:r>
          </w:p>
        </w:tc>
      </w:tr>
      <w:tr w:rsidR="00B81226" w14:paraId="494438D8" w14:textId="77777777">
        <w:trPr>
          <w:trHeight w:val="300"/>
        </w:trPr>
        <w:tc>
          <w:tcPr>
            <w:tcW w:w="9072" w:type="dxa"/>
            <w:tcBorders>
              <w:top w:val="nil"/>
              <w:left w:val="nil"/>
              <w:bottom w:val="nil"/>
              <w:right w:val="nil"/>
            </w:tcBorders>
            <w:noWrap/>
            <w:vAlign w:val="bottom"/>
            <w:hideMark/>
          </w:tcPr>
          <w:p w14:paraId="0378B855" w14:textId="77777777" w:rsidR="00B81226" w:rsidRDefault="00B82AC2">
            <w:pPr>
              <w:pStyle w:val="P68B1DB1-Normal91"/>
            </w:pPr>
            <w:r>
              <w:t>LCH Ltd</w:t>
            </w:r>
          </w:p>
        </w:tc>
      </w:tr>
      <w:tr w:rsidR="00B81226" w14:paraId="5DD1EBF4" w14:textId="77777777">
        <w:trPr>
          <w:trHeight w:val="300"/>
        </w:trPr>
        <w:tc>
          <w:tcPr>
            <w:tcW w:w="9072" w:type="dxa"/>
            <w:tcBorders>
              <w:top w:val="nil"/>
              <w:left w:val="nil"/>
              <w:bottom w:val="nil"/>
              <w:right w:val="nil"/>
            </w:tcBorders>
            <w:noWrap/>
            <w:vAlign w:val="bottom"/>
            <w:hideMark/>
          </w:tcPr>
          <w:p w14:paraId="59459780" w14:textId="77777777" w:rsidR="00B81226" w:rsidRDefault="00B82AC2">
            <w:pPr>
              <w:pStyle w:val="P68B1DB1-Normal91"/>
            </w:pPr>
            <w:r>
              <w:t>LCH SA</w:t>
            </w:r>
          </w:p>
        </w:tc>
      </w:tr>
      <w:tr w:rsidR="00B81226" w14:paraId="4F01D89C" w14:textId="77777777">
        <w:trPr>
          <w:trHeight w:val="300"/>
        </w:trPr>
        <w:tc>
          <w:tcPr>
            <w:tcW w:w="9072" w:type="dxa"/>
            <w:tcBorders>
              <w:top w:val="nil"/>
              <w:left w:val="nil"/>
              <w:bottom w:val="nil"/>
              <w:right w:val="nil"/>
            </w:tcBorders>
            <w:noWrap/>
            <w:vAlign w:val="bottom"/>
            <w:hideMark/>
          </w:tcPr>
          <w:p w14:paraId="5955E367" w14:textId="77777777" w:rsidR="00B81226" w:rsidRDefault="00B82AC2">
            <w:pPr>
              <w:pStyle w:val="P68B1DB1-Normal91"/>
            </w:pPr>
            <w:r>
              <w:t>Ljubljanan arvopaperipörssi</w:t>
            </w:r>
          </w:p>
        </w:tc>
      </w:tr>
      <w:tr w:rsidR="00B81226" w14:paraId="63C7A928" w14:textId="77777777">
        <w:trPr>
          <w:trHeight w:val="300"/>
        </w:trPr>
        <w:tc>
          <w:tcPr>
            <w:tcW w:w="9072" w:type="dxa"/>
            <w:tcBorders>
              <w:top w:val="nil"/>
              <w:left w:val="nil"/>
              <w:bottom w:val="nil"/>
              <w:right w:val="nil"/>
            </w:tcBorders>
            <w:noWrap/>
            <w:vAlign w:val="bottom"/>
            <w:hideMark/>
          </w:tcPr>
          <w:p w14:paraId="14DFAB9F" w14:textId="77777777" w:rsidR="00B81226" w:rsidRDefault="00B82AC2">
            <w:pPr>
              <w:pStyle w:val="P68B1DB1-Normal91"/>
            </w:pPr>
            <w:r>
              <w:t>LME Clear Limited</w:t>
            </w:r>
          </w:p>
        </w:tc>
      </w:tr>
      <w:tr w:rsidR="00B81226" w14:paraId="188E3D82" w14:textId="77777777">
        <w:trPr>
          <w:trHeight w:val="300"/>
        </w:trPr>
        <w:tc>
          <w:tcPr>
            <w:tcW w:w="9072" w:type="dxa"/>
            <w:tcBorders>
              <w:top w:val="nil"/>
              <w:left w:val="nil"/>
              <w:bottom w:val="nil"/>
              <w:right w:val="nil"/>
            </w:tcBorders>
            <w:noWrap/>
            <w:vAlign w:val="bottom"/>
            <w:hideMark/>
          </w:tcPr>
          <w:p w14:paraId="7DB15EC9" w14:textId="77777777" w:rsidR="00B81226" w:rsidRDefault="00B82AC2">
            <w:pPr>
              <w:pStyle w:val="P68B1DB1-Normal91"/>
            </w:pPr>
            <w:r>
              <w:t>London Stock Exchange Ltd (LSE)</w:t>
            </w:r>
          </w:p>
        </w:tc>
      </w:tr>
      <w:tr w:rsidR="00B81226" w14:paraId="0AD660E5" w14:textId="77777777">
        <w:trPr>
          <w:trHeight w:val="300"/>
        </w:trPr>
        <w:tc>
          <w:tcPr>
            <w:tcW w:w="9072" w:type="dxa"/>
            <w:tcBorders>
              <w:top w:val="nil"/>
              <w:left w:val="nil"/>
              <w:bottom w:val="nil"/>
              <w:right w:val="nil"/>
            </w:tcBorders>
            <w:noWrap/>
            <w:vAlign w:val="bottom"/>
            <w:hideMark/>
          </w:tcPr>
          <w:p w14:paraId="23DA5AB4" w14:textId="77777777" w:rsidR="00B81226" w:rsidRDefault="00B82AC2">
            <w:pPr>
              <w:pStyle w:val="P68B1DB1-Normal91"/>
            </w:pPr>
            <w:r>
              <w:t>LUX CSD</w:t>
            </w:r>
          </w:p>
        </w:tc>
      </w:tr>
      <w:tr w:rsidR="00B81226" w14:paraId="5B3E1A3A" w14:textId="77777777">
        <w:trPr>
          <w:trHeight w:val="300"/>
        </w:trPr>
        <w:tc>
          <w:tcPr>
            <w:tcW w:w="9072" w:type="dxa"/>
            <w:tcBorders>
              <w:top w:val="nil"/>
              <w:left w:val="nil"/>
              <w:bottom w:val="nil"/>
              <w:right w:val="nil"/>
            </w:tcBorders>
            <w:noWrap/>
            <w:vAlign w:val="bottom"/>
            <w:hideMark/>
          </w:tcPr>
          <w:p w14:paraId="5D4FD8D4" w14:textId="77777777" w:rsidR="00B81226" w:rsidRDefault="00B82AC2">
            <w:pPr>
              <w:pStyle w:val="P68B1DB1-Normal91"/>
            </w:pPr>
            <w:r>
              <w:t>Maltan selvityskeskus</w:t>
            </w:r>
          </w:p>
        </w:tc>
      </w:tr>
      <w:tr w:rsidR="00B81226" w14:paraId="0739CAE8" w14:textId="77777777">
        <w:trPr>
          <w:trHeight w:val="300"/>
        </w:trPr>
        <w:tc>
          <w:tcPr>
            <w:tcW w:w="9072" w:type="dxa"/>
            <w:tcBorders>
              <w:top w:val="nil"/>
              <w:left w:val="nil"/>
              <w:bottom w:val="nil"/>
              <w:right w:val="nil"/>
            </w:tcBorders>
            <w:noWrap/>
            <w:vAlign w:val="bottom"/>
            <w:hideMark/>
          </w:tcPr>
          <w:p w14:paraId="7880FB68" w14:textId="77777777" w:rsidR="00B81226" w:rsidRDefault="00B82AC2">
            <w:pPr>
              <w:pStyle w:val="P68B1DB1-Normal91"/>
            </w:pPr>
            <w:r>
              <w:t>Malta Stock Exchange</w:t>
            </w:r>
          </w:p>
        </w:tc>
      </w:tr>
      <w:tr w:rsidR="00B81226" w14:paraId="1462AFD7" w14:textId="77777777">
        <w:trPr>
          <w:trHeight w:val="300"/>
        </w:trPr>
        <w:tc>
          <w:tcPr>
            <w:tcW w:w="9072" w:type="dxa"/>
            <w:tcBorders>
              <w:top w:val="nil"/>
              <w:left w:val="nil"/>
              <w:bottom w:val="nil"/>
              <w:right w:val="nil"/>
            </w:tcBorders>
            <w:noWrap/>
            <w:vAlign w:val="bottom"/>
            <w:hideMark/>
          </w:tcPr>
          <w:p w14:paraId="4F29DF27" w14:textId="77777777" w:rsidR="00B81226" w:rsidRDefault="00B82AC2">
            <w:pPr>
              <w:pStyle w:val="P68B1DB1-Normal91"/>
            </w:pPr>
            <w:r>
              <w:t>Malta Stock Exchange CSD</w:t>
            </w:r>
          </w:p>
        </w:tc>
      </w:tr>
      <w:tr w:rsidR="00B81226" w14:paraId="147A9AFE" w14:textId="77777777">
        <w:trPr>
          <w:trHeight w:val="300"/>
        </w:trPr>
        <w:tc>
          <w:tcPr>
            <w:tcW w:w="9072" w:type="dxa"/>
            <w:tcBorders>
              <w:top w:val="nil"/>
              <w:left w:val="nil"/>
              <w:bottom w:val="nil"/>
              <w:right w:val="nil"/>
            </w:tcBorders>
            <w:noWrap/>
            <w:vAlign w:val="bottom"/>
            <w:hideMark/>
          </w:tcPr>
          <w:p w14:paraId="29008853" w14:textId="77777777" w:rsidR="00B81226" w:rsidRDefault="00B82AC2">
            <w:pPr>
              <w:pStyle w:val="P68B1DB1-Normal91"/>
            </w:pPr>
            <w:r>
              <w:t>MEFF Sociedad Rectora de Productos Derivados S.A.</w:t>
            </w:r>
          </w:p>
        </w:tc>
      </w:tr>
      <w:tr w:rsidR="00B81226" w14:paraId="03A3D6E0" w14:textId="77777777">
        <w:trPr>
          <w:trHeight w:val="300"/>
        </w:trPr>
        <w:tc>
          <w:tcPr>
            <w:tcW w:w="9072" w:type="dxa"/>
            <w:tcBorders>
              <w:top w:val="nil"/>
              <w:left w:val="nil"/>
              <w:bottom w:val="nil"/>
              <w:right w:val="nil"/>
            </w:tcBorders>
            <w:noWrap/>
            <w:vAlign w:val="bottom"/>
            <w:hideMark/>
          </w:tcPr>
          <w:p w14:paraId="3E98B6A6" w14:textId="77777777" w:rsidR="00B81226" w:rsidRDefault="00B82AC2">
            <w:pPr>
              <w:pStyle w:val="P68B1DB1-Normal91"/>
            </w:pPr>
            <w:r>
              <w:t>Mercados de Deuda Pública en Anotaciones</w:t>
            </w:r>
          </w:p>
        </w:tc>
      </w:tr>
      <w:tr w:rsidR="00B81226" w14:paraId="51FA8AC8" w14:textId="77777777">
        <w:trPr>
          <w:trHeight w:val="300"/>
        </w:trPr>
        <w:tc>
          <w:tcPr>
            <w:tcW w:w="9072" w:type="dxa"/>
            <w:tcBorders>
              <w:top w:val="nil"/>
              <w:left w:val="nil"/>
              <w:bottom w:val="nil"/>
              <w:right w:val="nil"/>
            </w:tcBorders>
            <w:noWrap/>
            <w:vAlign w:val="bottom"/>
            <w:hideMark/>
          </w:tcPr>
          <w:p w14:paraId="3F76F750" w14:textId="77777777" w:rsidR="00B81226" w:rsidRDefault="00B82AC2">
            <w:pPr>
              <w:pStyle w:val="P68B1DB1-Normal91"/>
            </w:pPr>
            <w:r>
              <w:t>Monte Titoli</w:t>
            </w:r>
          </w:p>
        </w:tc>
      </w:tr>
      <w:tr w:rsidR="00B81226" w14:paraId="23805AA2" w14:textId="77777777">
        <w:trPr>
          <w:trHeight w:val="300"/>
        </w:trPr>
        <w:tc>
          <w:tcPr>
            <w:tcW w:w="9072" w:type="dxa"/>
            <w:tcBorders>
              <w:top w:val="nil"/>
              <w:left w:val="nil"/>
              <w:bottom w:val="nil"/>
              <w:right w:val="nil"/>
            </w:tcBorders>
            <w:noWrap/>
            <w:vAlign w:val="bottom"/>
            <w:hideMark/>
          </w:tcPr>
          <w:p w14:paraId="13AB08E1" w14:textId="77777777" w:rsidR="00B81226" w:rsidRDefault="00B82AC2">
            <w:pPr>
              <w:pStyle w:val="P68B1DB1-Normal91"/>
            </w:pPr>
            <w:r>
              <w:t>MTS</w:t>
            </w:r>
          </w:p>
        </w:tc>
      </w:tr>
      <w:tr w:rsidR="00B81226" w14:paraId="4149713C" w14:textId="77777777">
        <w:trPr>
          <w:trHeight w:val="300"/>
        </w:trPr>
        <w:tc>
          <w:tcPr>
            <w:tcW w:w="9072" w:type="dxa"/>
            <w:tcBorders>
              <w:top w:val="nil"/>
              <w:left w:val="nil"/>
              <w:bottom w:val="nil"/>
              <w:right w:val="nil"/>
            </w:tcBorders>
            <w:noWrap/>
            <w:vAlign w:val="bottom"/>
            <w:hideMark/>
          </w:tcPr>
          <w:p w14:paraId="0E21C9DA" w14:textId="77777777" w:rsidR="00B81226" w:rsidRDefault="00B82AC2">
            <w:pPr>
              <w:pStyle w:val="P68B1DB1-Normal91"/>
            </w:pPr>
            <w:r>
              <w:t>Národný Centralny Depositar Cennych Papierov (nCDCP),</w:t>
            </w:r>
          </w:p>
        </w:tc>
      </w:tr>
      <w:tr w:rsidR="00B81226" w14:paraId="7826A921" w14:textId="77777777">
        <w:trPr>
          <w:trHeight w:val="300"/>
        </w:trPr>
        <w:tc>
          <w:tcPr>
            <w:tcW w:w="9072" w:type="dxa"/>
            <w:tcBorders>
              <w:top w:val="nil"/>
              <w:left w:val="nil"/>
              <w:bottom w:val="nil"/>
              <w:right w:val="nil"/>
            </w:tcBorders>
            <w:noWrap/>
            <w:vAlign w:val="bottom"/>
            <w:hideMark/>
          </w:tcPr>
          <w:p w14:paraId="3989D7C0" w14:textId="77777777" w:rsidR="00B81226" w:rsidRDefault="00B82AC2">
            <w:pPr>
              <w:pStyle w:val="P68B1DB1-Normal91"/>
            </w:pPr>
            <w:r>
              <w:t>Nasdaqin arvopaperikeskus SE</w:t>
            </w:r>
          </w:p>
        </w:tc>
      </w:tr>
      <w:tr w:rsidR="00B81226" w14:paraId="0F9127FC" w14:textId="77777777">
        <w:trPr>
          <w:trHeight w:val="300"/>
        </w:trPr>
        <w:tc>
          <w:tcPr>
            <w:tcW w:w="9072" w:type="dxa"/>
            <w:tcBorders>
              <w:top w:val="nil"/>
              <w:left w:val="nil"/>
              <w:bottom w:val="nil"/>
              <w:right w:val="nil"/>
            </w:tcBorders>
            <w:noWrap/>
            <w:vAlign w:val="bottom"/>
            <w:hideMark/>
          </w:tcPr>
          <w:p w14:paraId="7E3342A8" w14:textId="77777777" w:rsidR="00B81226" w:rsidRDefault="00B82AC2">
            <w:pPr>
              <w:pStyle w:val="P68B1DB1-Normal91"/>
            </w:pPr>
            <w:r>
              <w:t>Nasdaq Helsinki</w:t>
            </w:r>
          </w:p>
        </w:tc>
      </w:tr>
      <w:tr w:rsidR="00B81226" w14:paraId="794AA9C2" w14:textId="77777777">
        <w:trPr>
          <w:trHeight w:val="300"/>
        </w:trPr>
        <w:tc>
          <w:tcPr>
            <w:tcW w:w="9072" w:type="dxa"/>
            <w:tcBorders>
              <w:top w:val="nil"/>
              <w:left w:val="nil"/>
              <w:bottom w:val="nil"/>
              <w:right w:val="nil"/>
            </w:tcBorders>
            <w:noWrap/>
            <w:vAlign w:val="bottom"/>
            <w:hideMark/>
          </w:tcPr>
          <w:p w14:paraId="4EB7B940" w14:textId="77777777" w:rsidR="00B81226" w:rsidRDefault="00B82AC2">
            <w:pPr>
              <w:pStyle w:val="P68B1DB1-Normal91"/>
            </w:pPr>
            <w:r>
              <w:t>Nasdaq OMX Selvitys</w:t>
            </w:r>
          </w:p>
        </w:tc>
      </w:tr>
      <w:tr w:rsidR="00B81226" w14:paraId="27B334A7" w14:textId="77777777">
        <w:trPr>
          <w:trHeight w:val="300"/>
        </w:trPr>
        <w:tc>
          <w:tcPr>
            <w:tcW w:w="9072" w:type="dxa"/>
            <w:tcBorders>
              <w:top w:val="nil"/>
              <w:left w:val="nil"/>
              <w:bottom w:val="nil"/>
              <w:right w:val="nil"/>
            </w:tcBorders>
            <w:noWrap/>
            <w:vAlign w:val="bottom"/>
            <w:hideMark/>
          </w:tcPr>
          <w:p w14:paraId="405F6BB1" w14:textId="77777777" w:rsidR="00B81226" w:rsidRDefault="00B82AC2">
            <w:pPr>
              <w:pStyle w:val="P68B1DB1-Normal91"/>
            </w:pPr>
            <w:r>
              <w:t>Nasdaq OMX Tukholma</w:t>
            </w:r>
          </w:p>
        </w:tc>
      </w:tr>
      <w:tr w:rsidR="00B81226" w14:paraId="5888CB72" w14:textId="77777777">
        <w:trPr>
          <w:trHeight w:val="300"/>
        </w:trPr>
        <w:tc>
          <w:tcPr>
            <w:tcW w:w="9072" w:type="dxa"/>
            <w:tcBorders>
              <w:top w:val="nil"/>
              <w:left w:val="nil"/>
              <w:bottom w:val="nil"/>
              <w:right w:val="nil"/>
            </w:tcBorders>
            <w:noWrap/>
            <w:vAlign w:val="bottom"/>
            <w:hideMark/>
          </w:tcPr>
          <w:p w14:paraId="20F7ABDC" w14:textId="77777777" w:rsidR="00B81226" w:rsidRDefault="00B82AC2">
            <w:pPr>
              <w:pStyle w:val="P68B1DB1-Normal91"/>
            </w:pPr>
            <w:r>
              <w:t>Kansallinen arvopapereiden selvityskeskus (NSCC)</w:t>
            </w:r>
          </w:p>
        </w:tc>
      </w:tr>
      <w:tr w:rsidR="00B81226" w14:paraId="5E9C8F6D" w14:textId="77777777">
        <w:trPr>
          <w:trHeight w:val="300"/>
        </w:trPr>
        <w:tc>
          <w:tcPr>
            <w:tcW w:w="9072" w:type="dxa"/>
            <w:tcBorders>
              <w:top w:val="nil"/>
              <w:left w:val="nil"/>
              <w:bottom w:val="nil"/>
              <w:right w:val="nil"/>
            </w:tcBorders>
            <w:noWrap/>
            <w:vAlign w:val="bottom"/>
            <w:hideMark/>
          </w:tcPr>
          <w:p w14:paraId="12F1BAEB" w14:textId="77777777" w:rsidR="00B81226" w:rsidRDefault="00B82AC2">
            <w:pPr>
              <w:pStyle w:val="P68B1DB1-Normal91"/>
            </w:pPr>
            <w:r>
              <w:t>NBB SSS</w:t>
            </w:r>
          </w:p>
        </w:tc>
      </w:tr>
      <w:tr w:rsidR="00B81226" w14:paraId="5DFC5D23" w14:textId="77777777">
        <w:trPr>
          <w:trHeight w:val="300"/>
        </w:trPr>
        <w:tc>
          <w:tcPr>
            <w:tcW w:w="9072" w:type="dxa"/>
            <w:tcBorders>
              <w:top w:val="nil"/>
              <w:left w:val="nil"/>
              <w:bottom w:val="nil"/>
              <w:right w:val="nil"/>
            </w:tcBorders>
            <w:noWrap/>
            <w:vAlign w:val="bottom"/>
            <w:hideMark/>
          </w:tcPr>
          <w:p w14:paraId="3737426F" w14:textId="77777777" w:rsidR="00B81226" w:rsidRDefault="00B82AC2">
            <w:pPr>
              <w:pStyle w:val="P68B1DB1-Normal91"/>
            </w:pPr>
            <w:r>
              <w:t>NBP:n laskut ja valtion velkakirjojen rekisteri</w:t>
            </w:r>
          </w:p>
        </w:tc>
      </w:tr>
      <w:tr w:rsidR="00B81226" w14:paraId="1FC22E5F" w14:textId="77777777">
        <w:trPr>
          <w:trHeight w:val="300"/>
        </w:trPr>
        <w:tc>
          <w:tcPr>
            <w:tcW w:w="9072" w:type="dxa"/>
            <w:tcBorders>
              <w:top w:val="nil"/>
              <w:left w:val="nil"/>
              <w:bottom w:val="nil"/>
              <w:right w:val="nil"/>
            </w:tcBorders>
            <w:noWrap/>
            <w:vAlign w:val="bottom"/>
            <w:hideMark/>
          </w:tcPr>
          <w:p w14:paraId="358DE620" w14:textId="77777777" w:rsidR="00B81226" w:rsidRDefault="00B82AC2">
            <w:pPr>
              <w:pStyle w:val="P68B1DB1-Normal91"/>
            </w:pPr>
            <w:r>
              <w:t>NEX Abide Trade Repository AB</w:t>
            </w:r>
          </w:p>
        </w:tc>
      </w:tr>
      <w:tr w:rsidR="00B81226" w14:paraId="1362AFBF" w14:textId="77777777">
        <w:trPr>
          <w:trHeight w:val="300"/>
        </w:trPr>
        <w:tc>
          <w:tcPr>
            <w:tcW w:w="9072" w:type="dxa"/>
            <w:tcBorders>
              <w:top w:val="nil"/>
              <w:left w:val="nil"/>
              <w:bottom w:val="nil"/>
              <w:right w:val="nil"/>
            </w:tcBorders>
            <w:noWrap/>
            <w:vAlign w:val="bottom"/>
            <w:hideMark/>
          </w:tcPr>
          <w:p w14:paraId="7779B6B2" w14:textId="77777777" w:rsidR="00B81226" w:rsidRDefault="00B82AC2">
            <w:pPr>
              <w:pStyle w:val="P68B1DB1-Normal91"/>
            </w:pPr>
            <w:r>
              <w:t>NICS (Norwegian Inter Bank Clearing System)</w:t>
            </w:r>
          </w:p>
        </w:tc>
      </w:tr>
      <w:tr w:rsidR="00B81226" w14:paraId="403EDEA1" w14:textId="77777777">
        <w:trPr>
          <w:trHeight w:val="300"/>
        </w:trPr>
        <w:tc>
          <w:tcPr>
            <w:tcW w:w="9072" w:type="dxa"/>
            <w:tcBorders>
              <w:top w:val="nil"/>
              <w:left w:val="nil"/>
              <w:bottom w:val="nil"/>
              <w:right w:val="nil"/>
            </w:tcBorders>
            <w:noWrap/>
            <w:vAlign w:val="bottom"/>
            <w:hideMark/>
          </w:tcPr>
          <w:p w14:paraId="4BFCE736" w14:textId="77777777" w:rsidR="00B81226" w:rsidRDefault="00B82AC2">
            <w:pPr>
              <w:pStyle w:val="P68B1DB1-Normal91"/>
            </w:pPr>
            <w:r>
              <w:lastRenderedPageBreak/>
              <w:t>NKS (National Clearing System)/EuroNKS</w:t>
            </w:r>
          </w:p>
        </w:tc>
      </w:tr>
      <w:tr w:rsidR="00B81226" w14:paraId="72370490" w14:textId="77777777">
        <w:trPr>
          <w:trHeight w:val="300"/>
        </w:trPr>
        <w:tc>
          <w:tcPr>
            <w:tcW w:w="9072" w:type="dxa"/>
            <w:tcBorders>
              <w:top w:val="nil"/>
              <w:left w:val="nil"/>
              <w:bottom w:val="nil"/>
              <w:right w:val="nil"/>
            </w:tcBorders>
            <w:noWrap/>
            <w:vAlign w:val="bottom"/>
            <w:hideMark/>
          </w:tcPr>
          <w:p w14:paraId="46EFA26D" w14:textId="77777777" w:rsidR="00B81226" w:rsidRDefault="00B82AC2">
            <w:pPr>
              <w:pStyle w:val="P68B1DB1-Normal91"/>
            </w:pPr>
            <w:r>
              <w:t>NYSE Euronext Paris</w:t>
            </w:r>
          </w:p>
        </w:tc>
      </w:tr>
      <w:tr w:rsidR="00B81226" w14:paraId="5FB1C2FE" w14:textId="77777777">
        <w:trPr>
          <w:trHeight w:val="300"/>
        </w:trPr>
        <w:tc>
          <w:tcPr>
            <w:tcW w:w="9072" w:type="dxa"/>
            <w:tcBorders>
              <w:top w:val="nil"/>
              <w:left w:val="nil"/>
              <w:bottom w:val="nil"/>
              <w:right w:val="nil"/>
            </w:tcBorders>
            <w:noWrap/>
            <w:vAlign w:val="bottom"/>
            <w:hideMark/>
          </w:tcPr>
          <w:p w14:paraId="43B707C4" w14:textId="77777777" w:rsidR="00B81226" w:rsidRDefault="00B82AC2">
            <w:pPr>
              <w:pStyle w:val="P68B1DB1-Normal91"/>
            </w:pPr>
            <w:r>
              <w:t>OeKB CSD GmbH (WSB System)</w:t>
            </w:r>
          </w:p>
        </w:tc>
      </w:tr>
      <w:tr w:rsidR="00B81226" w14:paraId="297ECE0B" w14:textId="77777777">
        <w:trPr>
          <w:trHeight w:val="300"/>
        </w:trPr>
        <w:tc>
          <w:tcPr>
            <w:tcW w:w="9072" w:type="dxa"/>
            <w:tcBorders>
              <w:top w:val="nil"/>
              <w:left w:val="nil"/>
              <w:bottom w:val="nil"/>
              <w:right w:val="nil"/>
            </w:tcBorders>
            <w:noWrap/>
            <w:vAlign w:val="bottom"/>
            <w:hideMark/>
          </w:tcPr>
          <w:p w14:paraId="41926D7B" w14:textId="77777777" w:rsidR="00B81226" w:rsidRDefault="00B82AC2">
            <w:pPr>
              <w:pStyle w:val="P68B1DB1-Normal91"/>
            </w:pPr>
            <w:r>
              <w:t>OMI-selvitys</w:t>
            </w:r>
          </w:p>
        </w:tc>
      </w:tr>
      <w:tr w:rsidR="00B81226" w14:paraId="786A0182" w14:textId="77777777">
        <w:trPr>
          <w:trHeight w:val="300"/>
        </w:trPr>
        <w:tc>
          <w:tcPr>
            <w:tcW w:w="9072" w:type="dxa"/>
            <w:tcBorders>
              <w:top w:val="nil"/>
              <w:left w:val="nil"/>
              <w:bottom w:val="nil"/>
              <w:right w:val="nil"/>
            </w:tcBorders>
            <w:noWrap/>
            <w:vAlign w:val="bottom"/>
            <w:hideMark/>
          </w:tcPr>
          <w:p w14:paraId="00B344FB" w14:textId="77777777" w:rsidR="00B81226" w:rsidRDefault="00B82AC2">
            <w:pPr>
              <w:pStyle w:val="P68B1DB1-Normal91"/>
            </w:pPr>
            <w:r>
              <w:t>POP-YHDISTEET</w:t>
            </w:r>
          </w:p>
        </w:tc>
      </w:tr>
      <w:tr w:rsidR="00B81226" w14:paraId="560CA6B2" w14:textId="77777777">
        <w:trPr>
          <w:trHeight w:val="300"/>
        </w:trPr>
        <w:tc>
          <w:tcPr>
            <w:tcW w:w="9072" w:type="dxa"/>
            <w:tcBorders>
              <w:top w:val="nil"/>
              <w:left w:val="nil"/>
              <w:bottom w:val="nil"/>
              <w:right w:val="nil"/>
            </w:tcBorders>
            <w:noWrap/>
            <w:vAlign w:val="bottom"/>
            <w:hideMark/>
          </w:tcPr>
          <w:p w14:paraId="15C8DE81" w14:textId="77777777" w:rsidR="00B81226" w:rsidRDefault="00B82AC2">
            <w:pPr>
              <w:pStyle w:val="P68B1DB1-Normal91"/>
            </w:pPr>
            <w:r>
              <w:t>REGIS</w:t>
            </w:r>
          </w:p>
        </w:tc>
      </w:tr>
      <w:tr w:rsidR="00B81226" w14:paraId="185A7956" w14:textId="77777777">
        <w:trPr>
          <w:trHeight w:val="300"/>
        </w:trPr>
        <w:tc>
          <w:tcPr>
            <w:tcW w:w="9072" w:type="dxa"/>
            <w:tcBorders>
              <w:top w:val="nil"/>
              <w:left w:val="nil"/>
              <w:bottom w:val="nil"/>
              <w:right w:val="nil"/>
            </w:tcBorders>
            <w:noWrap/>
            <w:vAlign w:val="bottom"/>
            <w:hideMark/>
          </w:tcPr>
          <w:p w14:paraId="3E63DE78" w14:textId="77777777" w:rsidR="00B81226" w:rsidRDefault="00B82AC2">
            <w:pPr>
              <w:pStyle w:val="P68B1DB1-Normal91"/>
            </w:pPr>
            <w:r>
              <w:t>Regis-TR</w:t>
            </w:r>
          </w:p>
        </w:tc>
      </w:tr>
      <w:tr w:rsidR="00B81226" w14:paraId="751DD516" w14:textId="77777777">
        <w:trPr>
          <w:trHeight w:val="300"/>
        </w:trPr>
        <w:tc>
          <w:tcPr>
            <w:tcW w:w="9072" w:type="dxa"/>
            <w:tcBorders>
              <w:top w:val="nil"/>
              <w:left w:val="nil"/>
              <w:bottom w:val="nil"/>
              <w:right w:val="nil"/>
            </w:tcBorders>
            <w:noWrap/>
            <w:vAlign w:val="bottom"/>
            <w:hideMark/>
          </w:tcPr>
          <w:p w14:paraId="61EDA69E" w14:textId="77777777" w:rsidR="00B81226" w:rsidRDefault="00B82AC2">
            <w:pPr>
              <w:pStyle w:val="P68B1DB1-Normal91"/>
            </w:pPr>
            <w:r>
              <w:t>Renkaat (tosiaikainen pankkien välinen bruttomaksujärjestelmä)</w:t>
            </w:r>
          </w:p>
        </w:tc>
      </w:tr>
      <w:tr w:rsidR="00B81226" w14:paraId="3DA52EFD" w14:textId="77777777">
        <w:trPr>
          <w:trHeight w:val="300"/>
        </w:trPr>
        <w:tc>
          <w:tcPr>
            <w:tcW w:w="9072" w:type="dxa"/>
            <w:tcBorders>
              <w:top w:val="nil"/>
              <w:left w:val="nil"/>
              <w:bottom w:val="nil"/>
              <w:right w:val="nil"/>
            </w:tcBorders>
            <w:noWrap/>
            <w:vAlign w:val="bottom"/>
            <w:hideMark/>
          </w:tcPr>
          <w:p w14:paraId="14849718" w14:textId="77777777" w:rsidR="00B81226" w:rsidRDefault="00B82AC2">
            <w:pPr>
              <w:pStyle w:val="P68B1DB1-Normal91"/>
            </w:pPr>
            <w:r>
              <w:t>RIX</w:t>
            </w:r>
          </w:p>
        </w:tc>
      </w:tr>
      <w:tr w:rsidR="00B81226" w14:paraId="2F5941C3" w14:textId="77777777">
        <w:trPr>
          <w:trHeight w:val="300"/>
        </w:trPr>
        <w:tc>
          <w:tcPr>
            <w:tcW w:w="9072" w:type="dxa"/>
            <w:tcBorders>
              <w:top w:val="nil"/>
              <w:left w:val="nil"/>
              <w:bottom w:val="nil"/>
              <w:right w:val="nil"/>
            </w:tcBorders>
            <w:noWrap/>
            <w:vAlign w:val="bottom"/>
            <w:hideMark/>
          </w:tcPr>
          <w:p w14:paraId="05086D64" w14:textId="77777777" w:rsidR="00B81226" w:rsidRDefault="00B82AC2">
            <w:pPr>
              <w:pStyle w:val="P68B1DB1-Normal91"/>
            </w:pPr>
            <w:r>
              <w:t>RM-SYSTEM Tšekin pörssi</w:t>
            </w:r>
          </w:p>
        </w:tc>
      </w:tr>
      <w:tr w:rsidR="00B81226" w14:paraId="4785EAE5" w14:textId="77777777">
        <w:trPr>
          <w:trHeight w:val="300"/>
        </w:trPr>
        <w:tc>
          <w:tcPr>
            <w:tcW w:w="9072" w:type="dxa"/>
            <w:tcBorders>
              <w:top w:val="nil"/>
              <w:left w:val="nil"/>
              <w:bottom w:val="nil"/>
              <w:right w:val="nil"/>
            </w:tcBorders>
            <w:noWrap/>
            <w:vAlign w:val="bottom"/>
            <w:hideMark/>
          </w:tcPr>
          <w:p w14:paraId="0E3CA4AB" w14:textId="77777777" w:rsidR="00B81226" w:rsidRDefault="00B82AC2">
            <w:pPr>
              <w:pStyle w:val="P68B1DB1-Normal91"/>
            </w:pPr>
            <w:r>
              <w:t>RoClear</w:t>
            </w:r>
          </w:p>
        </w:tc>
      </w:tr>
      <w:tr w:rsidR="00B81226" w14:paraId="16348C32" w14:textId="77777777">
        <w:trPr>
          <w:trHeight w:val="300"/>
        </w:trPr>
        <w:tc>
          <w:tcPr>
            <w:tcW w:w="9072" w:type="dxa"/>
            <w:tcBorders>
              <w:top w:val="nil"/>
              <w:left w:val="nil"/>
              <w:bottom w:val="nil"/>
              <w:right w:val="nil"/>
            </w:tcBorders>
            <w:noWrap/>
            <w:vAlign w:val="bottom"/>
            <w:hideMark/>
          </w:tcPr>
          <w:p w14:paraId="7791248F" w14:textId="77777777" w:rsidR="00B81226" w:rsidRDefault="00B82AC2">
            <w:pPr>
              <w:pStyle w:val="P68B1DB1-Normal91"/>
            </w:pPr>
            <w:r>
              <w:t>VALVONNAN KÄSITTÄVÄ SÄÄNTELYMENETTELY</w:t>
            </w:r>
          </w:p>
        </w:tc>
      </w:tr>
      <w:tr w:rsidR="00B81226" w14:paraId="201CD5B7" w14:textId="77777777">
        <w:trPr>
          <w:trHeight w:val="300"/>
        </w:trPr>
        <w:tc>
          <w:tcPr>
            <w:tcW w:w="9072" w:type="dxa"/>
            <w:tcBorders>
              <w:top w:val="nil"/>
              <w:left w:val="nil"/>
              <w:bottom w:val="nil"/>
              <w:right w:val="nil"/>
            </w:tcBorders>
            <w:noWrap/>
            <w:vAlign w:val="bottom"/>
            <w:hideMark/>
          </w:tcPr>
          <w:p w14:paraId="78F31295" w14:textId="77777777" w:rsidR="00B81226" w:rsidRDefault="00B82AC2">
            <w:pPr>
              <w:pStyle w:val="P68B1DB1-Normal91"/>
            </w:pPr>
            <w:r>
              <w:t>RT1</w:t>
            </w:r>
          </w:p>
        </w:tc>
      </w:tr>
      <w:tr w:rsidR="00B81226" w14:paraId="5D6D4D2F" w14:textId="77777777">
        <w:trPr>
          <w:trHeight w:val="300"/>
        </w:trPr>
        <w:tc>
          <w:tcPr>
            <w:tcW w:w="9072" w:type="dxa"/>
            <w:tcBorders>
              <w:top w:val="nil"/>
              <w:left w:val="nil"/>
              <w:bottom w:val="nil"/>
              <w:right w:val="nil"/>
            </w:tcBorders>
            <w:noWrap/>
            <w:vAlign w:val="bottom"/>
            <w:hideMark/>
          </w:tcPr>
          <w:p w14:paraId="0D3FA36D" w14:textId="77777777" w:rsidR="00B81226" w:rsidRDefault="00B82AC2">
            <w:pPr>
              <w:pStyle w:val="P68B1DB1-Normal91"/>
            </w:pPr>
            <w:r>
              <w:t>SAFIR</w:t>
            </w:r>
          </w:p>
        </w:tc>
      </w:tr>
      <w:tr w:rsidR="00B81226" w14:paraId="683945A8" w14:textId="77777777">
        <w:trPr>
          <w:trHeight w:val="300"/>
        </w:trPr>
        <w:tc>
          <w:tcPr>
            <w:tcW w:w="9072" w:type="dxa"/>
            <w:tcBorders>
              <w:top w:val="nil"/>
              <w:left w:val="nil"/>
              <w:bottom w:val="nil"/>
              <w:right w:val="nil"/>
            </w:tcBorders>
            <w:noWrap/>
            <w:vAlign w:val="bottom"/>
            <w:hideMark/>
          </w:tcPr>
          <w:p w14:paraId="4536F3F1" w14:textId="77777777" w:rsidR="00B81226" w:rsidRDefault="00B82AC2">
            <w:pPr>
              <w:pStyle w:val="P68B1DB1-Normal91"/>
            </w:pPr>
            <w:r>
              <w:t>LÄHETETTY</w:t>
            </w:r>
          </w:p>
        </w:tc>
      </w:tr>
      <w:tr w:rsidR="00B81226" w14:paraId="37207CC9" w14:textId="77777777">
        <w:trPr>
          <w:trHeight w:val="300"/>
        </w:trPr>
        <w:tc>
          <w:tcPr>
            <w:tcW w:w="9072" w:type="dxa"/>
            <w:tcBorders>
              <w:top w:val="nil"/>
              <w:left w:val="nil"/>
              <w:bottom w:val="nil"/>
              <w:right w:val="nil"/>
            </w:tcBorders>
            <w:noWrap/>
            <w:vAlign w:val="bottom"/>
            <w:hideMark/>
          </w:tcPr>
          <w:p w14:paraId="78322774" w14:textId="77777777" w:rsidR="00B81226" w:rsidRDefault="00B82AC2">
            <w:pPr>
              <w:pStyle w:val="P68B1DB1-Normal91"/>
            </w:pPr>
            <w:r>
              <w:t>SICOI</w:t>
            </w:r>
          </w:p>
        </w:tc>
      </w:tr>
      <w:tr w:rsidR="00B81226" w14:paraId="20A1D4E0" w14:textId="77777777">
        <w:trPr>
          <w:trHeight w:val="300"/>
        </w:trPr>
        <w:tc>
          <w:tcPr>
            <w:tcW w:w="9072" w:type="dxa"/>
            <w:tcBorders>
              <w:top w:val="nil"/>
              <w:left w:val="nil"/>
              <w:bottom w:val="nil"/>
              <w:right w:val="nil"/>
            </w:tcBorders>
            <w:noWrap/>
            <w:vAlign w:val="bottom"/>
            <w:hideMark/>
          </w:tcPr>
          <w:p w14:paraId="745FF75E" w14:textId="77777777" w:rsidR="00B81226" w:rsidRDefault="00B82AC2">
            <w:pPr>
              <w:pStyle w:val="P68B1DB1-Normal91"/>
            </w:pPr>
            <w:r>
              <w:t>SIMP – PS</w:t>
            </w:r>
          </w:p>
        </w:tc>
      </w:tr>
      <w:tr w:rsidR="00B81226" w14:paraId="1F8A8F25" w14:textId="77777777">
        <w:trPr>
          <w:trHeight w:val="300"/>
        </w:trPr>
        <w:tc>
          <w:tcPr>
            <w:tcW w:w="9072" w:type="dxa"/>
            <w:tcBorders>
              <w:top w:val="nil"/>
              <w:left w:val="nil"/>
              <w:bottom w:val="nil"/>
              <w:right w:val="nil"/>
            </w:tcBorders>
            <w:noWrap/>
            <w:vAlign w:val="bottom"/>
            <w:hideMark/>
          </w:tcPr>
          <w:p w14:paraId="7B70556F" w14:textId="77777777" w:rsidR="00B81226" w:rsidRDefault="00B82AC2">
            <w:pPr>
              <w:pStyle w:val="P68B1DB1-Normal91"/>
            </w:pPr>
            <w:r>
              <w:t>SIP SPlatobný systém</w:t>
            </w:r>
          </w:p>
        </w:tc>
      </w:tr>
      <w:tr w:rsidR="00B81226" w14:paraId="661159A9" w14:textId="77777777">
        <w:trPr>
          <w:trHeight w:val="300"/>
        </w:trPr>
        <w:tc>
          <w:tcPr>
            <w:tcW w:w="9072" w:type="dxa"/>
            <w:tcBorders>
              <w:top w:val="nil"/>
              <w:left w:val="nil"/>
              <w:bottom w:val="nil"/>
              <w:right w:val="nil"/>
            </w:tcBorders>
            <w:noWrap/>
            <w:vAlign w:val="bottom"/>
            <w:hideMark/>
          </w:tcPr>
          <w:p w14:paraId="21A22FD2" w14:textId="77777777" w:rsidR="00B81226" w:rsidRDefault="00B82AC2">
            <w:pPr>
              <w:pStyle w:val="P68B1DB1-Normal91"/>
            </w:pPr>
            <w:r>
              <w:t>PIA</w:t>
            </w:r>
          </w:p>
        </w:tc>
      </w:tr>
      <w:tr w:rsidR="00B81226" w14:paraId="01B00784" w14:textId="77777777">
        <w:trPr>
          <w:trHeight w:val="300"/>
        </w:trPr>
        <w:tc>
          <w:tcPr>
            <w:tcW w:w="9072" w:type="dxa"/>
            <w:tcBorders>
              <w:top w:val="nil"/>
              <w:left w:val="nil"/>
              <w:bottom w:val="nil"/>
              <w:right w:val="nil"/>
            </w:tcBorders>
            <w:noWrap/>
            <w:vAlign w:val="bottom"/>
            <w:hideMark/>
          </w:tcPr>
          <w:p w14:paraId="42A9A872" w14:textId="77777777" w:rsidR="00B81226" w:rsidRDefault="00B82AC2">
            <w:pPr>
              <w:pStyle w:val="P68B1DB1-Normal91"/>
            </w:pPr>
            <w:r>
              <w:t>6 InterbankClearing (SIC)/EuroSIC</w:t>
            </w:r>
          </w:p>
        </w:tc>
      </w:tr>
      <w:tr w:rsidR="00B81226" w14:paraId="4AB76E2F" w14:textId="77777777">
        <w:trPr>
          <w:trHeight w:val="300"/>
        </w:trPr>
        <w:tc>
          <w:tcPr>
            <w:tcW w:w="9072" w:type="dxa"/>
            <w:tcBorders>
              <w:top w:val="nil"/>
              <w:left w:val="nil"/>
              <w:bottom w:val="nil"/>
              <w:right w:val="nil"/>
            </w:tcBorders>
            <w:noWrap/>
            <w:vAlign w:val="bottom"/>
            <w:hideMark/>
          </w:tcPr>
          <w:p w14:paraId="591D0E38" w14:textId="77777777" w:rsidR="00B81226" w:rsidRDefault="00B82AC2">
            <w:pPr>
              <w:pStyle w:val="P68B1DB1-Normal91"/>
            </w:pPr>
            <w:r>
              <w:t>SIX Swiss Exchange</w:t>
            </w:r>
          </w:p>
        </w:tc>
      </w:tr>
      <w:tr w:rsidR="00B81226" w14:paraId="0FE15923" w14:textId="77777777">
        <w:trPr>
          <w:trHeight w:val="300"/>
        </w:trPr>
        <w:tc>
          <w:tcPr>
            <w:tcW w:w="9072" w:type="dxa"/>
            <w:tcBorders>
              <w:top w:val="nil"/>
              <w:left w:val="nil"/>
              <w:bottom w:val="nil"/>
              <w:right w:val="nil"/>
            </w:tcBorders>
            <w:noWrap/>
            <w:vAlign w:val="bottom"/>
            <w:hideMark/>
          </w:tcPr>
          <w:p w14:paraId="7A0AEADF" w14:textId="77777777" w:rsidR="00B81226" w:rsidRDefault="00B82AC2">
            <w:pPr>
              <w:pStyle w:val="P68B1DB1-Normal91"/>
            </w:pPr>
            <w:r>
              <w:t>Kuusi x-selkeää</w:t>
            </w:r>
          </w:p>
        </w:tc>
      </w:tr>
      <w:tr w:rsidR="00B81226" w14:paraId="58C9ED3B" w14:textId="77777777">
        <w:trPr>
          <w:trHeight w:val="300"/>
        </w:trPr>
        <w:tc>
          <w:tcPr>
            <w:tcW w:w="9072" w:type="dxa"/>
            <w:tcBorders>
              <w:top w:val="nil"/>
              <w:left w:val="nil"/>
              <w:bottom w:val="nil"/>
              <w:right w:val="nil"/>
            </w:tcBorders>
            <w:noWrap/>
            <w:vAlign w:val="bottom"/>
            <w:hideMark/>
          </w:tcPr>
          <w:p w14:paraId="53254B63" w14:textId="77777777" w:rsidR="00B81226" w:rsidRDefault="00B82AC2">
            <w:pPr>
              <w:pStyle w:val="P68B1DB1-Normal91"/>
            </w:pPr>
            <w:r>
              <w:t>SKD (lyhytaikaisia joukkolainoja koskeva järjestelmä)</w:t>
            </w:r>
          </w:p>
        </w:tc>
      </w:tr>
      <w:tr w:rsidR="00B81226" w14:paraId="479A72E9" w14:textId="77777777">
        <w:trPr>
          <w:trHeight w:val="300"/>
        </w:trPr>
        <w:tc>
          <w:tcPr>
            <w:tcW w:w="9072" w:type="dxa"/>
            <w:tcBorders>
              <w:top w:val="nil"/>
              <w:left w:val="nil"/>
              <w:bottom w:val="nil"/>
              <w:right w:val="nil"/>
            </w:tcBorders>
            <w:noWrap/>
            <w:vAlign w:val="bottom"/>
            <w:hideMark/>
          </w:tcPr>
          <w:p w14:paraId="559EC939" w14:textId="77777777" w:rsidR="00B81226" w:rsidRDefault="00B82AC2">
            <w:pPr>
              <w:pStyle w:val="P68B1DB1-Normal91"/>
            </w:pPr>
            <w:r>
              <w:t>SNCE (Sistema Nacional de Compensación Electrónica)</w:t>
            </w:r>
          </w:p>
        </w:tc>
      </w:tr>
      <w:tr w:rsidR="00B81226" w14:paraId="61D37C20" w14:textId="77777777">
        <w:trPr>
          <w:trHeight w:val="300"/>
        </w:trPr>
        <w:tc>
          <w:tcPr>
            <w:tcW w:w="9072" w:type="dxa"/>
            <w:tcBorders>
              <w:top w:val="nil"/>
              <w:left w:val="nil"/>
              <w:bottom w:val="nil"/>
              <w:right w:val="nil"/>
            </w:tcBorders>
            <w:noWrap/>
            <w:vAlign w:val="bottom"/>
            <w:hideMark/>
          </w:tcPr>
          <w:p w14:paraId="0B37415E" w14:textId="77777777" w:rsidR="00B81226" w:rsidRDefault="00B82AC2">
            <w:pPr>
              <w:pStyle w:val="P68B1DB1-Normal91"/>
            </w:pPr>
            <w:r>
              <w:t>Société de la Bourse du Luxembourg SA</w:t>
            </w:r>
          </w:p>
        </w:tc>
      </w:tr>
      <w:tr w:rsidR="00B81226" w14:paraId="09E4F71F" w14:textId="77777777">
        <w:trPr>
          <w:trHeight w:val="300"/>
        </w:trPr>
        <w:tc>
          <w:tcPr>
            <w:tcW w:w="9072" w:type="dxa"/>
            <w:tcBorders>
              <w:top w:val="nil"/>
              <w:left w:val="nil"/>
              <w:bottom w:val="nil"/>
              <w:right w:val="nil"/>
            </w:tcBorders>
            <w:noWrap/>
            <w:vAlign w:val="bottom"/>
            <w:hideMark/>
          </w:tcPr>
          <w:p w14:paraId="094DD4AF" w14:textId="77777777" w:rsidR="00B81226" w:rsidRDefault="00B82AC2">
            <w:pPr>
              <w:pStyle w:val="P68B1DB1-Normal91"/>
            </w:pPr>
            <w:r>
              <w:t>SORBNET2</w:t>
            </w:r>
          </w:p>
        </w:tc>
      </w:tr>
      <w:tr w:rsidR="00B81226" w14:paraId="1E86EA3A" w14:textId="77777777">
        <w:trPr>
          <w:trHeight w:val="300"/>
        </w:trPr>
        <w:tc>
          <w:tcPr>
            <w:tcW w:w="9072" w:type="dxa"/>
            <w:tcBorders>
              <w:top w:val="nil"/>
              <w:left w:val="nil"/>
              <w:bottom w:val="nil"/>
              <w:right w:val="nil"/>
            </w:tcBorders>
            <w:noWrap/>
            <w:vAlign w:val="bottom"/>
            <w:hideMark/>
          </w:tcPr>
          <w:p w14:paraId="2FE926EC" w14:textId="77777777" w:rsidR="00B81226" w:rsidRDefault="00B82AC2">
            <w:pPr>
              <w:pStyle w:val="P68B1DB1-Normal91"/>
            </w:pPr>
            <w:r>
              <w:t>VAIHE 1</w:t>
            </w:r>
          </w:p>
        </w:tc>
      </w:tr>
      <w:tr w:rsidR="00B81226" w14:paraId="4A3D7A33" w14:textId="77777777">
        <w:trPr>
          <w:trHeight w:val="300"/>
        </w:trPr>
        <w:tc>
          <w:tcPr>
            <w:tcW w:w="9072" w:type="dxa"/>
            <w:tcBorders>
              <w:top w:val="nil"/>
              <w:left w:val="nil"/>
              <w:bottom w:val="nil"/>
              <w:right w:val="nil"/>
            </w:tcBorders>
            <w:noWrap/>
            <w:vAlign w:val="bottom"/>
            <w:hideMark/>
          </w:tcPr>
          <w:p w14:paraId="38D47947" w14:textId="77777777" w:rsidR="00B81226" w:rsidRDefault="00B82AC2">
            <w:pPr>
              <w:pStyle w:val="P68B1DB1-Normal91"/>
            </w:pPr>
            <w:r>
              <w:t>VAIHE 2</w:t>
            </w:r>
          </w:p>
        </w:tc>
      </w:tr>
      <w:tr w:rsidR="00B81226" w14:paraId="305AEF07" w14:textId="77777777">
        <w:trPr>
          <w:trHeight w:val="300"/>
        </w:trPr>
        <w:tc>
          <w:tcPr>
            <w:tcW w:w="9072" w:type="dxa"/>
            <w:tcBorders>
              <w:top w:val="nil"/>
              <w:left w:val="nil"/>
              <w:bottom w:val="nil"/>
              <w:right w:val="nil"/>
            </w:tcBorders>
            <w:noWrap/>
            <w:vAlign w:val="bottom"/>
            <w:hideMark/>
          </w:tcPr>
          <w:p w14:paraId="3385D576" w14:textId="77777777" w:rsidR="00B81226" w:rsidRDefault="00B82AC2">
            <w:pPr>
              <w:pStyle w:val="P68B1DB1-Normal91"/>
            </w:pPr>
            <w:r>
              <w:t>STET/YDIN</w:t>
            </w:r>
          </w:p>
        </w:tc>
      </w:tr>
      <w:tr w:rsidR="00B81226" w14:paraId="68530B39" w14:textId="77777777">
        <w:trPr>
          <w:trHeight w:val="300"/>
        </w:trPr>
        <w:tc>
          <w:tcPr>
            <w:tcW w:w="9072" w:type="dxa"/>
            <w:tcBorders>
              <w:top w:val="nil"/>
              <w:left w:val="nil"/>
              <w:bottom w:val="nil"/>
              <w:right w:val="nil"/>
            </w:tcBorders>
            <w:noWrap/>
            <w:vAlign w:val="bottom"/>
            <w:hideMark/>
          </w:tcPr>
          <w:p w14:paraId="2B90AD3F" w14:textId="77777777" w:rsidR="00B81226" w:rsidRDefault="00B82AC2">
            <w:pPr>
              <w:pStyle w:val="P68B1DB1-Normal91"/>
            </w:pPr>
            <w:r>
              <w:t>Straksclearingen</w:t>
            </w:r>
          </w:p>
        </w:tc>
      </w:tr>
      <w:tr w:rsidR="00B81226" w14:paraId="0E50A9AB" w14:textId="77777777">
        <w:trPr>
          <w:trHeight w:val="300"/>
        </w:trPr>
        <w:tc>
          <w:tcPr>
            <w:tcW w:w="9072" w:type="dxa"/>
            <w:tcBorders>
              <w:top w:val="nil"/>
              <w:left w:val="nil"/>
              <w:bottom w:val="nil"/>
              <w:right w:val="nil"/>
            </w:tcBorders>
            <w:noWrap/>
            <w:vAlign w:val="bottom"/>
            <w:hideMark/>
          </w:tcPr>
          <w:p w14:paraId="54E27288" w14:textId="77777777" w:rsidR="00B81226" w:rsidRDefault="00B82AC2">
            <w:pPr>
              <w:pStyle w:val="P68B1DB1-Normal91"/>
            </w:pPr>
            <w:r>
              <w:t>Sumclearingen</w:t>
            </w:r>
          </w:p>
        </w:tc>
      </w:tr>
      <w:tr w:rsidR="00B81226" w14:paraId="0C6135E4" w14:textId="77777777">
        <w:trPr>
          <w:trHeight w:val="300"/>
        </w:trPr>
        <w:tc>
          <w:tcPr>
            <w:tcW w:w="9072" w:type="dxa"/>
            <w:tcBorders>
              <w:top w:val="nil"/>
              <w:left w:val="nil"/>
              <w:bottom w:val="nil"/>
              <w:right w:val="nil"/>
            </w:tcBorders>
            <w:noWrap/>
            <w:vAlign w:val="bottom"/>
            <w:hideMark/>
          </w:tcPr>
          <w:p w14:paraId="4789CBEE" w14:textId="77777777" w:rsidR="00B81226" w:rsidRDefault="00B82AC2">
            <w:pPr>
              <w:pStyle w:val="P68B1DB1-Normal91"/>
            </w:pPr>
            <w:r>
              <w:t>T2S (SSS – vain suoria yhteyksiä varten)</w:t>
            </w:r>
          </w:p>
        </w:tc>
      </w:tr>
      <w:tr w:rsidR="00B81226" w14:paraId="791932E6" w14:textId="77777777">
        <w:trPr>
          <w:trHeight w:val="300"/>
        </w:trPr>
        <w:tc>
          <w:tcPr>
            <w:tcW w:w="9072" w:type="dxa"/>
            <w:tcBorders>
              <w:top w:val="nil"/>
              <w:left w:val="nil"/>
              <w:bottom w:val="nil"/>
              <w:right w:val="nil"/>
            </w:tcBorders>
            <w:noWrap/>
            <w:vAlign w:val="bottom"/>
            <w:hideMark/>
          </w:tcPr>
          <w:p w14:paraId="085D29CC" w14:textId="77777777" w:rsidR="00B81226" w:rsidRDefault="00B82AC2">
            <w:pPr>
              <w:pStyle w:val="P68B1DB1-Normal91"/>
            </w:pPr>
            <w:r>
              <w:t>TARGET2</w:t>
            </w:r>
          </w:p>
        </w:tc>
      </w:tr>
      <w:tr w:rsidR="00B81226" w14:paraId="0379A497" w14:textId="77777777">
        <w:trPr>
          <w:trHeight w:val="300"/>
        </w:trPr>
        <w:tc>
          <w:tcPr>
            <w:tcW w:w="9072" w:type="dxa"/>
            <w:tcBorders>
              <w:top w:val="nil"/>
              <w:left w:val="nil"/>
              <w:bottom w:val="nil"/>
              <w:right w:val="nil"/>
            </w:tcBorders>
            <w:noWrap/>
            <w:vAlign w:val="bottom"/>
            <w:hideMark/>
          </w:tcPr>
          <w:p w14:paraId="56C29FCF" w14:textId="77777777" w:rsidR="00B81226" w:rsidRDefault="00B82AC2">
            <w:pPr>
              <w:pStyle w:val="P68B1DB1-Normal91"/>
            </w:pPr>
            <w:r>
              <w:t>SWIFT</w:t>
            </w:r>
          </w:p>
        </w:tc>
      </w:tr>
      <w:tr w:rsidR="00B81226" w14:paraId="19C63903" w14:textId="77777777">
        <w:trPr>
          <w:trHeight w:val="300"/>
        </w:trPr>
        <w:tc>
          <w:tcPr>
            <w:tcW w:w="9072" w:type="dxa"/>
            <w:tcBorders>
              <w:top w:val="nil"/>
              <w:left w:val="nil"/>
              <w:bottom w:val="nil"/>
              <w:right w:val="nil"/>
            </w:tcBorders>
            <w:noWrap/>
            <w:vAlign w:val="bottom"/>
            <w:hideMark/>
          </w:tcPr>
          <w:p w14:paraId="6CABE6E8" w14:textId="77777777" w:rsidR="00B81226" w:rsidRDefault="00B82AC2">
            <w:pPr>
              <w:pStyle w:val="P68B1DB1-Normal91"/>
            </w:pPr>
            <w:r>
              <w:t>UnaVista Limited</w:t>
            </w:r>
          </w:p>
        </w:tc>
      </w:tr>
      <w:tr w:rsidR="00B81226" w14:paraId="7E731946" w14:textId="77777777">
        <w:trPr>
          <w:trHeight w:val="300"/>
        </w:trPr>
        <w:tc>
          <w:tcPr>
            <w:tcW w:w="9072" w:type="dxa"/>
            <w:tcBorders>
              <w:top w:val="nil"/>
              <w:left w:val="nil"/>
              <w:bottom w:val="nil"/>
              <w:right w:val="nil"/>
            </w:tcBorders>
            <w:noWrap/>
            <w:vAlign w:val="bottom"/>
            <w:hideMark/>
          </w:tcPr>
          <w:p w14:paraId="6485DCC3" w14:textId="77777777" w:rsidR="00B81226" w:rsidRDefault="00B82AC2">
            <w:pPr>
              <w:pStyle w:val="P68B1DB1-Normal91"/>
            </w:pPr>
            <w:r>
              <w:t>Verdipapirsentralen (VPS)</w:t>
            </w:r>
          </w:p>
        </w:tc>
      </w:tr>
      <w:tr w:rsidR="00B81226" w14:paraId="599BD0C0" w14:textId="77777777">
        <w:trPr>
          <w:trHeight w:val="300"/>
        </w:trPr>
        <w:tc>
          <w:tcPr>
            <w:tcW w:w="9072" w:type="dxa"/>
            <w:tcBorders>
              <w:top w:val="nil"/>
              <w:left w:val="nil"/>
              <w:bottom w:val="nil"/>
              <w:right w:val="nil"/>
            </w:tcBorders>
            <w:noWrap/>
            <w:vAlign w:val="bottom"/>
            <w:hideMark/>
          </w:tcPr>
          <w:p w14:paraId="209D9CF9" w14:textId="77777777" w:rsidR="00B81226" w:rsidRDefault="00B82AC2">
            <w:pPr>
              <w:pStyle w:val="P68B1DB1-Normal91"/>
            </w:pPr>
            <w:r>
              <w:t>VIBERI</w:t>
            </w:r>
          </w:p>
        </w:tc>
      </w:tr>
      <w:tr w:rsidR="00B81226" w14:paraId="3CBF4EA3" w14:textId="77777777">
        <w:trPr>
          <w:trHeight w:val="300"/>
        </w:trPr>
        <w:tc>
          <w:tcPr>
            <w:tcW w:w="9072" w:type="dxa"/>
            <w:tcBorders>
              <w:top w:val="nil"/>
              <w:left w:val="nil"/>
              <w:bottom w:val="nil"/>
              <w:right w:val="nil"/>
            </w:tcBorders>
            <w:noWrap/>
            <w:vAlign w:val="bottom"/>
            <w:hideMark/>
          </w:tcPr>
          <w:p w14:paraId="49A43CDA" w14:textId="77777777" w:rsidR="00B81226" w:rsidRDefault="00B82AC2">
            <w:pPr>
              <w:pStyle w:val="P68B1DB1-Normal91"/>
            </w:pPr>
            <w:r>
              <w:t>VP Lux</w:t>
            </w:r>
          </w:p>
        </w:tc>
      </w:tr>
      <w:tr w:rsidR="00B81226" w14:paraId="20C89571" w14:textId="77777777">
        <w:trPr>
          <w:trHeight w:val="300"/>
        </w:trPr>
        <w:tc>
          <w:tcPr>
            <w:tcW w:w="9072" w:type="dxa"/>
            <w:tcBorders>
              <w:top w:val="nil"/>
              <w:left w:val="nil"/>
              <w:bottom w:val="nil"/>
              <w:right w:val="nil"/>
            </w:tcBorders>
            <w:noWrap/>
            <w:vAlign w:val="bottom"/>
            <w:hideMark/>
          </w:tcPr>
          <w:p w14:paraId="12389C15" w14:textId="77777777" w:rsidR="00B81226" w:rsidRDefault="00B82AC2">
            <w:pPr>
              <w:pStyle w:val="P68B1DB1-Normal91"/>
            </w:pPr>
            <w:r>
              <w:t>VP Securities R/J</w:t>
            </w:r>
          </w:p>
        </w:tc>
      </w:tr>
    </w:tbl>
    <w:p w14:paraId="1E4D7216" w14:textId="77777777" w:rsidR="00B81226" w:rsidRDefault="00B81226">
      <w:pPr>
        <w:pStyle w:val="body"/>
        <w:rPr>
          <w:rFonts w:ascii="Times New Roman" w:hAnsi="Times New Roman" w:cs="Times New Roman"/>
          <w:sz w:val="20"/>
          <w:szCs w:val="20"/>
        </w:rPr>
      </w:pPr>
    </w:p>
    <w:sectPr w:rsidR="00B81226">
      <w:headerReference w:type="even" r:id="rId16"/>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2DC5" w14:textId="77777777" w:rsidR="00B81226" w:rsidRDefault="00B82AC2">
      <w:r>
        <w:separator/>
      </w:r>
    </w:p>
  </w:endnote>
  <w:endnote w:type="continuationSeparator" w:id="0">
    <w:p w14:paraId="6597FB1C" w14:textId="77777777" w:rsidR="00B81226" w:rsidRDefault="00B82AC2">
      <w:r>
        <w:continuationSeparator/>
      </w:r>
    </w:p>
  </w:endnote>
  <w:endnote w:type="continuationNotice" w:id="1">
    <w:p w14:paraId="3A49FE7B" w14:textId="77777777" w:rsidR="00B81226" w:rsidRDefault="00B812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105955"/>
      <w:docPartObj>
        <w:docPartGallery w:val="Page Numbers (Bottom of Page)"/>
        <w:docPartUnique/>
      </w:docPartObj>
    </w:sdtPr>
    <w:sdtEndPr>
      <w:rPr>
        <w:noProof/>
      </w:rPr>
    </w:sdtEndPr>
    <w:sdtContent>
      <w:p w14:paraId="7FE1D24E" w14:textId="77777777" w:rsidR="00B81226" w:rsidRDefault="00B82AC2">
        <w:pPr>
          <w:pStyle w:val="body"/>
          <w:jc w:val="right"/>
        </w:pPr>
        <w:r>
          <w:fldChar w:fldCharType="begin"/>
        </w:r>
        <w:r>
          <w:instrText xml:space="preserve"> PAGE   \* MERGEFORMAT </w:instrText>
        </w:r>
        <w:r>
          <w:fldChar w:fldCharType="separate"/>
        </w:r>
        <w:r>
          <w:t>8</w:t>
        </w:r>
        <w:r>
          <w:t>9</w:t>
        </w:r>
        <w:r>
          <w:fldChar w:fldCharType="end"/>
        </w:r>
      </w:p>
    </w:sdtContent>
  </w:sdt>
  <w:p w14:paraId="7FE1D24F" w14:textId="77777777" w:rsidR="00B81226" w:rsidRDefault="00B812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ADD" w14:textId="740A5FB6" w:rsidR="00B81226" w:rsidRDefault="00B82AC2">
    <w:pPr>
      <w:pStyle w:val="Footer"/>
    </w:pPr>
    <w:r>
      <w:rPr>
        <w:noProof/>
      </w:rPr>
      <w:drawing>
        <wp:anchor distT="0" distB="0" distL="114300" distR="114300" simplePos="0" relativeHeight="251659266" behindDoc="0" locked="0" layoutInCell="1" allowOverlap="1" wp14:anchorId="7D4B7297" wp14:editId="3C7A4C7A">
          <wp:simplePos x="0" y="0"/>
          <wp:positionH relativeFrom="margin">
            <wp:align>left</wp:align>
          </wp:positionH>
          <wp:positionV relativeFrom="paragraph">
            <wp:posOffset>-89067</wp:posOffset>
          </wp:positionV>
          <wp:extent cx="5587466" cy="351322"/>
          <wp:effectExtent l="0" t="0" r="13335" b="10795"/>
          <wp:wrapNone/>
          <wp:docPr id="978482222" name="Tekstikenttä 5"/>
          <wp:cNvGraphicFramePr/>
          <a:graphic xmlns:a="http://schemas.openxmlformats.org/drawingml/2006/main">
            <a:graphicData uri="http://schemas.microsoft.com/office/word/2010/wordprocessingShape">
              <wps:wsp>
                <wps:cNvSpPr txBox="1"/>
                <wps:spPr>
                  <a:xfrm>
                    <a:off x="0" y="0"/>
                    <a:ext cx="5587466" cy="351322"/>
                  </a:xfrm>
                  <a:prstGeom prst="rect">
                    <a:avLst/>
                  </a:prstGeom>
                  <a:solidFill>
                    <a:schemeClr val="lt1"/>
                  </a:solidFill>
                  <a:ln w="6350">
                    <a:solidFill>
                      <a:prstClr val="black"/>
                    </a:solidFill>
                  </a:ln>
                </wps:spPr>
                <wps:txbx>
                  <w:txbxContent>
                    <w:p w14:paraId="59008DEE" w14:textId="3CBD8109" w:rsidR="00B81226" w:rsidRDefault="00B82AC2">
                      <w:pPr>
                        <w:pStyle w:val="P68B1DB1-Normal92"/>
                        <w:rPr>
                          <w:bCs/>
                        </w:rPr>
                      </w:pPr>
                      <w:r>
                        <w:t>Ohjeet laadittiin alun perin englanniksi. Ne käännetään muille EU:n virallisille kielille eTranslation-palvelulla, joka on Euroopan komission konekäännöspalvelu parhaan kykynsä mukaan.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C608" w14:textId="77777777" w:rsidR="00B81226" w:rsidRDefault="00B82AC2">
      <w:r>
        <w:separator/>
      </w:r>
    </w:p>
  </w:footnote>
  <w:footnote w:type="continuationSeparator" w:id="0">
    <w:p w14:paraId="1BFD6958" w14:textId="77777777" w:rsidR="00B81226" w:rsidRDefault="00B82AC2">
      <w:r>
        <w:continuationSeparator/>
      </w:r>
    </w:p>
  </w:footnote>
  <w:footnote w:type="continuationNotice" w:id="1">
    <w:p w14:paraId="34EA159C" w14:textId="77777777" w:rsidR="00B81226" w:rsidRDefault="00B81226"/>
  </w:footnote>
  <w:footnote w:id="2">
    <w:p w14:paraId="0A3F5404" w14:textId="77777777" w:rsidR="00B81226" w:rsidRDefault="00B82AC2">
      <w:pPr>
        <w:pStyle w:val="FootnoteText"/>
      </w:pPr>
      <w:r>
        <w:rPr>
          <w:rStyle w:val="FootnoteReference"/>
        </w:rPr>
        <w:footnoteRef/>
      </w:r>
      <w:r>
        <w:t xml:space="preserve"> KOMISSIO TÄYTÄNTÖÖNPANAOASETUS (EU) 2024/3117, annettu 29 päivänä marraskuuta 2024, teknisistä täytäntöönpanostandardeista Euroopan parlamentin ja neuvoston asetuksen (EU) N:o 575/2013 soveltamiseksi laitosten vakavaraisuusvalvontaan liittyvän raportoinnin osalta ja komission täytäntöönpanoasetuksen (EU) 2021/451 kumoamisesta (</w:t>
      </w:r>
      <w:r>
        <w:rPr>
          <w:i/>
        </w:rPr>
        <w:t>EUVL L, 2024/3117, 27.12.2024, ELI: </w:t>
      </w:r>
      <w:hyperlink r:id="rId1" w:tgtFrame="_blank" w:tooltip="Gives access to this document through its ELI URI." w:history="1">
        <w:r>
          <w:rPr>
            <w:rStyle w:val="Hyperlink"/>
            <w:i/>
          </w:rPr>
          <w:t>http://data.europa.eu/eli/reg_impl/2024/3117/oj</w:t>
        </w:r>
      </w:hyperlink>
      <w:r>
        <w:t>).</w:t>
      </w:r>
    </w:p>
  </w:footnote>
  <w:footnote w:id="3">
    <w:p w14:paraId="7FE1D258" w14:textId="77777777" w:rsidR="00B81226" w:rsidRDefault="00B82AC2">
      <w:pPr>
        <w:pStyle w:val="FootnoteText"/>
      </w:pPr>
      <w:r>
        <w:rPr>
          <w:rStyle w:val="FootnoteReference"/>
          <w:rFonts w:ascii="Times New Roman" w:hAnsi="Times New Roman"/>
        </w:rPr>
        <w:footnoteRef/>
      </w:r>
      <w:r>
        <w:t xml:space="preserve"> Euroopan parlamentin ja neuvoston asetus (EY) N:o 1606/2002, annettu 19 päivänä heinäkuuta 2002, kansainvälisten tilinpäätösstandardien soveltamisesta (EYVL L 243, 11.9.2002, s. 1).</w:t>
      </w:r>
    </w:p>
  </w:footnote>
  <w:footnote w:id="4">
    <w:p w14:paraId="7FE1D259" w14:textId="77777777" w:rsidR="00B81226" w:rsidRDefault="00B82AC2">
      <w:pPr>
        <w:pStyle w:val="FootnoteText"/>
      </w:pPr>
      <w:r>
        <w:rPr>
          <w:rStyle w:val="FootnoteReference"/>
          <w:rFonts w:ascii="Times New Roman" w:hAnsi="Times New Roman"/>
        </w:rPr>
        <w:footnoteRef/>
      </w:r>
      <w:r>
        <w:t xml:space="preserve"> Euroopan parlamentin ja neuvoston asetus (EY) N:o 1606/2002, annettu 19 päivänä heinäkuuta 2002, kansainvälisten tilinpäätösstandardien soveltamisesta (EYVL L 243, 11.9.2002, s. 1).</w:t>
      </w:r>
    </w:p>
  </w:footnote>
  <w:footnote w:id="5">
    <w:p w14:paraId="7FE1D25A" w14:textId="77777777" w:rsidR="00B81226" w:rsidRDefault="00B82AC2">
      <w:pPr>
        <w:pStyle w:val="FootnoteText"/>
      </w:pPr>
      <w:r>
        <w:rPr>
          <w:rStyle w:val="FootnoteReference"/>
          <w:rFonts w:ascii="Times New Roman" w:hAnsi="Times New Roman"/>
        </w:rPr>
        <w:footnoteRef/>
      </w:r>
      <w:r>
        <w:t xml:space="preserve"> Neuvoston direktiivi 86/635/ETY, annettu 8 päivänä joulukuuta 1986, pankkien ja muiden rahoituslaitosten tilinpäätöksestä ja konsolidoidusta tilinpäätöksestä (EYVL L 372, 31.12.1986, s. 1).</w:t>
      </w:r>
    </w:p>
  </w:footnote>
  <w:footnote w:id="6">
    <w:p w14:paraId="06EB0A65" w14:textId="77777777" w:rsidR="00B81226" w:rsidRDefault="00B82AC2">
      <w:pPr>
        <w:pStyle w:val="FootnoteText"/>
      </w:pPr>
      <w:r>
        <w:rPr>
          <w:rStyle w:val="FootnoteReference"/>
          <w:rFonts w:ascii="Times New Roman" w:hAnsi="Times New Roman"/>
        </w:rPr>
        <w:footnoteRef/>
      </w:r>
      <w:r>
        <w:t xml:space="preserve"> Euroopan parlamentin ja neuvoston asetus (EU) N:o 575/2013, annettu 26 päivänä kesäkuuta 2013, luottolaitosten ja sijoituspalveluyritysten vakavaraisuusvaatimuksista ja asetuksen (EU) N:o 648/2012 muuttamisesta (EUVL L 176, 27.6.2013, s. 1).</w:t>
      </w:r>
    </w:p>
  </w:footnote>
  <w:footnote w:id="7">
    <w:p w14:paraId="7FE1D25C" w14:textId="77777777" w:rsidR="00B81226" w:rsidRDefault="00B82AC2">
      <w:pPr>
        <w:pStyle w:val="FootnoteText"/>
      </w:pPr>
      <w:r>
        <w:rPr>
          <w:rStyle w:val="FootnoteReference"/>
        </w:rPr>
        <w:footnoteRef/>
      </w:r>
      <w:r>
        <w:t xml:space="preserve"> Euroopan parlamentin ja neuvoston direktiivi 2013/36/EU, annettu 26 päivänä kesäkuuta 2013, oikeudesta harjoittaa luottolaitostoimintaa ja luottolaitosten ja sijoituspalveluyritysten vakavaraisuusvalvonnasta, direktiivin 2002/87/EY muuttamisesta sekä direktiivien 2006/48/EY ja 2006/49/EY kumoamisesta (EUVL L 176, 27.6.2013, s. 338).</w:t>
      </w:r>
    </w:p>
  </w:footnote>
  <w:footnote w:id="8">
    <w:p w14:paraId="7FE1D25D" w14:textId="77777777" w:rsidR="00B81226" w:rsidRDefault="00B82AC2">
      <w:pPr>
        <w:pStyle w:val="FootnoteText"/>
      </w:pPr>
      <w:r>
        <w:rPr>
          <w:rStyle w:val="FootnoteReference"/>
        </w:rPr>
        <w:footnoteRef/>
      </w:r>
      <w:r>
        <w:t xml:space="preserve"> Euroopan parlamentin ja neuvoston asetus (EU) 2019/2033, annettu 27 päivänä marraskuuta 2019, sijoituspalveluyritysten vakavaraisuusvaatimuksista sekä asetusten (EU) N:o 1093/2010, (EU) N:o 575/2013, (EU) N:o 600/2014 ja (EU) N:o 806/2014 muuttamisesta (EUVL L 314, 5.12.2019, s. 1).</w:t>
      </w:r>
    </w:p>
  </w:footnote>
  <w:footnote w:id="9">
    <w:p w14:paraId="7FE1D25E" w14:textId="77777777" w:rsidR="00B81226" w:rsidRDefault="00B82AC2">
      <w:pPr>
        <w:pStyle w:val="FootnoteText"/>
      </w:pPr>
      <w:r>
        <w:rPr>
          <w:rStyle w:val="FootnoteReference"/>
        </w:rPr>
        <w:footnoteRef/>
      </w:r>
      <w:r>
        <w:t xml:space="preserve"> Euroopan parlamentin ja neuvoston direktiivi (EU) 2019/2034, annettu 27 päivänä marraskuuta 2019, sijoituspalveluyritysten vakavaraisuusvalvonnasta ja direktiivien 2002/87/EY, 2009/65/EY, 2011/61/EU, 2013/36/EU, 2014/59/EU ja 2014/65/EU muuttamisesta (EUVL L 314, 5.12.2019, s. 64)</w:t>
      </w:r>
    </w:p>
  </w:footnote>
  <w:footnote w:id="10">
    <w:p w14:paraId="7FE1D25F" w14:textId="77777777" w:rsidR="00B81226" w:rsidRDefault="00B82AC2">
      <w:pPr>
        <w:pStyle w:val="FootnoteText"/>
      </w:pPr>
      <w:r>
        <w:rPr>
          <w:rStyle w:val="FootnoteReference"/>
          <w:rFonts w:ascii="Times New Roman" w:hAnsi="Times New Roman"/>
        </w:rPr>
        <w:footnoteRef/>
      </w:r>
      <w:r>
        <w:t xml:space="preserve"> Euroopan parlamentin ja neuvoston direktiivi 2009/138/EY, annettu 25 päivänä marraskuuta 2009, vakuutus- ja jälleenvakuutustoiminnan aloittamisesta ja harjoittamisesta (Solvenssi II) (ETA:n kannalta merkityksellinen teksti) (EUVL L 335, 17.12.2009, s. 1).</w:t>
      </w:r>
    </w:p>
  </w:footnote>
  <w:footnote w:id="11">
    <w:p w14:paraId="7FE1D260" w14:textId="2ADC4F18" w:rsidR="00B81226" w:rsidRDefault="00B82AC2">
      <w:pPr>
        <w:pStyle w:val="FootnoteText"/>
      </w:pPr>
      <w:r>
        <w:rPr>
          <w:rStyle w:val="FootnoteReference"/>
          <w:rFonts w:ascii="Times New Roman" w:hAnsi="Times New Roman"/>
        </w:rPr>
        <w:footnoteRef/>
      </w:r>
      <w:r>
        <w:t xml:space="preserve"> Euroopan keskuspankin asetus (EU) 2021/379 rahalaitossektorin taseesta (EUVL L 297 7.11.2013, s. 1).</w:t>
      </w:r>
    </w:p>
  </w:footnote>
  <w:footnote w:id="12">
    <w:p w14:paraId="7FE1D261" w14:textId="77777777" w:rsidR="00B81226" w:rsidRDefault="00B82AC2">
      <w:pPr>
        <w:pStyle w:val="FootnoteText"/>
      </w:pPr>
      <w:r>
        <w:rPr>
          <w:rStyle w:val="FootnoteReference"/>
          <w:rFonts w:ascii="Times New Roman" w:hAnsi="Times New Roman"/>
        </w:rPr>
        <w:footnoteRef/>
      </w:r>
      <w:r>
        <w:t xml:space="preserve"> Komission suositus, annettu 6 päivänä toukokuuta 2003, mikroyritysten sekä pienten ja keskisuurten yritysten määritelmästä (tiedoksiannettu numerolla K(2003) 1422) (EUVL L 124, 20.5.2003, s. 36).</w:t>
      </w:r>
    </w:p>
  </w:footnote>
  <w:footnote w:id="13">
    <w:p w14:paraId="74BC1C09" w14:textId="2C5E1052" w:rsidR="00B81226" w:rsidRDefault="00B82AC2">
      <w:pPr>
        <w:pStyle w:val="FootnoteText"/>
      </w:pPr>
      <w:r>
        <w:rPr>
          <w:rStyle w:val="FootnoteReference"/>
        </w:rPr>
        <w:footnoteRef/>
      </w:r>
      <w:r>
        <w:t xml:space="preserve"> Euroopan parlamentin ja neuvoston direktiivi 2014/65/EU, annettu 15 päivänä toukokuuta 2014, rahoitusvälineiden markkinoista </w:t>
      </w:r>
      <w:r>
        <w:rPr>
          <w:rFonts w:hint="eastAsia"/>
        </w:rPr>
        <w:t>(EUVL L 173, 12.6.2014, s. 349)</w:t>
      </w:r>
      <w:r>
        <w:t>.</w:t>
      </w:r>
    </w:p>
  </w:footnote>
  <w:footnote w:id="14">
    <w:p w14:paraId="7FE1D263" w14:textId="77777777" w:rsidR="00B81226" w:rsidRDefault="00B82AC2">
      <w:pPr>
        <w:pStyle w:val="FootnoteText"/>
      </w:pPr>
      <w:r>
        <w:rPr>
          <w:rStyle w:val="FootnoteReference"/>
        </w:rPr>
        <w:footnoteRef/>
      </w:r>
      <w:r>
        <w:t xml:space="preserve"> Euroopan parlamentin ja neuvoston direktiivi 2014/59/EU, annettu 15 päivänä toukokuuta 2014, luottolaitosten ja sijoituspalveluyritysten elvytys- ja kriisinratkaisukehyksestä sekä neuvoston direktiivin 82/891/ETY, Euroopan parlamentin ja neuvoston direktiivien 2001/24/EY, 2002/47/EY, 2004/25/EY, 2005/56/EY, 2007/36/EY, 2011/35/EU, 2012/30/EU ja 2013/36/EU ja asetusten (EU) N:o 1093/2010 ja (EU) N:o 648/2012 muuttamisesta (EUVL L 173, 12.6.2014, s. 190).</w:t>
      </w:r>
    </w:p>
  </w:footnote>
  <w:footnote w:id="15">
    <w:p w14:paraId="7FE1D264" w14:textId="77777777" w:rsidR="00B81226" w:rsidRDefault="00B82AC2">
      <w:pPr>
        <w:pStyle w:val="FootnoteText"/>
      </w:pPr>
      <w:r>
        <w:rPr>
          <w:rStyle w:val="FootnoteReference"/>
        </w:rPr>
        <w:footnoteRef/>
      </w:r>
      <w:r>
        <w:t xml:space="preserve"> Euroopan parlamentin ja neuvoston direktiivi 2014/49/EU, annettu 16 päivänä huhtikuuta 2014, talletusten vakuusjärjestelmistä (EUVL L 173, 12.6.2014, s. 149).</w:t>
      </w:r>
    </w:p>
  </w:footnote>
  <w:footnote w:id="16">
    <w:p w14:paraId="7FE1D267" w14:textId="77777777" w:rsidR="00B81226" w:rsidRDefault="00B82AC2">
      <w:pPr>
        <w:pStyle w:val="FootnoteText"/>
      </w:pPr>
      <w:r>
        <w:rPr>
          <w:rStyle w:val="FootnoteReference"/>
        </w:rPr>
        <w:footnoteRef/>
      </w:r>
      <w:r>
        <w:t xml:space="preserve"> Komission delegoitu asetus (EU) 2016/1401, annettu 23 päivänä toukokuuta 2016, luottolaitosten ja sijoituspalveluyritysten elvytys- ja kriisinratkaisukehyksestä annetun Euroopan parlamentin ja neuvoston direktiivin 2014/59/EU täydentämisestä johdannaisista aiheutuvien velkojen arvostukseen sovellettavia menetelmiä ja periaatteita koskevilla teknisillä sääntelystandardeilla (EUVL L 228, 23.8.2016, s. 7).</w:t>
      </w:r>
    </w:p>
  </w:footnote>
  <w:footnote w:id="17">
    <w:p w14:paraId="7FE1D268" w14:textId="77777777" w:rsidR="00B81226" w:rsidRDefault="00B82AC2">
      <w:pPr>
        <w:pStyle w:val="FootnoteText"/>
      </w:pPr>
      <w:r>
        <w:rPr>
          <w:rStyle w:val="FootnoteReference"/>
        </w:rPr>
        <w:footnoteRef/>
      </w:r>
      <w:r>
        <w:t xml:space="preserve"> Direktiivin 2013/36/EU 129 artiklassa säädetty pääomapuskurin taso;</w:t>
      </w:r>
    </w:p>
  </w:footnote>
  <w:footnote w:id="18">
    <w:p w14:paraId="7FE1D269" w14:textId="77777777" w:rsidR="00B81226" w:rsidRDefault="00B82AC2">
      <w:pPr>
        <w:pStyle w:val="FootnoteText"/>
      </w:pPr>
      <w:r>
        <w:rPr>
          <w:rStyle w:val="FootnoteReference"/>
        </w:rPr>
        <w:footnoteRef/>
      </w:r>
      <w:r>
        <w:t xml:space="preserve"> Komission delegoitu asetus (EU) 2016/778, annettu 2 päivänä helmikuuta 2016, Euroopan parlamentin ja neuvoston direktiivin 2014/59/EU täydentämisestä niiden olosuhteiden ja edellytysten määrittelemiseksi, joiden täyttyessä ylimääräisen rahoitusosuuden suorittamista jälkikäteen voidaan lykätä kokonaan tai osittain, ja perusteista, joiden mukaisesti määritetään kriittisten toimintojen sisältämä toiminta, palvelut ja toiminnot sekä ydinliiketoiminta-alueisiin sisältyvät liiketoiminta-alueet ja niihin liittyvä</w:t>
      </w:r>
      <w:r>
        <w:t>t palvelut (EUVL L 131, 20.5.2016, s. 41)</w:t>
      </w:r>
    </w:p>
  </w:footnote>
  <w:footnote w:id="19">
    <w:p w14:paraId="7FE1D26D" w14:textId="77777777" w:rsidR="00B81226" w:rsidRDefault="00B82AC2">
      <w:pPr>
        <w:pStyle w:val="FootnoteText"/>
      </w:pPr>
      <w:r>
        <w:rPr>
          <w:rStyle w:val="FootnoteReference"/>
        </w:rPr>
        <w:footnoteRef/>
      </w:r>
      <w:r>
        <w:t xml:space="preserve"> Euroopan parlamentin ja neuvoston direktiivi (EU) 2015/2366, annettu 25 päivänä marraskuuta 2015, maksupalveluista sisämarkkinoilla, direktiivien 2002/65/EY, 2009/110/EY ja 2013/36/EU ja asetuksen (EU) N:o 1093/2010 muuttamisesta sekä direktiivin 2007/64/EY kumoamisesta (EUVL L 337, 23.12.2015, s. 35).</w:t>
      </w:r>
    </w:p>
  </w:footnote>
  <w:footnote w:id="20">
    <w:p w14:paraId="7FE1D26E" w14:textId="77777777" w:rsidR="00B81226" w:rsidRDefault="00B82AC2">
      <w:pPr>
        <w:pStyle w:val="FootnoteText"/>
      </w:pPr>
      <w:r>
        <w:rPr>
          <w:rStyle w:val="FootnoteReference"/>
        </w:rPr>
        <w:footnoteRef/>
      </w:r>
      <w:r>
        <w:t xml:space="preserve"> Euroopan parlamentin ja neuvoston asetus (EU) N:o 648/2012, annettu 4 päivänä heinäkuuta 2012, OTC-johdannaisista, keskusvastapuolista ja kauppatietorekistereistä (EUVL L 201, 27.7.2012, s. 1).</w:t>
      </w:r>
    </w:p>
  </w:footnote>
  <w:footnote w:id="21">
    <w:p w14:paraId="4F37B111" w14:textId="77777777" w:rsidR="00B81226" w:rsidRDefault="00B82AC2">
      <w:pPr>
        <w:pStyle w:val="FootnoteText"/>
      </w:pPr>
      <w:r>
        <w:rPr>
          <w:rStyle w:val="FootnoteReference"/>
        </w:rPr>
        <w:footnoteRef/>
      </w:r>
      <w:r>
        <w:t xml:space="preserve"> Artikkelassa 1(2) Euroopan Keskuspankin 26. maaliskuuta 2021 antamassa asetuksessa (EU) 2021/835 kumotaan asetus ECB/2014/15 rahapolitiikasta ja rahoitusstatistiikasta (EKP/2021/16). Viittauksia kumottuihin suuntaviivoihin pidetään viittauksina suuntaviivoihin (EU) 2021/830 (EKP/2021/11), suuntaviivoihin (EU) 2021/831 (EKP/2021/12), suuntaviivoihin (EU) 2021/833 (EKP/2021/14), suuntaviivoihin (EU) 2021/832 (EKP/2021/13) ja suuntaviivoihin (EU) 2021/834 (EKP/2021/15) soveltuvin os</w:t>
      </w:r>
    </w:p>
    <w:p w14:paraId="2690BEDB" w14:textId="77777777" w:rsidR="00B81226" w:rsidRDefault="00B81226">
      <w:pPr>
        <w:pStyle w:val="FootnoteText"/>
      </w:pPr>
    </w:p>
  </w:footnote>
  <w:footnote w:id="22">
    <w:p w14:paraId="7FE1D272" w14:textId="77777777" w:rsidR="00B81226" w:rsidRDefault="00B82AC2">
      <w:pPr>
        <w:pStyle w:val="FootnoteText"/>
      </w:pPr>
      <w:r>
        <w:footnoteRef/>
      </w:r>
      <w:r>
        <w:t xml:space="preserve"> Sellaisina kuin ne on määritelty purkamismahdollisuuksia koskevien EPV:n ohjeiden 13 kohdassa.</w:t>
      </w:r>
    </w:p>
  </w:footnote>
  <w:footnote w:id="23">
    <w:p w14:paraId="7FE1D273" w14:textId="60D312AD" w:rsidR="00B81226" w:rsidRDefault="00B82AC2">
      <w:pPr>
        <w:pStyle w:val="FootnoteText"/>
      </w:pPr>
      <w:r>
        <w:rPr>
          <w:rStyle w:val="FootnoteReference"/>
          <w:rFonts w:ascii="Verdana" w:hAnsi="Verdana"/>
          <w:sz w:val="16"/>
          <w:szCs w:val="16"/>
        </w:rPr>
        <w:footnoteRef/>
      </w:r>
      <w:r>
        <w:t xml:space="preserve"> Komission delegoitu asetus (EU) 2016/778, 6 artikla ja johdanto-osan 8 kappale.</w:t>
      </w:r>
    </w:p>
  </w:footnote>
  <w:footnote w:id="24">
    <w:p w14:paraId="7FE1D274" w14:textId="1C805137" w:rsidR="00B81226" w:rsidRDefault="00B82AC2">
      <w:pPr>
        <w:pStyle w:val="FootnoteText"/>
      </w:pPr>
      <w:r>
        <w:rPr>
          <w:rStyle w:val="FootnoteReference"/>
          <w:rFonts w:ascii="Verdana" w:hAnsi="Verdana"/>
          <w:sz w:val="16"/>
          <w:szCs w:val="16"/>
        </w:rPr>
        <w:footnoteRef/>
      </w:r>
      <w:r>
        <w:t xml:space="preserve"> Komission delegoitu asetus (EU) 2016/778, 7 artikla. </w:t>
      </w:r>
    </w:p>
  </w:footnote>
  <w:footnote w:id="25">
    <w:p w14:paraId="7FE1D275" w14:textId="77777777" w:rsidR="00B81226" w:rsidRDefault="00B82AC2">
      <w:pPr>
        <w:pStyle w:val="FootnoteText"/>
      </w:pPr>
      <w:r>
        <w:t xml:space="preserve">Keskeisten palvelujen </w:t>
      </w:r>
      <w:r>
        <w:footnoteRef/>
      </w:r>
      <w:r>
        <w:t xml:space="preserve"> jatkuvuus voi olla tarpeen muiden kriisinratkaisutavoitteiden saavuttamiseksi kuin kriittisten toimintojen ylläpitämiseksi (esim. rahoitusvakaus varmistamalla kriisinratkaisun jälkeisen yhteisön elinkelpoisuus). </w:t>
      </w:r>
    </w:p>
    <w:p w14:paraId="7FE1D276" w14:textId="77777777" w:rsidR="00B81226" w:rsidRDefault="00B81226">
      <w:pPr>
        <w:pStyle w:val="FootnoteText"/>
      </w:pPr>
    </w:p>
  </w:footnote>
  <w:footnote w:id="26">
    <w:p w14:paraId="7FE1D27C" w14:textId="77777777" w:rsidR="00B81226" w:rsidRDefault="00B82AC2">
      <w:pPr>
        <w:pStyle w:val="FootnoteText"/>
        <w:rPr>
          <w:rFonts w:ascii="Segoe UI" w:hAnsi="Segoe UI" w:cs="Segoe UI"/>
        </w:rPr>
      </w:pPr>
      <w:r>
        <w:t xml:space="preserve">Pankkien elvytys- ja kriisinratkaisudirektiivin IV osaston VI luvun </w:t>
      </w:r>
      <w:r>
        <w:footnoteRef/>
      </w:r>
      <w:r>
        <w:t xml:space="preserve"> säännöksissä säädetään kriisinratkaisun sietokyvystä erityisesti kriisinratkaisuviranomaisen valtuuksien käytön yhteydessä, lukuun ottamatta liiketoiminnan tervehdyttämissuunnitelmien täytäntöönpanoa.</w:t>
      </w:r>
    </w:p>
  </w:footnote>
  <w:footnote w:id="27">
    <w:p w14:paraId="3F998E2E" w14:textId="7BDE8075" w:rsidR="00B81226" w:rsidRDefault="00B82AC2">
      <w:pPr>
        <w:pStyle w:val="FootnoteText"/>
      </w:pPr>
      <w:r>
        <w:rPr>
          <w:rStyle w:val="FootnoteReference"/>
        </w:rPr>
        <w:footnoteRef/>
      </w:r>
      <w:r>
        <w:t xml:space="preserve"> Euroopan parlamentin ja neuvoston asetus (EU) 2022/2554, annettu 14 päivänä joulukuuta 2022, finanssialan digitaalisesta häiriönsietokyvystä ja asetusten (EY) N:o 1060/2009, (EU) N:o 648/2012, (EU) N:o 600/2014, (EU) N:o 909/2014 ja (EU) 2016/1011 muuttamisesta.</w:t>
      </w:r>
    </w:p>
    <w:p w14:paraId="3A2C28B9" w14:textId="00F04738" w:rsidR="00B81226" w:rsidRDefault="00B81226">
      <w:pPr>
        <w:pStyle w:val="FootnoteText"/>
      </w:pPr>
    </w:p>
  </w:footnote>
  <w:footnote w:id="28">
    <w:p w14:paraId="7FE1D27F" w14:textId="77777777" w:rsidR="00B81226" w:rsidRDefault="00B82AC2">
      <w:pPr>
        <w:pStyle w:val="FootnoteText"/>
        <w:rPr>
          <w:rFonts w:ascii="Segoe UI" w:hAnsi="Segoe UI" w:cs="Segoe UI"/>
        </w:rPr>
      </w:pPr>
      <w:r>
        <w:t xml:space="preserve">Pankkien elvytys- ja kriisinratkaisudirektiivin IV osaston VI luvun </w:t>
      </w:r>
      <w:r>
        <w:footnoteRef/>
      </w:r>
      <w:r>
        <w:t xml:space="preserve"> säännöksissä säädetään kriisinratkaisun sietokyvystä erityisesti kriisinratkaisuviranomaisen valtuuksien käytön yhteydessä, lukuun ottamatta liiketoiminnan tervehdyttämissuunnitelmien täytäntöönpanoa.</w:t>
      </w:r>
    </w:p>
  </w:footnote>
  <w:footnote w:id="29">
    <w:p w14:paraId="7FE1D280" w14:textId="77777777" w:rsidR="00B81226" w:rsidRDefault="00B82AC2">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Vieraan pääoman ehtoiset arvopaperit, osakkeet ja muut arvopaperit, repo.</w:t>
      </w:r>
    </w:p>
  </w:footnote>
  <w:footnote w:id="30">
    <w:p w14:paraId="7FE1D281" w14:textId="77777777" w:rsidR="00B81226" w:rsidRDefault="00B82AC2">
      <w:pPr>
        <w:pStyle w:val="TableParagraph"/>
        <w:spacing w:before="108"/>
        <w:ind w:left="85"/>
        <w:jc w:val="both"/>
      </w:pPr>
      <w:r>
        <w:rPr>
          <w:rStyle w:val="FootnoteReference"/>
        </w:rPr>
        <w:footnoteRef/>
      </w:r>
      <w:r>
        <w:rPr>
          <w:rStyle w:val="FootnoteReference"/>
        </w:rPr>
        <w:t xml:space="preserve"> </w:t>
      </w:r>
      <w:r>
        <w:rPr>
          <w:rFonts w:ascii="Times New Roman" w:eastAsiaTheme="minorEastAsia" w:hAnsi="Times New Roman" w:cs="Times New Roman"/>
          <w:sz w:val="18"/>
          <w:szCs w:val="18"/>
        </w:rPr>
        <w:t>Monenkeskisillä järjestelmillä tai järjestelmillä, joissa useiden kolmansien osapuolten rahoitusvälineitä koskevat osto- ja myynti-intressit voivat olla keskenään vuorovaikutuksessa järjestelmässä. Euroopan talousalueella sijaitsevien järjestelmien osalta tämä määritelmä kattaa säännellyt markkinat, monenkeskiset kaupankäyntijärjestelmät ja organisoidut kaupankäyntijärjestelmät.</w:t>
      </w:r>
    </w:p>
  </w:footnote>
  <w:footnote w:id="31">
    <w:p w14:paraId="7FE1D282" w14:textId="77777777" w:rsidR="00B81226" w:rsidRDefault="00B82AC2">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Vrt. EKP:n maksu- ja markkinasanasto: Suora osallistuja: ”suoralla osallistumisella tarkoitetaan suoraa osallistumista järjestelmään, joka voi suorittaa kaikki järjestelmään kuuluvat toiminnot käyttämättä välittäjää (mukaan lukien erityisesti toimeksiantojen suora tallennus järjestelmään ja maksujen suorittaminen).”; Epäsuora osallistuja: Osallistuminen järjestelmään, jossa suoraa osallistujaa käytetään välittäjänä tiettyjen järjestelmässä sallittujen toimien (erityisesti selvityksen) suorittamiseksi.</w:t>
      </w:r>
    </w:p>
    <w:p w14:paraId="7FE1D283" w14:textId="77777777" w:rsidR="00B81226" w:rsidRDefault="00B81226">
      <w:pPr>
        <w:pStyle w:val="FootnoteText"/>
      </w:pPr>
    </w:p>
  </w:footnote>
  <w:footnote w:id="32">
    <w:p w14:paraId="7FE1D284" w14:textId="77777777" w:rsidR="00B81226" w:rsidRDefault="00B82AC2">
      <w:pPr>
        <w:pStyle w:val="FootnoteText"/>
      </w:pPr>
      <w:r>
        <w:rPr>
          <w:rStyle w:val="FootnoteReference"/>
        </w:rPr>
        <w:footnoteRef/>
      </w:r>
      <w:r>
        <w:t xml:space="preserve"> Kriisinratkaisun sietokyvyn määritelmä tätä kertomusta varten on asiakirjassa Z.08.01, sarake 150.</w:t>
      </w:r>
    </w:p>
  </w:footnote>
  <w:footnote w:id="33">
    <w:p w14:paraId="7FE1D285" w14:textId="50A26E27" w:rsidR="00B81226" w:rsidRDefault="00B82AC2">
      <w:pPr>
        <w:pStyle w:val="FootnoteText"/>
      </w:pPr>
      <w:r>
        <w:rPr>
          <w:rStyle w:val="FootnoteReference"/>
        </w:rPr>
        <w:footnoteRef/>
      </w:r>
      <w:r>
        <w:t xml:space="preserve"> Raportoinnin kannalta merkityksellisten mittareiden osalta ”Card Schemes” rinnastetaan ”maksupalveluihin”; ”NA” rinnastetaan ”arvopaperikeskuksiin”, jos ne käsittelevät arvopapereita, ja ”maksujärjestelmiin”, jos ne käsittelevät käteispalveluja.</w:t>
      </w:r>
    </w:p>
  </w:footnote>
  <w:footnote w:id="34">
    <w:p w14:paraId="7FE1D286" w14:textId="77777777" w:rsidR="00B81226" w:rsidRDefault="00B82AC2">
      <w:pPr>
        <w:pStyle w:val="TableParagraph"/>
        <w:spacing w:before="108"/>
        <w:jc w:val="both"/>
        <w:rPr>
          <w:rFonts w:ascii="Times New Roman" w:eastAsia="Times New Roman" w:hAnsi="Times New Roman" w:cs="Times New Roman"/>
          <w:sz w:val="20"/>
          <w:szCs w:val="20"/>
        </w:rPr>
      </w:pPr>
      <w:r>
        <w:rPr>
          <w:rStyle w:val="FootnoteReference"/>
        </w:rPr>
        <w:footnoteRef/>
      </w:r>
      <w:r>
        <w:t xml:space="preserve"> </w:t>
      </w:r>
      <w:r>
        <w:rPr>
          <w:rFonts w:ascii="Times New Roman" w:eastAsiaTheme="minorEastAsia" w:hAnsi="Times New Roman" w:cs="Times New Roman"/>
          <w:sz w:val="18"/>
          <w:szCs w:val="18"/>
        </w:rPr>
        <w:t>Tässä kertomuksessa tilityyppien merkitystä olisi tulkittava EMIR-asetuksen 39 artiklan 4 ja 5 kohdan mukaisesti. Kannan merkitystä olisi tulkittava EMIR-asetuksen 2 artiklan 3 kohdan, 39 artiklan 4 kohdan ja 39 artiklan 5 kohdan mukaisesti. Asiakastilit: ilmoitetaan vain, jos oikeushenkilö tarjoaa epäsuoran pääsyn rahoitusmarkkinoiden infrastruktuuriin.</w:t>
      </w:r>
    </w:p>
  </w:footnote>
  <w:footnote w:id="35">
    <w:p w14:paraId="7FE1D287" w14:textId="21F2F8F9" w:rsidR="00B81226" w:rsidRDefault="00B82AC2">
      <w:pPr>
        <w:pStyle w:val="FootnoteText"/>
      </w:pPr>
      <w:r>
        <w:rPr>
          <w:rStyle w:val="FootnoteReference"/>
        </w:rPr>
        <w:footnoteRef/>
      </w:r>
      <w:r>
        <w:t xml:space="preserve"> Vrt. EKP:n arvopaperikauppa-, selvitys- ja toimitustilastoja koskevat metodologiset huomautukset.</w:t>
      </w:r>
    </w:p>
  </w:footnote>
  <w:footnote w:id="36">
    <w:p w14:paraId="7FE1D289" w14:textId="77777777" w:rsidR="00B81226" w:rsidRDefault="00B82AC2">
      <w:pPr>
        <w:pStyle w:val="FootnoteText"/>
      </w:pPr>
      <w:r>
        <w:rPr>
          <w:rStyle w:val="FootnoteReference"/>
        </w:rPr>
        <w:footnoteRef/>
      </w:r>
      <w:r>
        <w:t xml:space="preserve"> Tietyt oman pääoman ehtoiset instrumentit, kuten osuustoiminnalliset omistusyhteydet, eivät kuulu arvopapereiden määritelmän piiriin, mutta ne olisi silti ilmoitettava tässä.</w:t>
      </w:r>
    </w:p>
  </w:footnote>
  <w:footnote w:id="37">
    <w:p w14:paraId="4A19D249" w14:textId="77777777" w:rsidR="00B81226" w:rsidRDefault="00B82AC2">
      <w:pPr>
        <w:pStyle w:val="FootnoteText"/>
        <w:rPr>
          <w:rFonts w:ascii="Verdana" w:hAnsi="Verdana"/>
        </w:rPr>
      </w:pPr>
      <w:r>
        <w:rPr>
          <w:rStyle w:val="FootnoteReference"/>
          <w:rFonts w:ascii="Verdana" w:hAnsi="Verdana"/>
          <w:sz w:val="16"/>
        </w:rPr>
        <w:footnoteRef/>
      </w:r>
      <w:r>
        <w:rPr>
          <w:rFonts w:ascii="Verdana" w:hAnsi="Verdana"/>
          <w:sz w:val="16"/>
        </w:rPr>
        <w:t xml:space="preserve"> Euronext Clearing on Cassa Compensazione e Garanzian (CC&amp;G) uusi toiminimi.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B" w14:textId="77777777" w:rsidR="00B81226" w:rsidRDefault="00B82AC2">
    <w:pPr>
      <w:pStyle w:val="Header"/>
    </w:pPr>
    <w:r>
      <w:rPr>
        <w:noProof/>
      </w:rPr>
      <w:drawing>
        <wp:anchor distT="0" distB="0" distL="0" distR="0" simplePos="0" relativeHeight="251658241" behindDoc="0" locked="0" layoutInCell="1" allowOverlap="1" wp14:anchorId="7FE1D251" wp14:editId="7FE1D252">
          <wp:simplePos x="635" y="635"/>
          <wp:positionH relativeFrom="leftMargin">
            <wp:align>left</wp:align>
          </wp:positionH>
          <wp:positionV relativeFrom="paragraph">
            <wp:posOffset>635</wp:posOffset>
          </wp:positionV>
          <wp:extent cx="443865" cy="443865"/>
          <wp:effectExtent l="0" t="0" r="3175" b="4445"/>
          <wp:wrapSquare wrapText="bothSides"/>
          <wp:docPr id="2" name="Tekstiruutu 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A" w14:textId="77777777" w:rsidR="00B81226" w:rsidRDefault="00B82AC2">
                      <w:pPr>
                        <w:pStyle w:val="P68B1DB1-Normal93"/>
                      </w:pPr>
                      <w:r>
                        <w:t>EPV – Normaaliin käyttöön</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C" w14:textId="77777777" w:rsidR="00B81226" w:rsidRDefault="00B82AC2">
    <w:pPr>
      <w:pStyle w:val="P68B1DB1-Header94"/>
      <w:jc w:val="center"/>
    </w:pPr>
    <w:r>
      <w:rPr>
        <w:noProof/>
      </w:rPr>
      <w:drawing>
        <wp:anchor distT="0" distB="0" distL="0" distR="0" simplePos="0" relativeHeight="251658242" behindDoc="0" locked="0" layoutInCell="1" allowOverlap="1" wp14:anchorId="7FE1D253" wp14:editId="7FE1D254">
          <wp:simplePos x="914400" y="447675"/>
          <wp:positionH relativeFrom="leftMargin">
            <wp:align>left</wp:align>
          </wp:positionH>
          <wp:positionV relativeFrom="paragraph">
            <wp:posOffset>635</wp:posOffset>
          </wp:positionV>
          <wp:extent cx="443865" cy="443865"/>
          <wp:effectExtent l="0" t="0" r="3175" b="4445"/>
          <wp:wrapSquare wrapText="bothSides"/>
          <wp:docPr id="3" name="Tekstikenttä 3"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B" w14:textId="43485C18" w:rsidR="00B81226" w:rsidRDefault="00B81226">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w:r>
    <w:r>
      <w:t>EN</w:t>
    </w:r>
  </w:p>
  <w:p w14:paraId="7FE1D24D" w14:textId="77777777" w:rsidR="00B81226" w:rsidRDefault="00B82AC2">
    <w:pPr>
      <w:pStyle w:val="P68B1DB1-Header94"/>
      <w:jc w:val="center"/>
    </w:pPr>
    <w:r>
      <w:t>”LIITE 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50" w14:textId="77777777" w:rsidR="00B81226" w:rsidRDefault="00B82AC2">
    <w:pPr>
      <w:pStyle w:val="Header"/>
    </w:pPr>
    <w:r>
      <w:rPr>
        <w:noProof/>
      </w:rPr>
      <w:drawing>
        <wp:anchor distT="0" distB="0" distL="0" distR="0" simplePos="0" relativeHeight="251658240" behindDoc="0" locked="0" layoutInCell="1" allowOverlap="1" wp14:anchorId="7FE1D255" wp14:editId="7FE1D256">
          <wp:simplePos x="635" y="635"/>
          <wp:positionH relativeFrom="leftMargin">
            <wp:align>left</wp:align>
          </wp:positionH>
          <wp:positionV relativeFrom="paragraph">
            <wp:posOffset>635</wp:posOffset>
          </wp:positionV>
          <wp:extent cx="443865" cy="443865"/>
          <wp:effectExtent l="0" t="0" r="3175" b="4445"/>
          <wp:wrapSquare wrapText="bothSides"/>
          <wp:docPr id="1" name="Tekstikenttä 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C" w14:textId="15FD35FB" w:rsidR="00B81226" w:rsidRDefault="00B81226">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067A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C50DE"/>
    <w:multiLevelType w:val="hybridMultilevel"/>
    <w:tmpl w:val="FFFFFFFF"/>
    <w:lvl w:ilvl="0" w:tplc="34341322">
      <w:start w:val="1"/>
      <w:numFmt w:val="bullet"/>
      <w:lvlText w:val="·"/>
      <w:lvlJc w:val="left"/>
      <w:pPr>
        <w:ind w:left="720" w:hanging="360"/>
      </w:pPr>
      <w:rPr>
        <w:rFonts w:ascii="Symbol" w:hAnsi="Symbol" w:hint="default"/>
      </w:rPr>
    </w:lvl>
    <w:lvl w:ilvl="1" w:tplc="74E4A804">
      <w:start w:val="1"/>
      <w:numFmt w:val="decimal"/>
      <w:lvlText w:val="%2."/>
      <w:lvlJc w:val="left"/>
      <w:pPr>
        <w:ind w:left="1440" w:hanging="360"/>
      </w:pPr>
      <w:rPr>
        <w:rFonts w:hint="default"/>
      </w:rPr>
    </w:lvl>
    <w:lvl w:ilvl="2" w:tplc="40649D5A">
      <w:start w:val="1"/>
      <w:numFmt w:val="bullet"/>
      <w:lvlText w:val=""/>
      <w:lvlJc w:val="left"/>
      <w:pPr>
        <w:ind w:left="2160" w:hanging="360"/>
      </w:pPr>
      <w:rPr>
        <w:rFonts w:ascii="Wingdings" w:hAnsi="Wingdings" w:hint="default"/>
      </w:rPr>
    </w:lvl>
    <w:lvl w:ilvl="3" w:tplc="00287E08">
      <w:start w:val="1"/>
      <w:numFmt w:val="bullet"/>
      <w:lvlText w:val=""/>
      <w:lvlJc w:val="left"/>
      <w:pPr>
        <w:ind w:left="2880" w:hanging="360"/>
      </w:pPr>
      <w:rPr>
        <w:rFonts w:ascii="Symbol" w:hAnsi="Symbol" w:hint="default"/>
      </w:rPr>
    </w:lvl>
    <w:lvl w:ilvl="4" w:tplc="5F280878">
      <w:start w:val="1"/>
      <w:numFmt w:val="bullet"/>
      <w:lvlText w:val="o"/>
      <w:lvlJc w:val="left"/>
      <w:pPr>
        <w:ind w:left="3600" w:hanging="360"/>
      </w:pPr>
      <w:rPr>
        <w:rFonts w:ascii="Courier New" w:hAnsi="Courier New" w:hint="default"/>
      </w:rPr>
    </w:lvl>
    <w:lvl w:ilvl="5" w:tplc="396C2F7A">
      <w:start w:val="1"/>
      <w:numFmt w:val="bullet"/>
      <w:lvlText w:val=""/>
      <w:lvlJc w:val="left"/>
      <w:pPr>
        <w:ind w:left="4320" w:hanging="360"/>
      </w:pPr>
      <w:rPr>
        <w:rFonts w:ascii="Wingdings" w:hAnsi="Wingdings" w:hint="default"/>
      </w:rPr>
    </w:lvl>
    <w:lvl w:ilvl="6" w:tplc="CA969B6A">
      <w:start w:val="1"/>
      <w:numFmt w:val="bullet"/>
      <w:lvlText w:val=""/>
      <w:lvlJc w:val="left"/>
      <w:pPr>
        <w:ind w:left="5040" w:hanging="360"/>
      </w:pPr>
      <w:rPr>
        <w:rFonts w:ascii="Symbol" w:hAnsi="Symbol" w:hint="default"/>
      </w:rPr>
    </w:lvl>
    <w:lvl w:ilvl="7" w:tplc="B854FFFA">
      <w:start w:val="1"/>
      <w:numFmt w:val="bullet"/>
      <w:lvlText w:val="o"/>
      <w:lvlJc w:val="left"/>
      <w:pPr>
        <w:ind w:left="5760" w:hanging="360"/>
      </w:pPr>
      <w:rPr>
        <w:rFonts w:ascii="Courier New" w:hAnsi="Courier New" w:hint="default"/>
      </w:rPr>
    </w:lvl>
    <w:lvl w:ilvl="8" w:tplc="E5707972">
      <w:start w:val="1"/>
      <w:numFmt w:val="bullet"/>
      <w:lvlText w:val=""/>
      <w:lvlJc w:val="left"/>
      <w:pPr>
        <w:ind w:left="6480" w:hanging="360"/>
      </w:pPr>
      <w:rPr>
        <w:rFonts w:ascii="Wingdings" w:hAnsi="Wingdings" w:hint="default"/>
      </w:rPr>
    </w:lvl>
  </w:abstractNum>
  <w:abstractNum w:abstractNumId="2" w15:restartNumberingAfterBreak="0">
    <w:nsid w:val="005C0289"/>
    <w:multiLevelType w:val="hybridMultilevel"/>
    <w:tmpl w:val="FFFFFFFF"/>
    <w:lvl w:ilvl="0" w:tplc="F1FCE380">
      <w:start w:val="52"/>
      <w:numFmt w:val="decimal"/>
      <w:lvlText w:val="%1."/>
      <w:lvlJc w:val="left"/>
      <w:pPr>
        <w:ind w:left="720" w:hanging="360"/>
      </w:pPr>
    </w:lvl>
    <w:lvl w:ilvl="1" w:tplc="24A2D92E">
      <w:start w:val="1"/>
      <w:numFmt w:val="lowerLetter"/>
      <w:lvlText w:val="%2."/>
      <w:lvlJc w:val="left"/>
      <w:pPr>
        <w:ind w:left="1440" w:hanging="360"/>
      </w:pPr>
    </w:lvl>
    <w:lvl w:ilvl="2" w:tplc="46D02270">
      <w:start w:val="1"/>
      <w:numFmt w:val="lowerRoman"/>
      <w:lvlText w:val="%3."/>
      <w:lvlJc w:val="right"/>
      <w:pPr>
        <w:ind w:left="2160" w:hanging="180"/>
      </w:pPr>
    </w:lvl>
    <w:lvl w:ilvl="3" w:tplc="A10CD14E">
      <w:start w:val="1"/>
      <w:numFmt w:val="decimal"/>
      <w:lvlText w:val="%4."/>
      <w:lvlJc w:val="left"/>
      <w:pPr>
        <w:ind w:left="2880" w:hanging="360"/>
      </w:pPr>
    </w:lvl>
    <w:lvl w:ilvl="4" w:tplc="533EF154">
      <w:start w:val="1"/>
      <w:numFmt w:val="lowerLetter"/>
      <w:lvlText w:val="%5."/>
      <w:lvlJc w:val="left"/>
      <w:pPr>
        <w:ind w:left="3600" w:hanging="360"/>
      </w:pPr>
    </w:lvl>
    <w:lvl w:ilvl="5" w:tplc="E196BB68">
      <w:start w:val="1"/>
      <w:numFmt w:val="lowerRoman"/>
      <w:lvlText w:val="%6."/>
      <w:lvlJc w:val="right"/>
      <w:pPr>
        <w:ind w:left="4320" w:hanging="180"/>
      </w:pPr>
    </w:lvl>
    <w:lvl w:ilvl="6" w:tplc="F59AB4D2">
      <w:start w:val="1"/>
      <w:numFmt w:val="decimal"/>
      <w:lvlText w:val="%7."/>
      <w:lvlJc w:val="left"/>
      <w:pPr>
        <w:ind w:left="5040" w:hanging="360"/>
      </w:pPr>
    </w:lvl>
    <w:lvl w:ilvl="7" w:tplc="6AD009EC">
      <w:start w:val="1"/>
      <w:numFmt w:val="lowerLetter"/>
      <w:lvlText w:val="%8."/>
      <w:lvlJc w:val="left"/>
      <w:pPr>
        <w:ind w:left="5760" w:hanging="360"/>
      </w:pPr>
    </w:lvl>
    <w:lvl w:ilvl="8" w:tplc="20BC22BA">
      <w:start w:val="1"/>
      <w:numFmt w:val="lowerRoman"/>
      <w:lvlText w:val="%9."/>
      <w:lvlJc w:val="right"/>
      <w:pPr>
        <w:ind w:left="6480" w:hanging="180"/>
      </w:pPr>
    </w:lvl>
  </w:abstractNum>
  <w:abstractNum w:abstractNumId="3"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734EE9"/>
    <w:multiLevelType w:val="hybridMultilevel"/>
    <w:tmpl w:val="0C0A2588"/>
    <w:lvl w:ilvl="0" w:tplc="594AD1D0">
      <w:start w:val="1"/>
      <w:numFmt w:val="decimal"/>
      <w:lvlText w:val="%1."/>
      <w:lvlJc w:val="left"/>
      <w:pPr>
        <w:ind w:left="720" w:hanging="360"/>
      </w:pPr>
    </w:lvl>
    <w:lvl w:ilvl="1" w:tplc="916E9DC8">
      <w:start w:val="1"/>
      <w:numFmt w:val="lowerLetter"/>
      <w:lvlText w:val="%2."/>
      <w:lvlJc w:val="left"/>
      <w:pPr>
        <w:ind w:left="1440" w:hanging="360"/>
      </w:pPr>
    </w:lvl>
    <w:lvl w:ilvl="2" w:tplc="6F1041A2">
      <w:start w:val="1"/>
      <w:numFmt w:val="lowerRoman"/>
      <w:lvlText w:val="%3."/>
      <w:lvlJc w:val="right"/>
      <w:pPr>
        <w:ind w:left="2160" w:hanging="180"/>
      </w:pPr>
    </w:lvl>
    <w:lvl w:ilvl="3" w:tplc="6AFA64C2">
      <w:start w:val="1"/>
      <w:numFmt w:val="decimal"/>
      <w:lvlText w:val="%4."/>
      <w:lvlJc w:val="left"/>
      <w:pPr>
        <w:ind w:left="2880" w:hanging="360"/>
      </w:pPr>
    </w:lvl>
    <w:lvl w:ilvl="4" w:tplc="C158F274">
      <w:start w:val="1"/>
      <w:numFmt w:val="lowerLetter"/>
      <w:lvlText w:val="%5."/>
      <w:lvlJc w:val="left"/>
      <w:pPr>
        <w:ind w:left="3600" w:hanging="360"/>
      </w:pPr>
    </w:lvl>
    <w:lvl w:ilvl="5" w:tplc="0486DEC2">
      <w:start w:val="1"/>
      <w:numFmt w:val="lowerRoman"/>
      <w:lvlText w:val="%6."/>
      <w:lvlJc w:val="right"/>
      <w:pPr>
        <w:ind w:left="4320" w:hanging="180"/>
      </w:pPr>
    </w:lvl>
    <w:lvl w:ilvl="6" w:tplc="40B6D0A6">
      <w:start w:val="1"/>
      <w:numFmt w:val="decimal"/>
      <w:lvlText w:val="%7."/>
      <w:lvlJc w:val="left"/>
      <w:pPr>
        <w:ind w:left="5040" w:hanging="360"/>
      </w:pPr>
    </w:lvl>
    <w:lvl w:ilvl="7" w:tplc="17EAE1E8">
      <w:start w:val="1"/>
      <w:numFmt w:val="lowerLetter"/>
      <w:lvlText w:val="%8."/>
      <w:lvlJc w:val="left"/>
      <w:pPr>
        <w:ind w:left="5760" w:hanging="360"/>
      </w:pPr>
    </w:lvl>
    <w:lvl w:ilvl="8" w:tplc="0938F600">
      <w:start w:val="1"/>
      <w:numFmt w:val="lowerRoman"/>
      <w:lvlText w:val="%9."/>
      <w:lvlJc w:val="right"/>
      <w:pPr>
        <w:ind w:left="6480" w:hanging="180"/>
      </w:pPr>
    </w:lvl>
  </w:abstractNum>
  <w:abstractNum w:abstractNumId="5" w15:restartNumberingAfterBreak="0">
    <w:nsid w:val="01BB04D2"/>
    <w:multiLevelType w:val="hybridMultilevel"/>
    <w:tmpl w:val="396406E6"/>
    <w:lvl w:ilvl="0" w:tplc="7C94C3FA">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3395E66"/>
    <w:multiLevelType w:val="hybridMultilevel"/>
    <w:tmpl w:val="FFFFFFFF"/>
    <w:lvl w:ilvl="0" w:tplc="5198840A">
      <w:start w:val="1"/>
      <w:numFmt w:val="bullet"/>
      <w:lvlText w:val="·"/>
      <w:lvlJc w:val="left"/>
      <w:pPr>
        <w:ind w:left="720" w:hanging="360"/>
      </w:pPr>
    </w:lvl>
    <w:lvl w:ilvl="1" w:tplc="1B307686">
      <w:start w:val="1"/>
      <w:numFmt w:val="decimal"/>
      <w:lvlText w:val="%2."/>
      <w:lvlJc w:val="left"/>
      <w:pPr>
        <w:ind w:left="1440" w:hanging="360"/>
      </w:pPr>
    </w:lvl>
    <w:lvl w:ilvl="2" w:tplc="5A38A0C2">
      <w:start w:val="1"/>
      <w:numFmt w:val="lowerRoman"/>
      <w:lvlText w:val="%3."/>
      <w:lvlJc w:val="right"/>
      <w:pPr>
        <w:ind w:left="2160" w:hanging="180"/>
      </w:pPr>
    </w:lvl>
    <w:lvl w:ilvl="3" w:tplc="A1907878">
      <w:start w:val="1"/>
      <w:numFmt w:val="decimal"/>
      <w:lvlText w:val="%4."/>
      <w:lvlJc w:val="left"/>
      <w:pPr>
        <w:ind w:left="2880" w:hanging="360"/>
      </w:pPr>
    </w:lvl>
    <w:lvl w:ilvl="4" w:tplc="1474FB6C">
      <w:start w:val="1"/>
      <w:numFmt w:val="lowerLetter"/>
      <w:lvlText w:val="%5."/>
      <w:lvlJc w:val="left"/>
      <w:pPr>
        <w:ind w:left="3600" w:hanging="360"/>
      </w:pPr>
    </w:lvl>
    <w:lvl w:ilvl="5" w:tplc="066EFAD2">
      <w:start w:val="1"/>
      <w:numFmt w:val="lowerRoman"/>
      <w:lvlText w:val="%6."/>
      <w:lvlJc w:val="right"/>
      <w:pPr>
        <w:ind w:left="4320" w:hanging="180"/>
      </w:pPr>
    </w:lvl>
    <w:lvl w:ilvl="6" w:tplc="1602912E">
      <w:start w:val="1"/>
      <w:numFmt w:val="decimal"/>
      <w:lvlText w:val="%7."/>
      <w:lvlJc w:val="left"/>
      <w:pPr>
        <w:ind w:left="5040" w:hanging="360"/>
      </w:pPr>
    </w:lvl>
    <w:lvl w:ilvl="7" w:tplc="0EB0C000">
      <w:start w:val="1"/>
      <w:numFmt w:val="lowerLetter"/>
      <w:lvlText w:val="%8."/>
      <w:lvlJc w:val="left"/>
      <w:pPr>
        <w:ind w:left="5760" w:hanging="360"/>
      </w:pPr>
    </w:lvl>
    <w:lvl w:ilvl="8" w:tplc="5A8ADDFC">
      <w:start w:val="1"/>
      <w:numFmt w:val="lowerRoman"/>
      <w:lvlText w:val="%9."/>
      <w:lvlJc w:val="right"/>
      <w:pPr>
        <w:ind w:left="6480" w:hanging="180"/>
      </w:pPr>
    </w:lvl>
  </w:abstractNum>
  <w:abstractNum w:abstractNumId="7" w15:restartNumberingAfterBreak="0">
    <w:nsid w:val="03A345ED"/>
    <w:multiLevelType w:val="hybridMultilevel"/>
    <w:tmpl w:val="C888B01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8" w15:restartNumberingAfterBreak="0">
    <w:nsid w:val="05217617"/>
    <w:multiLevelType w:val="hybridMultilevel"/>
    <w:tmpl w:val="4CBC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316AAE"/>
    <w:multiLevelType w:val="hybridMultilevel"/>
    <w:tmpl w:val="FFFFFFFF"/>
    <w:lvl w:ilvl="0" w:tplc="C8CE4312">
      <w:start w:val="1"/>
      <w:numFmt w:val="bullet"/>
      <w:lvlText w:val="·"/>
      <w:lvlJc w:val="left"/>
      <w:pPr>
        <w:ind w:left="720" w:hanging="360"/>
      </w:pPr>
      <w:rPr>
        <w:rFonts w:ascii="Symbol" w:hAnsi="Symbol" w:hint="default"/>
      </w:rPr>
    </w:lvl>
    <w:lvl w:ilvl="1" w:tplc="8D1E319C">
      <w:start w:val="1"/>
      <w:numFmt w:val="decimal"/>
      <w:lvlText w:val="%2."/>
      <w:lvlJc w:val="left"/>
      <w:pPr>
        <w:ind w:left="1440" w:hanging="360"/>
      </w:pPr>
      <w:rPr>
        <w:rFonts w:hint="default"/>
      </w:rPr>
    </w:lvl>
    <w:lvl w:ilvl="2" w:tplc="BBB6CAD0">
      <w:start w:val="1"/>
      <w:numFmt w:val="bullet"/>
      <w:lvlText w:val=""/>
      <w:lvlJc w:val="left"/>
      <w:pPr>
        <w:ind w:left="2160" w:hanging="360"/>
      </w:pPr>
      <w:rPr>
        <w:rFonts w:ascii="Wingdings" w:hAnsi="Wingdings" w:hint="default"/>
      </w:rPr>
    </w:lvl>
    <w:lvl w:ilvl="3" w:tplc="1C96FFC8">
      <w:start w:val="1"/>
      <w:numFmt w:val="bullet"/>
      <w:lvlText w:val=""/>
      <w:lvlJc w:val="left"/>
      <w:pPr>
        <w:ind w:left="2880" w:hanging="360"/>
      </w:pPr>
      <w:rPr>
        <w:rFonts w:ascii="Symbol" w:hAnsi="Symbol" w:hint="default"/>
      </w:rPr>
    </w:lvl>
    <w:lvl w:ilvl="4" w:tplc="5B46E9C2">
      <w:start w:val="1"/>
      <w:numFmt w:val="bullet"/>
      <w:lvlText w:val="o"/>
      <w:lvlJc w:val="left"/>
      <w:pPr>
        <w:ind w:left="3600" w:hanging="360"/>
      </w:pPr>
      <w:rPr>
        <w:rFonts w:ascii="Courier New" w:hAnsi="Courier New" w:hint="default"/>
      </w:rPr>
    </w:lvl>
    <w:lvl w:ilvl="5" w:tplc="74AEAE9A">
      <w:start w:val="1"/>
      <w:numFmt w:val="bullet"/>
      <w:lvlText w:val=""/>
      <w:lvlJc w:val="left"/>
      <w:pPr>
        <w:ind w:left="4320" w:hanging="360"/>
      </w:pPr>
      <w:rPr>
        <w:rFonts w:ascii="Wingdings" w:hAnsi="Wingdings" w:hint="default"/>
      </w:rPr>
    </w:lvl>
    <w:lvl w:ilvl="6" w:tplc="FD4AB4C2">
      <w:start w:val="1"/>
      <w:numFmt w:val="bullet"/>
      <w:lvlText w:val=""/>
      <w:lvlJc w:val="left"/>
      <w:pPr>
        <w:ind w:left="5040" w:hanging="360"/>
      </w:pPr>
      <w:rPr>
        <w:rFonts w:ascii="Symbol" w:hAnsi="Symbol" w:hint="default"/>
      </w:rPr>
    </w:lvl>
    <w:lvl w:ilvl="7" w:tplc="F5D8E16E">
      <w:start w:val="1"/>
      <w:numFmt w:val="bullet"/>
      <w:lvlText w:val="o"/>
      <w:lvlJc w:val="left"/>
      <w:pPr>
        <w:ind w:left="5760" w:hanging="360"/>
      </w:pPr>
      <w:rPr>
        <w:rFonts w:ascii="Courier New" w:hAnsi="Courier New" w:hint="default"/>
      </w:rPr>
    </w:lvl>
    <w:lvl w:ilvl="8" w:tplc="F704D86A">
      <w:start w:val="1"/>
      <w:numFmt w:val="bullet"/>
      <w:lvlText w:val=""/>
      <w:lvlJc w:val="left"/>
      <w:pPr>
        <w:ind w:left="6480" w:hanging="360"/>
      </w:pPr>
      <w:rPr>
        <w:rFonts w:ascii="Wingdings" w:hAnsi="Wingdings" w:hint="default"/>
      </w:rPr>
    </w:lvl>
  </w:abstractNum>
  <w:abstractNum w:abstractNumId="10" w15:restartNumberingAfterBreak="0">
    <w:nsid w:val="05732DEE"/>
    <w:multiLevelType w:val="hybridMultilevel"/>
    <w:tmpl w:val="877047DC"/>
    <w:lvl w:ilvl="0" w:tplc="B60A0A72">
      <w:start w:val="51"/>
      <w:numFmt w:val="decimal"/>
      <w:lvlText w:val="%1)"/>
      <w:lvlJc w:val="left"/>
      <w:pPr>
        <w:ind w:left="26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C715B"/>
    <w:multiLevelType w:val="hybridMultilevel"/>
    <w:tmpl w:val="EF2C1C0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3" w15:restartNumberingAfterBreak="0">
    <w:nsid w:val="0613374F"/>
    <w:multiLevelType w:val="hybridMultilevel"/>
    <w:tmpl w:val="0130041C"/>
    <w:lvl w:ilvl="0" w:tplc="F9281620">
      <w:start w:val="1"/>
      <w:numFmt w:val="bullet"/>
      <w:lvlText w:val="·"/>
      <w:lvlJc w:val="left"/>
      <w:pPr>
        <w:ind w:left="720" w:hanging="360"/>
      </w:pPr>
      <w:rPr>
        <w:rFonts w:ascii="Symbol" w:hAnsi="Symbol" w:hint="default"/>
      </w:rPr>
    </w:lvl>
    <w:lvl w:ilvl="1" w:tplc="10084822">
      <w:start w:val="1"/>
      <w:numFmt w:val="decimal"/>
      <w:lvlText w:val="%2."/>
      <w:lvlJc w:val="left"/>
      <w:pPr>
        <w:ind w:left="1440" w:hanging="360"/>
      </w:pPr>
      <w:rPr>
        <w:rFonts w:hint="default"/>
      </w:rPr>
    </w:lvl>
    <w:lvl w:ilvl="2" w:tplc="A60A5B38">
      <w:start w:val="1"/>
      <w:numFmt w:val="bullet"/>
      <w:lvlText w:val=""/>
      <w:lvlJc w:val="left"/>
      <w:pPr>
        <w:ind w:left="2160" w:hanging="360"/>
      </w:pPr>
      <w:rPr>
        <w:rFonts w:ascii="Wingdings" w:hAnsi="Wingdings" w:hint="default"/>
      </w:rPr>
    </w:lvl>
    <w:lvl w:ilvl="3" w:tplc="EB36116E">
      <w:start w:val="1"/>
      <w:numFmt w:val="bullet"/>
      <w:lvlText w:val=""/>
      <w:lvlJc w:val="left"/>
      <w:pPr>
        <w:ind w:left="2880" w:hanging="360"/>
      </w:pPr>
      <w:rPr>
        <w:rFonts w:ascii="Symbol" w:hAnsi="Symbol" w:hint="default"/>
      </w:rPr>
    </w:lvl>
    <w:lvl w:ilvl="4" w:tplc="258A963C">
      <w:start w:val="1"/>
      <w:numFmt w:val="bullet"/>
      <w:lvlText w:val="o"/>
      <w:lvlJc w:val="left"/>
      <w:pPr>
        <w:ind w:left="3600" w:hanging="360"/>
      </w:pPr>
      <w:rPr>
        <w:rFonts w:ascii="Courier New" w:hAnsi="Courier New" w:hint="default"/>
      </w:rPr>
    </w:lvl>
    <w:lvl w:ilvl="5" w:tplc="20E44A92">
      <w:start w:val="1"/>
      <w:numFmt w:val="bullet"/>
      <w:lvlText w:val=""/>
      <w:lvlJc w:val="left"/>
      <w:pPr>
        <w:ind w:left="4320" w:hanging="360"/>
      </w:pPr>
      <w:rPr>
        <w:rFonts w:ascii="Wingdings" w:hAnsi="Wingdings" w:hint="default"/>
      </w:rPr>
    </w:lvl>
    <w:lvl w:ilvl="6" w:tplc="452622CE">
      <w:start w:val="1"/>
      <w:numFmt w:val="bullet"/>
      <w:lvlText w:val=""/>
      <w:lvlJc w:val="left"/>
      <w:pPr>
        <w:ind w:left="5040" w:hanging="360"/>
      </w:pPr>
      <w:rPr>
        <w:rFonts w:ascii="Symbol" w:hAnsi="Symbol" w:hint="default"/>
      </w:rPr>
    </w:lvl>
    <w:lvl w:ilvl="7" w:tplc="925E9D6E">
      <w:start w:val="1"/>
      <w:numFmt w:val="bullet"/>
      <w:lvlText w:val="o"/>
      <w:lvlJc w:val="left"/>
      <w:pPr>
        <w:ind w:left="5760" w:hanging="360"/>
      </w:pPr>
      <w:rPr>
        <w:rFonts w:ascii="Courier New" w:hAnsi="Courier New" w:hint="default"/>
      </w:rPr>
    </w:lvl>
    <w:lvl w:ilvl="8" w:tplc="2460FF78">
      <w:start w:val="1"/>
      <w:numFmt w:val="bullet"/>
      <w:lvlText w:val=""/>
      <w:lvlJc w:val="left"/>
      <w:pPr>
        <w:ind w:left="6480" w:hanging="360"/>
      </w:pPr>
      <w:rPr>
        <w:rFonts w:ascii="Wingdings" w:hAnsi="Wingdings" w:hint="default"/>
      </w:rPr>
    </w:lvl>
  </w:abstractNum>
  <w:abstractNum w:abstractNumId="14" w15:restartNumberingAfterBreak="0">
    <w:nsid w:val="06D66125"/>
    <w:multiLevelType w:val="hybridMultilevel"/>
    <w:tmpl w:val="9C841C50"/>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792C2A5C">
      <w:start w:val="814"/>
      <w:numFmt w:val="decimal"/>
      <w:lvlText w:val="%3)"/>
      <w:lvlJc w:val="left"/>
      <w:pPr>
        <w:ind w:left="2778" w:hanging="444"/>
      </w:pPr>
      <w:rPr>
        <w:rFonts w:hint="default"/>
        <w:sz w:val="22"/>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071C7C61"/>
    <w:multiLevelType w:val="hybridMultilevel"/>
    <w:tmpl w:val="C4C43FF0"/>
    <w:lvl w:ilvl="0" w:tplc="2F6A85A6">
      <w:start w:val="1"/>
      <w:numFmt w:val="decimal"/>
      <w:lvlText w:val="%1."/>
      <w:lvlJc w:val="left"/>
      <w:pPr>
        <w:ind w:left="720" w:hanging="360"/>
      </w:pPr>
    </w:lvl>
    <w:lvl w:ilvl="1" w:tplc="CEBCA70C">
      <w:start w:val="1"/>
      <w:numFmt w:val="decimal"/>
      <w:lvlText w:val="%2."/>
      <w:lvlJc w:val="left"/>
      <w:pPr>
        <w:ind w:left="1440" w:hanging="360"/>
      </w:pPr>
    </w:lvl>
    <w:lvl w:ilvl="2" w:tplc="F8FEDC56">
      <w:start w:val="1"/>
      <w:numFmt w:val="lowerRoman"/>
      <w:lvlText w:val="%3."/>
      <w:lvlJc w:val="right"/>
      <w:pPr>
        <w:ind w:left="2160" w:hanging="180"/>
      </w:pPr>
    </w:lvl>
    <w:lvl w:ilvl="3" w:tplc="77009DE4">
      <w:start w:val="1"/>
      <w:numFmt w:val="decimal"/>
      <w:lvlText w:val="%4."/>
      <w:lvlJc w:val="left"/>
      <w:pPr>
        <w:ind w:left="2880" w:hanging="360"/>
      </w:pPr>
    </w:lvl>
    <w:lvl w:ilvl="4" w:tplc="BC720108">
      <w:start w:val="1"/>
      <w:numFmt w:val="lowerLetter"/>
      <w:lvlText w:val="%5."/>
      <w:lvlJc w:val="left"/>
      <w:pPr>
        <w:ind w:left="3600" w:hanging="360"/>
      </w:pPr>
    </w:lvl>
    <w:lvl w:ilvl="5" w:tplc="F7FE8374">
      <w:start w:val="1"/>
      <w:numFmt w:val="lowerRoman"/>
      <w:lvlText w:val="%6."/>
      <w:lvlJc w:val="right"/>
      <w:pPr>
        <w:ind w:left="4320" w:hanging="180"/>
      </w:pPr>
    </w:lvl>
    <w:lvl w:ilvl="6" w:tplc="73CCB8F0">
      <w:start w:val="1"/>
      <w:numFmt w:val="decimal"/>
      <w:lvlText w:val="%7."/>
      <w:lvlJc w:val="left"/>
      <w:pPr>
        <w:ind w:left="5040" w:hanging="360"/>
      </w:pPr>
    </w:lvl>
    <w:lvl w:ilvl="7" w:tplc="7D5EDB44">
      <w:start w:val="1"/>
      <w:numFmt w:val="lowerLetter"/>
      <w:lvlText w:val="%8."/>
      <w:lvlJc w:val="left"/>
      <w:pPr>
        <w:ind w:left="5760" w:hanging="360"/>
      </w:pPr>
    </w:lvl>
    <w:lvl w:ilvl="8" w:tplc="65C6F4E6">
      <w:start w:val="1"/>
      <w:numFmt w:val="lowerRoman"/>
      <w:lvlText w:val="%9."/>
      <w:lvlJc w:val="right"/>
      <w:pPr>
        <w:ind w:left="6480" w:hanging="180"/>
      </w:pPr>
    </w:lvl>
  </w:abstractNum>
  <w:abstractNum w:abstractNumId="16" w15:restartNumberingAfterBreak="0">
    <w:nsid w:val="072B3779"/>
    <w:multiLevelType w:val="hybridMultilevel"/>
    <w:tmpl w:val="CFA2108A"/>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17" w15:restartNumberingAfterBreak="0">
    <w:nsid w:val="07446092"/>
    <w:multiLevelType w:val="hybridMultilevel"/>
    <w:tmpl w:val="FFFFFFFF"/>
    <w:lvl w:ilvl="0" w:tplc="21900F9A">
      <w:start w:val="1"/>
      <w:numFmt w:val="decimal"/>
      <w:lvlText w:val="%1."/>
      <w:lvlJc w:val="left"/>
      <w:pPr>
        <w:ind w:left="720" w:hanging="360"/>
      </w:pPr>
    </w:lvl>
    <w:lvl w:ilvl="1" w:tplc="D324CBCE">
      <w:start w:val="1"/>
      <w:numFmt w:val="lowerLetter"/>
      <w:lvlText w:val="%2."/>
      <w:lvlJc w:val="left"/>
      <w:pPr>
        <w:ind w:left="1440" w:hanging="360"/>
      </w:pPr>
    </w:lvl>
    <w:lvl w:ilvl="2" w:tplc="3F807C20">
      <w:start w:val="1"/>
      <w:numFmt w:val="lowerRoman"/>
      <w:lvlText w:val="%3."/>
      <w:lvlJc w:val="right"/>
      <w:pPr>
        <w:ind w:left="2160" w:hanging="180"/>
      </w:pPr>
    </w:lvl>
    <w:lvl w:ilvl="3" w:tplc="41B8AEF4">
      <w:start w:val="1"/>
      <w:numFmt w:val="decimal"/>
      <w:lvlText w:val="%4."/>
      <w:lvlJc w:val="left"/>
      <w:pPr>
        <w:ind w:left="2880" w:hanging="360"/>
      </w:pPr>
    </w:lvl>
    <w:lvl w:ilvl="4" w:tplc="4748FBF4">
      <w:start w:val="1"/>
      <w:numFmt w:val="lowerLetter"/>
      <w:lvlText w:val="%5."/>
      <w:lvlJc w:val="left"/>
      <w:pPr>
        <w:ind w:left="3600" w:hanging="360"/>
      </w:pPr>
    </w:lvl>
    <w:lvl w:ilvl="5" w:tplc="45FE81DA">
      <w:start w:val="1"/>
      <w:numFmt w:val="lowerRoman"/>
      <w:lvlText w:val="%6."/>
      <w:lvlJc w:val="right"/>
      <w:pPr>
        <w:ind w:left="4320" w:hanging="180"/>
      </w:pPr>
    </w:lvl>
    <w:lvl w:ilvl="6" w:tplc="1CF0929E">
      <w:start w:val="1"/>
      <w:numFmt w:val="decimal"/>
      <w:lvlText w:val="%7."/>
      <w:lvlJc w:val="left"/>
      <w:pPr>
        <w:ind w:left="5040" w:hanging="360"/>
      </w:pPr>
    </w:lvl>
    <w:lvl w:ilvl="7" w:tplc="265845C0">
      <w:start w:val="1"/>
      <w:numFmt w:val="lowerLetter"/>
      <w:lvlText w:val="%8."/>
      <w:lvlJc w:val="left"/>
      <w:pPr>
        <w:ind w:left="5760" w:hanging="360"/>
      </w:pPr>
    </w:lvl>
    <w:lvl w:ilvl="8" w:tplc="46405998">
      <w:start w:val="1"/>
      <w:numFmt w:val="lowerRoman"/>
      <w:lvlText w:val="%9."/>
      <w:lvlJc w:val="right"/>
      <w:pPr>
        <w:ind w:left="6480" w:hanging="180"/>
      </w:pPr>
    </w:lvl>
  </w:abstractNum>
  <w:abstractNum w:abstractNumId="18" w15:restartNumberingAfterBreak="0">
    <w:nsid w:val="07904F11"/>
    <w:multiLevelType w:val="hybridMultilevel"/>
    <w:tmpl w:val="9C1A1CC0"/>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9" w15:restartNumberingAfterBreak="0">
    <w:nsid w:val="08E02B53"/>
    <w:multiLevelType w:val="hybridMultilevel"/>
    <w:tmpl w:val="7F30E024"/>
    <w:lvl w:ilvl="0" w:tplc="08090011">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09343885"/>
    <w:multiLevelType w:val="hybridMultilevel"/>
    <w:tmpl w:val="FFFFFFFF"/>
    <w:lvl w:ilvl="0" w:tplc="272299A4">
      <w:start w:val="1"/>
      <w:numFmt w:val="bullet"/>
      <w:lvlText w:val="·"/>
      <w:lvlJc w:val="left"/>
      <w:pPr>
        <w:ind w:left="720" w:hanging="360"/>
      </w:pPr>
      <w:rPr>
        <w:rFonts w:ascii="Symbol" w:hAnsi="Symbol" w:hint="default"/>
      </w:rPr>
    </w:lvl>
    <w:lvl w:ilvl="1" w:tplc="A1A4B09A">
      <w:start w:val="1"/>
      <w:numFmt w:val="decimal"/>
      <w:lvlText w:val="%2."/>
      <w:lvlJc w:val="left"/>
      <w:pPr>
        <w:ind w:left="1440" w:hanging="360"/>
      </w:pPr>
      <w:rPr>
        <w:rFonts w:hint="default"/>
      </w:rPr>
    </w:lvl>
    <w:lvl w:ilvl="2" w:tplc="97F41B04">
      <w:start w:val="1"/>
      <w:numFmt w:val="bullet"/>
      <w:lvlText w:val=""/>
      <w:lvlJc w:val="left"/>
      <w:pPr>
        <w:ind w:left="2160" w:hanging="360"/>
      </w:pPr>
      <w:rPr>
        <w:rFonts w:ascii="Wingdings" w:hAnsi="Wingdings" w:hint="default"/>
      </w:rPr>
    </w:lvl>
    <w:lvl w:ilvl="3" w:tplc="D206E90C">
      <w:start w:val="1"/>
      <w:numFmt w:val="bullet"/>
      <w:lvlText w:val=""/>
      <w:lvlJc w:val="left"/>
      <w:pPr>
        <w:ind w:left="2880" w:hanging="360"/>
      </w:pPr>
      <w:rPr>
        <w:rFonts w:ascii="Symbol" w:hAnsi="Symbol" w:hint="default"/>
      </w:rPr>
    </w:lvl>
    <w:lvl w:ilvl="4" w:tplc="32A078BC">
      <w:start w:val="1"/>
      <w:numFmt w:val="bullet"/>
      <w:lvlText w:val="o"/>
      <w:lvlJc w:val="left"/>
      <w:pPr>
        <w:ind w:left="3600" w:hanging="360"/>
      </w:pPr>
      <w:rPr>
        <w:rFonts w:ascii="Courier New" w:hAnsi="Courier New" w:hint="default"/>
      </w:rPr>
    </w:lvl>
    <w:lvl w:ilvl="5" w:tplc="227687D6">
      <w:start w:val="1"/>
      <w:numFmt w:val="bullet"/>
      <w:lvlText w:val=""/>
      <w:lvlJc w:val="left"/>
      <w:pPr>
        <w:ind w:left="4320" w:hanging="360"/>
      </w:pPr>
      <w:rPr>
        <w:rFonts w:ascii="Wingdings" w:hAnsi="Wingdings" w:hint="default"/>
      </w:rPr>
    </w:lvl>
    <w:lvl w:ilvl="6" w:tplc="9B50B20E">
      <w:start w:val="1"/>
      <w:numFmt w:val="bullet"/>
      <w:lvlText w:val=""/>
      <w:lvlJc w:val="left"/>
      <w:pPr>
        <w:ind w:left="5040" w:hanging="360"/>
      </w:pPr>
      <w:rPr>
        <w:rFonts w:ascii="Symbol" w:hAnsi="Symbol" w:hint="default"/>
      </w:rPr>
    </w:lvl>
    <w:lvl w:ilvl="7" w:tplc="38B4B430">
      <w:start w:val="1"/>
      <w:numFmt w:val="bullet"/>
      <w:lvlText w:val="o"/>
      <w:lvlJc w:val="left"/>
      <w:pPr>
        <w:ind w:left="5760" w:hanging="360"/>
      </w:pPr>
      <w:rPr>
        <w:rFonts w:ascii="Courier New" w:hAnsi="Courier New" w:hint="default"/>
      </w:rPr>
    </w:lvl>
    <w:lvl w:ilvl="8" w:tplc="4962ACE2">
      <w:start w:val="1"/>
      <w:numFmt w:val="bullet"/>
      <w:lvlText w:val=""/>
      <w:lvlJc w:val="left"/>
      <w:pPr>
        <w:ind w:left="6480" w:hanging="360"/>
      </w:pPr>
      <w:rPr>
        <w:rFonts w:ascii="Wingdings" w:hAnsi="Wingdings" w:hint="default"/>
      </w:rPr>
    </w:lvl>
  </w:abstractNum>
  <w:abstractNum w:abstractNumId="21" w15:restartNumberingAfterBreak="0">
    <w:nsid w:val="096470A1"/>
    <w:multiLevelType w:val="hybridMultilevel"/>
    <w:tmpl w:val="7C7AE198"/>
    <w:lvl w:ilvl="0" w:tplc="BA2CC71E">
      <w:start w:val="44"/>
      <w:numFmt w:val="bullet"/>
      <w:lvlText w:val="-"/>
      <w:lvlJc w:val="left"/>
      <w:pPr>
        <w:ind w:left="805" w:hanging="360"/>
      </w:pPr>
      <w:rPr>
        <w:rFonts w:ascii="Cambria" w:eastAsiaTheme="minorHAnsi" w:hAnsi="Cambria" w:cs="EUAlbertin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2" w15:restartNumberingAfterBreak="0">
    <w:nsid w:val="09B87F1E"/>
    <w:multiLevelType w:val="hybridMultilevel"/>
    <w:tmpl w:val="3BD2620A"/>
    <w:lvl w:ilvl="0" w:tplc="7E0ADF18">
      <w:start w:val="1"/>
      <w:numFmt w:val="lowerLetter"/>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A150AB2"/>
    <w:multiLevelType w:val="hybridMultilevel"/>
    <w:tmpl w:val="FFFFFFFF"/>
    <w:lvl w:ilvl="0" w:tplc="DFCEA6E2">
      <w:start w:val="1"/>
      <w:numFmt w:val="decimal"/>
      <w:lvlText w:val="%1."/>
      <w:lvlJc w:val="left"/>
      <w:pPr>
        <w:ind w:left="720" w:hanging="360"/>
      </w:pPr>
    </w:lvl>
    <w:lvl w:ilvl="1" w:tplc="BC00EFEA">
      <w:start w:val="1"/>
      <w:numFmt w:val="lowerLetter"/>
      <w:lvlText w:val="%2."/>
      <w:lvlJc w:val="left"/>
      <w:pPr>
        <w:ind w:left="1440" w:hanging="360"/>
      </w:pPr>
    </w:lvl>
    <w:lvl w:ilvl="2" w:tplc="6AD63000">
      <w:start w:val="1"/>
      <w:numFmt w:val="lowerRoman"/>
      <w:lvlText w:val="%3."/>
      <w:lvlJc w:val="right"/>
      <w:pPr>
        <w:ind w:left="2160" w:hanging="180"/>
      </w:pPr>
    </w:lvl>
    <w:lvl w:ilvl="3" w:tplc="E7B83BE2">
      <w:start w:val="1"/>
      <w:numFmt w:val="decimal"/>
      <w:lvlText w:val="%4."/>
      <w:lvlJc w:val="left"/>
      <w:pPr>
        <w:ind w:left="2880" w:hanging="360"/>
      </w:pPr>
    </w:lvl>
    <w:lvl w:ilvl="4" w:tplc="99D88C2A">
      <w:start w:val="1"/>
      <w:numFmt w:val="lowerLetter"/>
      <w:lvlText w:val="%5."/>
      <w:lvlJc w:val="left"/>
      <w:pPr>
        <w:ind w:left="3600" w:hanging="360"/>
      </w:pPr>
    </w:lvl>
    <w:lvl w:ilvl="5" w:tplc="CD642A86">
      <w:start w:val="1"/>
      <w:numFmt w:val="lowerRoman"/>
      <w:lvlText w:val="%6."/>
      <w:lvlJc w:val="right"/>
      <w:pPr>
        <w:ind w:left="4320" w:hanging="180"/>
      </w:pPr>
    </w:lvl>
    <w:lvl w:ilvl="6" w:tplc="C4DA7404">
      <w:start w:val="1"/>
      <w:numFmt w:val="decimal"/>
      <w:lvlText w:val="%7."/>
      <w:lvlJc w:val="left"/>
      <w:pPr>
        <w:ind w:left="5040" w:hanging="360"/>
      </w:pPr>
    </w:lvl>
    <w:lvl w:ilvl="7" w:tplc="1AF6C94A">
      <w:start w:val="1"/>
      <w:numFmt w:val="lowerLetter"/>
      <w:lvlText w:val="%8."/>
      <w:lvlJc w:val="left"/>
      <w:pPr>
        <w:ind w:left="5760" w:hanging="360"/>
      </w:pPr>
    </w:lvl>
    <w:lvl w:ilvl="8" w:tplc="BEAA3690">
      <w:start w:val="1"/>
      <w:numFmt w:val="lowerRoman"/>
      <w:lvlText w:val="%9."/>
      <w:lvlJc w:val="right"/>
      <w:pPr>
        <w:ind w:left="6480" w:hanging="180"/>
      </w:pPr>
    </w:lvl>
  </w:abstractNum>
  <w:abstractNum w:abstractNumId="24" w15:restartNumberingAfterBreak="0">
    <w:nsid w:val="0ACB3BB5"/>
    <w:multiLevelType w:val="hybridMultilevel"/>
    <w:tmpl w:val="7E0E5784"/>
    <w:lvl w:ilvl="0" w:tplc="F2485612">
      <w:start w:val="1"/>
      <w:numFmt w:val="bullet"/>
      <w:lvlText w:val="·"/>
      <w:lvlJc w:val="left"/>
      <w:pPr>
        <w:ind w:left="720" w:hanging="360"/>
      </w:pPr>
      <w:rPr>
        <w:rFonts w:ascii="Symbol" w:hAnsi="Symbol" w:hint="default"/>
      </w:rPr>
    </w:lvl>
    <w:lvl w:ilvl="1" w:tplc="5DE0D462">
      <w:start w:val="1"/>
      <w:numFmt w:val="bullet"/>
      <w:lvlText w:val="o"/>
      <w:lvlJc w:val="left"/>
      <w:pPr>
        <w:ind w:left="1440" w:hanging="360"/>
      </w:pPr>
      <w:rPr>
        <w:rFonts w:ascii="Courier New" w:hAnsi="Courier New" w:hint="default"/>
      </w:rPr>
    </w:lvl>
    <w:lvl w:ilvl="2" w:tplc="3A205332">
      <w:start w:val="1"/>
      <w:numFmt w:val="bullet"/>
      <w:lvlText w:val=""/>
      <w:lvlJc w:val="left"/>
      <w:pPr>
        <w:ind w:left="2160" w:hanging="360"/>
      </w:pPr>
      <w:rPr>
        <w:rFonts w:ascii="Wingdings" w:hAnsi="Wingdings" w:hint="default"/>
      </w:rPr>
    </w:lvl>
    <w:lvl w:ilvl="3" w:tplc="3E2C7C82">
      <w:start w:val="1"/>
      <w:numFmt w:val="bullet"/>
      <w:lvlText w:val=""/>
      <w:lvlJc w:val="left"/>
      <w:pPr>
        <w:ind w:left="2880" w:hanging="360"/>
      </w:pPr>
      <w:rPr>
        <w:rFonts w:ascii="Symbol" w:hAnsi="Symbol" w:hint="default"/>
      </w:rPr>
    </w:lvl>
    <w:lvl w:ilvl="4" w:tplc="FEBE78CE">
      <w:start w:val="1"/>
      <w:numFmt w:val="bullet"/>
      <w:lvlText w:val="o"/>
      <w:lvlJc w:val="left"/>
      <w:pPr>
        <w:ind w:left="3600" w:hanging="360"/>
      </w:pPr>
      <w:rPr>
        <w:rFonts w:ascii="Courier New" w:hAnsi="Courier New" w:hint="default"/>
      </w:rPr>
    </w:lvl>
    <w:lvl w:ilvl="5" w:tplc="F15A9038">
      <w:start w:val="1"/>
      <w:numFmt w:val="bullet"/>
      <w:lvlText w:val=""/>
      <w:lvlJc w:val="left"/>
      <w:pPr>
        <w:ind w:left="4320" w:hanging="360"/>
      </w:pPr>
      <w:rPr>
        <w:rFonts w:ascii="Wingdings" w:hAnsi="Wingdings" w:hint="default"/>
      </w:rPr>
    </w:lvl>
    <w:lvl w:ilvl="6" w:tplc="24F4297C">
      <w:start w:val="1"/>
      <w:numFmt w:val="bullet"/>
      <w:lvlText w:val=""/>
      <w:lvlJc w:val="left"/>
      <w:pPr>
        <w:ind w:left="5040" w:hanging="360"/>
      </w:pPr>
      <w:rPr>
        <w:rFonts w:ascii="Symbol" w:hAnsi="Symbol" w:hint="default"/>
      </w:rPr>
    </w:lvl>
    <w:lvl w:ilvl="7" w:tplc="F2508BD4">
      <w:start w:val="1"/>
      <w:numFmt w:val="bullet"/>
      <w:lvlText w:val="o"/>
      <w:lvlJc w:val="left"/>
      <w:pPr>
        <w:ind w:left="5760" w:hanging="360"/>
      </w:pPr>
      <w:rPr>
        <w:rFonts w:ascii="Courier New" w:hAnsi="Courier New" w:hint="default"/>
      </w:rPr>
    </w:lvl>
    <w:lvl w:ilvl="8" w:tplc="E6F87978">
      <w:start w:val="1"/>
      <w:numFmt w:val="bullet"/>
      <w:lvlText w:val=""/>
      <w:lvlJc w:val="left"/>
      <w:pPr>
        <w:ind w:left="6480" w:hanging="360"/>
      </w:pPr>
      <w:rPr>
        <w:rFonts w:ascii="Wingdings" w:hAnsi="Wingdings" w:hint="default"/>
      </w:rPr>
    </w:lvl>
  </w:abstractNum>
  <w:abstractNum w:abstractNumId="25" w15:restartNumberingAfterBreak="0">
    <w:nsid w:val="0B404176"/>
    <w:multiLevelType w:val="hybridMultilevel"/>
    <w:tmpl w:val="FFFFFFFF"/>
    <w:lvl w:ilvl="0" w:tplc="FEF0EB64">
      <w:start w:val="1"/>
      <w:numFmt w:val="bullet"/>
      <w:lvlText w:val="·"/>
      <w:lvlJc w:val="left"/>
      <w:pPr>
        <w:ind w:left="720" w:hanging="360"/>
      </w:pPr>
      <w:rPr>
        <w:rFonts w:ascii="Symbol" w:hAnsi="Symbol" w:hint="default"/>
      </w:rPr>
    </w:lvl>
    <w:lvl w:ilvl="1" w:tplc="EA124254">
      <w:start w:val="1"/>
      <w:numFmt w:val="bullet"/>
      <w:lvlText w:val="o"/>
      <w:lvlJc w:val="left"/>
      <w:pPr>
        <w:ind w:left="1440" w:hanging="360"/>
      </w:pPr>
      <w:rPr>
        <w:rFonts w:ascii="Courier New" w:hAnsi="Courier New" w:hint="default"/>
      </w:rPr>
    </w:lvl>
    <w:lvl w:ilvl="2" w:tplc="2654F1F6">
      <w:start w:val="1"/>
      <w:numFmt w:val="bullet"/>
      <w:lvlText w:val=""/>
      <w:lvlJc w:val="left"/>
      <w:pPr>
        <w:ind w:left="2160" w:hanging="360"/>
      </w:pPr>
      <w:rPr>
        <w:rFonts w:ascii="Wingdings" w:hAnsi="Wingdings" w:hint="default"/>
      </w:rPr>
    </w:lvl>
    <w:lvl w:ilvl="3" w:tplc="FEC6870E">
      <w:start w:val="1"/>
      <w:numFmt w:val="bullet"/>
      <w:lvlText w:val=""/>
      <w:lvlJc w:val="left"/>
      <w:pPr>
        <w:ind w:left="2880" w:hanging="360"/>
      </w:pPr>
      <w:rPr>
        <w:rFonts w:ascii="Symbol" w:hAnsi="Symbol" w:hint="default"/>
      </w:rPr>
    </w:lvl>
    <w:lvl w:ilvl="4" w:tplc="CC2EBE6C">
      <w:start w:val="1"/>
      <w:numFmt w:val="bullet"/>
      <w:lvlText w:val="o"/>
      <w:lvlJc w:val="left"/>
      <w:pPr>
        <w:ind w:left="3600" w:hanging="360"/>
      </w:pPr>
      <w:rPr>
        <w:rFonts w:ascii="Courier New" w:hAnsi="Courier New" w:hint="default"/>
      </w:rPr>
    </w:lvl>
    <w:lvl w:ilvl="5" w:tplc="BD00317E">
      <w:start w:val="1"/>
      <w:numFmt w:val="bullet"/>
      <w:lvlText w:val=""/>
      <w:lvlJc w:val="left"/>
      <w:pPr>
        <w:ind w:left="4320" w:hanging="360"/>
      </w:pPr>
      <w:rPr>
        <w:rFonts w:ascii="Wingdings" w:hAnsi="Wingdings" w:hint="default"/>
      </w:rPr>
    </w:lvl>
    <w:lvl w:ilvl="6" w:tplc="3F6C9D0C">
      <w:start w:val="1"/>
      <w:numFmt w:val="bullet"/>
      <w:lvlText w:val=""/>
      <w:lvlJc w:val="left"/>
      <w:pPr>
        <w:ind w:left="5040" w:hanging="360"/>
      </w:pPr>
      <w:rPr>
        <w:rFonts w:ascii="Symbol" w:hAnsi="Symbol" w:hint="default"/>
      </w:rPr>
    </w:lvl>
    <w:lvl w:ilvl="7" w:tplc="7882880A">
      <w:start w:val="1"/>
      <w:numFmt w:val="bullet"/>
      <w:lvlText w:val="o"/>
      <w:lvlJc w:val="left"/>
      <w:pPr>
        <w:ind w:left="5760" w:hanging="360"/>
      </w:pPr>
      <w:rPr>
        <w:rFonts w:ascii="Courier New" w:hAnsi="Courier New" w:hint="default"/>
      </w:rPr>
    </w:lvl>
    <w:lvl w:ilvl="8" w:tplc="9188834C">
      <w:start w:val="1"/>
      <w:numFmt w:val="bullet"/>
      <w:lvlText w:val=""/>
      <w:lvlJc w:val="left"/>
      <w:pPr>
        <w:ind w:left="6480" w:hanging="360"/>
      </w:pPr>
      <w:rPr>
        <w:rFonts w:ascii="Wingdings" w:hAnsi="Wingdings" w:hint="default"/>
      </w:rPr>
    </w:lvl>
  </w:abstractNum>
  <w:abstractNum w:abstractNumId="26" w15:restartNumberingAfterBreak="0">
    <w:nsid w:val="0BAC0539"/>
    <w:multiLevelType w:val="hybridMultilevel"/>
    <w:tmpl w:val="06A64DF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BAE42A1"/>
    <w:multiLevelType w:val="hybridMultilevel"/>
    <w:tmpl w:val="D2DCD4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0BD519EB"/>
    <w:multiLevelType w:val="hybridMultilevel"/>
    <w:tmpl w:val="285E2AD2"/>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C640644"/>
    <w:multiLevelType w:val="hybridMultilevel"/>
    <w:tmpl w:val="0F882124"/>
    <w:lvl w:ilvl="0" w:tplc="EB4A34E8">
      <w:start w:val="1"/>
      <w:numFmt w:val="decimal"/>
      <w:lvlText w:val="%1."/>
      <w:lvlJc w:val="left"/>
      <w:pPr>
        <w:ind w:left="720" w:hanging="360"/>
      </w:pPr>
    </w:lvl>
    <w:lvl w:ilvl="1" w:tplc="F30EFE10">
      <w:start w:val="1"/>
      <w:numFmt w:val="lowerLetter"/>
      <w:lvlText w:val="%2."/>
      <w:lvlJc w:val="left"/>
      <w:pPr>
        <w:ind w:left="1440" w:hanging="360"/>
      </w:pPr>
    </w:lvl>
    <w:lvl w:ilvl="2" w:tplc="6B6C8294">
      <w:start w:val="1"/>
      <w:numFmt w:val="lowerRoman"/>
      <w:lvlText w:val="%3."/>
      <w:lvlJc w:val="right"/>
      <w:pPr>
        <w:ind w:left="2160" w:hanging="180"/>
      </w:pPr>
    </w:lvl>
    <w:lvl w:ilvl="3" w:tplc="E83A9D48">
      <w:start w:val="1"/>
      <w:numFmt w:val="decimal"/>
      <w:lvlText w:val="%4."/>
      <w:lvlJc w:val="left"/>
      <w:pPr>
        <w:ind w:left="2880" w:hanging="360"/>
      </w:pPr>
    </w:lvl>
    <w:lvl w:ilvl="4" w:tplc="683059B4">
      <w:start w:val="1"/>
      <w:numFmt w:val="lowerLetter"/>
      <w:lvlText w:val="%5."/>
      <w:lvlJc w:val="left"/>
      <w:pPr>
        <w:ind w:left="3600" w:hanging="360"/>
      </w:pPr>
    </w:lvl>
    <w:lvl w:ilvl="5" w:tplc="C554C3D8">
      <w:start w:val="1"/>
      <w:numFmt w:val="lowerRoman"/>
      <w:lvlText w:val="%6."/>
      <w:lvlJc w:val="right"/>
      <w:pPr>
        <w:ind w:left="4320" w:hanging="180"/>
      </w:pPr>
    </w:lvl>
    <w:lvl w:ilvl="6" w:tplc="A742FE54">
      <w:start w:val="1"/>
      <w:numFmt w:val="decimal"/>
      <w:lvlText w:val="%7."/>
      <w:lvlJc w:val="left"/>
      <w:pPr>
        <w:ind w:left="5040" w:hanging="360"/>
      </w:pPr>
    </w:lvl>
    <w:lvl w:ilvl="7" w:tplc="A9CC7968">
      <w:start w:val="1"/>
      <w:numFmt w:val="lowerLetter"/>
      <w:lvlText w:val="%8."/>
      <w:lvlJc w:val="left"/>
      <w:pPr>
        <w:ind w:left="5760" w:hanging="360"/>
      </w:pPr>
    </w:lvl>
    <w:lvl w:ilvl="8" w:tplc="1A28CADC">
      <w:start w:val="1"/>
      <w:numFmt w:val="lowerRoman"/>
      <w:lvlText w:val="%9."/>
      <w:lvlJc w:val="right"/>
      <w:pPr>
        <w:ind w:left="6480" w:hanging="180"/>
      </w:pPr>
    </w:lvl>
  </w:abstractNum>
  <w:abstractNum w:abstractNumId="30" w15:restartNumberingAfterBreak="0">
    <w:nsid w:val="0C746B28"/>
    <w:multiLevelType w:val="hybridMultilevel"/>
    <w:tmpl w:val="4D68E646"/>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1" w15:restartNumberingAfterBreak="0">
    <w:nsid w:val="0C815199"/>
    <w:multiLevelType w:val="hybridMultilevel"/>
    <w:tmpl w:val="2AE8749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D06491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D6E79C9"/>
    <w:multiLevelType w:val="hybridMultilevel"/>
    <w:tmpl w:val="EEE0BEF8"/>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34" w15:restartNumberingAfterBreak="0">
    <w:nsid w:val="0DDD153F"/>
    <w:multiLevelType w:val="hybridMultilevel"/>
    <w:tmpl w:val="FFFFFFFF"/>
    <w:lvl w:ilvl="0" w:tplc="A378A13E">
      <w:start w:val="1"/>
      <w:numFmt w:val="bullet"/>
      <w:lvlText w:val="·"/>
      <w:lvlJc w:val="left"/>
      <w:pPr>
        <w:ind w:left="720" w:hanging="360"/>
      </w:pPr>
      <w:rPr>
        <w:rFonts w:ascii="Symbol" w:hAnsi="Symbol" w:hint="default"/>
      </w:rPr>
    </w:lvl>
    <w:lvl w:ilvl="1" w:tplc="513CD8BC">
      <w:start w:val="1"/>
      <w:numFmt w:val="bullet"/>
      <w:lvlText w:val="o"/>
      <w:lvlJc w:val="left"/>
      <w:pPr>
        <w:ind w:left="1440" w:hanging="360"/>
      </w:pPr>
      <w:rPr>
        <w:rFonts w:ascii="Courier New" w:hAnsi="Courier New" w:hint="default"/>
      </w:rPr>
    </w:lvl>
    <w:lvl w:ilvl="2" w:tplc="311426C2">
      <w:start w:val="1"/>
      <w:numFmt w:val="bullet"/>
      <w:lvlText w:val=""/>
      <w:lvlJc w:val="left"/>
      <w:pPr>
        <w:ind w:left="2160" w:hanging="360"/>
      </w:pPr>
      <w:rPr>
        <w:rFonts w:ascii="Wingdings" w:hAnsi="Wingdings" w:hint="default"/>
      </w:rPr>
    </w:lvl>
    <w:lvl w:ilvl="3" w:tplc="636CB83C">
      <w:start w:val="1"/>
      <w:numFmt w:val="bullet"/>
      <w:lvlText w:val=""/>
      <w:lvlJc w:val="left"/>
      <w:pPr>
        <w:ind w:left="2880" w:hanging="360"/>
      </w:pPr>
      <w:rPr>
        <w:rFonts w:ascii="Symbol" w:hAnsi="Symbol" w:hint="default"/>
      </w:rPr>
    </w:lvl>
    <w:lvl w:ilvl="4" w:tplc="6E22A5E2">
      <w:start w:val="1"/>
      <w:numFmt w:val="bullet"/>
      <w:lvlText w:val="o"/>
      <w:lvlJc w:val="left"/>
      <w:pPr>
        <w:ind w:left="3600" w:hanging="360"/>
      </w:pPr>
      <w:rPr>
        <w:rFonts w:ascii="Courier New" w:hAnsi="Courier New" w:hint="default"/>
      </w:rPr>
    </w:lvl>
    <w:lvl w:ilvl="5" w:tplc="5BF6842A">
      <w:start w:val="1"/>
      <w:numFmt w:val="bullet"/>
      <w:lvlText w:val=""/>
      <w:lvlJc w:val="left"/>
      <w:pPr>
        <w:ind w:left="4320" w:hanging="360"/>
      </w:pPr>
      <w:rPr>
        <w:rFonts w:ascii="Wingdings" w:hAnsi="Wingdings" w:hint="default"/>
      </w:rPr>
    </w:lvl>
    <w:lvl w:ilvl="6" w:tplc="DDDA7278">
      <w:start w:val="1"/>
      <w:numFmt w:val="bullet"/>
      <w:lvlText w:val=""/>
      <w:lvlJc w:val="left"/>
      <w:pPr>
        <w:ind w:left="5040" w:hanging="360"/>
      </w:pPr>
      <w:rPr>
        <w:rFonts w:ascii="Symbol" w:hAnsi="Symbol" w:hint="default"/>
      </w:rPr>
    </w:lvl>
    <w:lvl w:ilvl="7" w:tplc="CF9E98F0">
      <w:start w:val="1"/>
      <w:numFmt w:val="bullet"/>
      <w:lvlText w:val="o"/>
      <w:lvlJc w:val="left"/>
      <w:pPr>
        <w:ind w:left="5760" w:hanging="360"/>
      </w:pPr>
      <w:rPr>
        <w:rFonts w:ascii="Courier New" w:hAnsi="Courier New" w:hint="default"/>
      </w:rPr>
    </w:lvl>
    <w:lvl w:ilvl="8" w:tplc="C26419CC">
      <w:start w:val="1"/>
      <w:numFmt w:val="bullet"/>
      <w:lvlText w:val=""/>
      <w:lvlJc w:val="left"/>
      <w:pPr>
        <w:ind w:left="6480" w:hanging="360"/>
      </w:pPr>
      <w:rPr>
        <w:rFonts w:ascii="Wingdings" w:hAnsi="Wingdings" w:hint="default"/>
      </w:rPr>
    </w:lvl>
  </w:abstractNum>
  <w:abstractNum w:abstractNumId="35" w15:restartNumberingAfterBreak="0">
    <w:nsid w:val="0E144329"/>
    <w:multiLevelType w:val="hybridMultilevel"/>
    <w:tmpl w:val="9668C192"/>
    <w:lvl w:ilvl="0" w:tplc="D19ABC80">
      <w:start w:val="1"/>
      <w:numFmt w:val="decimal"/>
      <w:pStyle w:val="Numberedtilelevel1"/>
      <w:lvlText w:val="%1."/>
      <w:lvlJc w:val="left"/>
      <w:pPr>
        <w:ind w:left="360" w:hanging="360"/>
      </w:pPr>
      <w:rPr>
        <w:rFonts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0EB44764"/>
    <w:multiLevelType w:val="hybridMultilevel"/>
    <w:tmpl w:val="2640C6F4"/>
    <w:lvl w:ilvl="0" w:tplc="062C0F5A">
      <w:start w:val="1"/>
      <w:numFmt w:val="bullet"/>
      <w:lvlText w:val=""/>
      <w:lvlJc w:val="left"/>
      <w:pPr>
        <w:ind w:left="720" w:hanging="360"/>
      </w:pPr>
      <w:rPr>
        <w:rFonts w:ascii="Symbol" w:hAnsi="Symbol" w:hint="default"/>
      </w:rPr>
    </w:lvl>
    <w:lvl w:ilvl="1" w:tplc="72EADD1C">
      <w:start w:val="1"/>
      <w:numFmt w:val="bullet"/>
      <w:lvlText w:val="o"/>
      <w:lvlJc w:val="left"/>
      <w:pPr>
        <w:ind w:left="1440" w:hanging="360"/>
      </w:pPr>
      <w:rPr>
        <w:rFonts w:ascii="Courier New" w:hAnsi="Courier New" w:hint="default"/>
      </w:rPr>
    </w:lvl>
    <w:lvl w:ilvl="2" w:tplc="00EA4980">
      <w:start w:val="1"/>
      <w:numFmt w:val="bullet"/>
      <w:lvlText w:val=""/>
      <w:lvlJc w:val="left"/>
      <w:pPr>
        <w:ind w:left="2160" w:hanging="360"/>
      </w:pPr>
      <w:rPr>
        <w:rFonts w:ascii="Wingdings" w:hAnsi="Wingdings" w:hint="default"/>
      </w:rPr>
    </w:lvl>
    <w:lvl w:ilvl="3" w:tplc="2424E060">
      <w:start w:val="1"/>
      <w:numFmt w:val="bullet"/>
      <w:lvlText w:val=""/>
      <w:lvlJc w:val="left"/>
      <w:pPr>
        <w:ind w:left="2880" w:hanging="360"/>
      </w:pPr>
      <w:rPr>
        <w:rFonts w:ascii="Symbol" w:hAnsi="Symbol" w:hint="default"/>
      </w:rPr>
    </w:lvl>
    <w:lvl w:ilvl="4" w:tplc="828843B2">
      <w:start w:val="1"/>
      <w:numFmt w:val="bullet"/>
      <w:lvlText w:val="o"/>
      <w:lvlJc w:val="left"/>
      <w:pPr>
        <w:ind w:left="3600" w:hanging="360"/>
      </w:pPr>
      <w:rPr>
        <w:rFonts w:ascii="Courier New" w:hAnsi="Courier New" w:hint="default"/>
      </w:rPr>
    </w:lvl>
    <w:lvl w:ilvl="5" w:tplc="57166E14">
      <w:start w:val="1"/>
      <w:numFmt w:val="bullet"/>
      <w:lvlText w:val=""/>
      <w:lvlJc w:val="left"/>
      <w:pPr>
        <w:ind w:left="4320" w:hanging="360"/>
      </w:pPr>
      <w:rPr>
        <w:rFonts w:ascii="Wingdings" w:hAnsi="Wingdings" w:hint="default"/>
      </w:rPr>
    </w:lvl>
    <w:lvl w:ilvl="6" w:tplc="7882A628">
      <w:start w:val="1"/>
      <w:numFmt w:val="bullet"/>
      <w:lvlText w:val=""/>
      <w:lvlJc w:val="left"/>
      <w:pPr>
        <w:ind w:left="5040" w:hanging="360"/>
      </w:pPr>
      <w:rPr>
        <w:rFonts w:ascii="Symbol" w:hAnsi="Symbol" w:hint="default"/>
      </w:rPr>
    </w:lvl>
    <w:lvl w:ilvl="7" w:tplc="B62C3334">
      <w:start w:val="1"/>
      <w:numFmt w:val="bullet"/>
      <w:lvlText w:val="o"/>
      <w:lvlJc w:val="left"/>
      <w:pPr>
        <w:ind w:left="5760" w:hanging="360"/>
      </w:pPr>
      <w:rPr>
        <w:rFonts w:ascii="Courier New" w:hAnsi="Courier New" w:hint="default"/>
      </w:rPr>
    </w:lvl>
    <w:lvl w:ilvl="8" w:tplc="D476681A">
      <w:start w:val="1"/>
      <w:numFmt w:val="bullet"/>
      <w:lvlText w:val=""/>
      <w:lvlJc w:val="left"/>
      <w:pPr>
        <w:ind w:left="6480" w:hanging="360"/>
      </w:pPr>
      <w:rPr>
        <w:rFonts w:ascii="Wingdings" w:hAnsi="Wingdings" w:hint="default"/>
      </w:rPr>
    </w:lvl>
  </w:abstractNum>
  <w:abstractNum w:abstractNumId="37" w15:restartNumberingAfterBreak="0">
    <w:nsid w:val="0F5612AA"/>
    <w:multiLevelType w:val="hybridMultilevel"/>
    <w:tmpl w:val="652EF59A"/>
    <w:lvl w:ilvl="0" w:tplc="D988F740">
      <w:start w:val="1"/>
      <w:numFmt w:val="decimal"/>
      <w:lvlText w:val="%1."/>
      <w:lvlJc w:val="left"/>
      <w:pPr>
        <w:ind w:left="720" w:hanging="360"/>
      </w:pPr>
    </w:lvl>
    <w:lvl w:ilvl="1" w:tplc="E1A8789C">
      <w:start w:val="1"/>
      <w:numFmt w:val="lowerLetter"/>
      <w:lvlText w:val="%2."/>
      <w:lvlJc w:val="left"/>
      <w:pPr>
        <w:ind w:left="1440" w:hanging="360"/>
      </w:pPr>
    </w:lvl>
    <w:lvl w:ilvl="2" w:tplc="69DEE3C6">
      <w:start w:val="1"/>
      <w:numFmt w:val="lowerRoman"/>
      <w:lvlText w:val="%3."/>
      <w:lvlJc w:val="right"/>
      <w:pPr>
        <w:ind w:left="2160" w:hanging="180"/>
      </w:pPr>
    </w:lvl>
    <w:lvl w:ilvl="3" w:tplc="D7EAB9BC">
      <w:start w:val="1"/>
      <w:numFmt w:val="decimal"/>
      <w:lvlText w:val="%4."/>
      <w:lvlJc w:val="left"/>
      <w:pPr>
        <w:ind w:left="2880" w:hanging="360"/>
      </w:pPr>
    </w:lvl>
    <w:lvl w:ilvl="4" w:tplc="0AA0F928">
      <w:start w:val="1"/>
      <w:numFmt w:val="lowerLetter"/>
      <w:lvlText w:val="%5."/>
      <w:lvlJc w:val="left"/>
      <w:pPr>
        <w:ind w:left="3600" w:hanging="360"/>
      </w:pPr>
    </w:lvl>
    <w:lvl w:ilvl="5" w:tplc="325AF216">
      <w:start w:val="1"/>
      <w:numFmt w:val="lowerRoman"/>
      <w:lvlText w:val="%6."/>
      <w:lvlJc w:val="right"/>
      <w:pPr>
        <w:ind w:left="4320" w:hanging="180"/>
      </w:pPr>
    </w:lvl>
    <w:lvl w:ilvl="6" w:tplc="EFBEE6EE">
      <w:start w:val="1"/>
      <w:numFmt w:val="decimal"/>
      <w:lvlText w:val="%7."/>
      <w:lvlJc w:val="left"/>
      <w:pPr>
        <w:ind w:left="5040" w:hanging="360"/>
      </w:pPr>
    </w:lvl>
    <w:lvl w:ilvl="7" w:tplc="CC6E3FE6">
      <w:start w:val="1"/>
      <w:numFmt w:val="lowerLetter"/>
      <w:lvlText w:val="%8."/>
      <w:lvlJc w:val="left"/>
      <w:pPr>
        <w:ind w:left="5760" w:hanging="360"/>
      </w:pPr>
    </w:lvl>
    <w:lvl w:ilvl="8" w:tplc="EE223A00">
      <w:start w:val="1"/>
      <w:numFmt w:val="lowerRoman"/>
      <w:lvlText w:val="%9."/>
      <w:lvlJc w:val="right"/>
      <w:pPr>
        <w:ind w:left="6480" w:hanging="180"/>
      </w:pPr>
    </w:lvl>
  </w:abstractNum>
  <w:abstractNum w:abstractNumId="38" w15:restartNumberingAfterBreak="0">
    <w:nsid w:val="0F84792E"/>
    <w:multiLevelType w:val="hybridMultilevel"/>
    <w:tmpl w:val="430A6D7E"/>
    <w:lvl w:ilvl="0" w:tplc="F29AB518">
      <w:start w:val="1"/>
      <w:numFmt w:val="bullet"/>
      <w:lvlText w:val="·"/>
      <w:lvlJc w:val="left"/>
      <w:pPr>
        <w:ind w:left="720" w:hanging="360"/>
      </w:pPr>
      <w:rPr>
        <w:rFonts w:ascii="Symbol" w:hAnsi="Symbol" w:hint="default"/>
      </w:rPr>
    </w:lvl>
    <w:lvl w:ilvl="1" w:tplc="05AC04EC">
      <w:start w:val="1"/>
      <w:numFmt w:val="bullet"/>
      <w:lvlText w:val="o"/>
      <w:lvlJc w:val="left"/>
      <w:pPr>
        <w:ind w:left="1440" w:hanging="360"/>
      </w:pPr>
      <w:rPr>
        <w:rFonts w:ascii="Courier New" w:hAnsi="Courier New" w:hint="default"/>
      </w:rPr>
    </w:lvl>
    <w:lvl w:ilvl="2" w:tplc="52EA3D26">
      <w:start w:val="1"/>
      <w:numFmt w:val="bullet"/>
      <w:lvlText w:val=""/>
      <w:lvlJc w:val="left"/>
      <w:pPr>
        <w:ind w:left="2160" w:hanging="360"/>
      </w:pPr>
      <w:rPr>
        <w:rFonts w:ascii="Wingdings" w:hAnsi="Wingdings" w:hint="default"/>
      </w:rPr>
    </w:lvl>
    <w:lvl w:ilvl="3" w:tplc="55B8DF9A">
      <w:start w:val="1"/>
      <w:numFmt w:val="bullet"/>
      <w:lvlText w:val=""/>
      <w:lvlJc w:val="left"/>
      <w:pPr>
        <w:ind w:left="2880" w:hanging="360"/>
      </w:pPr>
      <w:rPr>
        <w:rFonts w:ascii="Symbol" w:hAnsi="Symbol" w:hint="default"/>
      </w:rPr>
    </w:lvl>
    <w:lvl w:ilvl="4" w:tplc="BD5ADE42">
      <w:start w:val="1"/>
      <w:numFmt w:val="bullet"/>
      <w:lvlText w:val="o"/>
      <w:lvlJc w:val="left"/>
      <w:pPr>
        <w:ind w:left="3600" w:hanging="360"/>
      </w:pPr>
      <w:rPr>
        <w:rFonts w:ascii="Courier New" w:hAnsi="Courier New" w:hint="default"/>
      </w:rPr>
    </w:lvl>
    <w:lvl w:ilvl="5" w:tplc="02DAABC8">
      <w:start w:val="1"/>
      <w:numFmt w:val="bullet"/>
      <w:lvlText w:val=""/>
      <w:lvlJc w:val="left"/>
      <w:pPr>
        <w:ind w:left="4320" w:hanging="360"/>
      </w:pPr>
      <w:rPr>
        <w:rFonts w:ascii="Wingdings" w:hAnsi="Wingdings" w:hint="default"/>
      </w:rPr>
    </w:lvl>
    <w:lvl w:ilvl="6" w:tplc="B060FF70">
      <w:start w:val="1"/>
      <w:numFmt w:val="bullet"/>
      <w:lvlText w:val=""/>
      <w:lvlJc w:val="left"/>
      <w:pPr>
        <w:ind w:left="5040" w:hanging="360"/>
      </w:pPr>
      <w:rPr>
        <w:rFonts w:ascii="Symbol" w:hAnsi="Symbol" w:hint="default"/>
      </w:rPr>
    </w:lvl>
    <w:lvl w:ilvl="7" w:tplc="0B924380">
      <w:start w:val="1"/>
      <w:numFmt w:val="bullet"/>
      <w:lvlText w:val="o"/>
      <w:lvlJc w:val="left"/>
      <w:pPr>
        <w:ind w:left="5760" w:hanging="360"/>
      </w:pPr>
      <w:rPr>
        <w:rFonts w:ascii="Courier New" w:hAnsi="Courier New" w:hint="default"/>
      </w:rPr>
    </w:lvl>
    <w:lvl w:ilvl="8" w:tplc="D7B00598">
      <w:start w:val="1"/>
      <w:numFmt w:val="bullet"/>
      <w:lvlText w:val=""/>
      <w:lvlJc w:val="left"/>
      <w:pPr>
        <w:ind w:left="6480" w:hanging="360"/>
      </w:pPr>
      <w:rPr>
        <w:rFonts w:ascii="Wingdings" w:hAnsi="Wingdings" w:hint="default"/>
      </w:rPr>
    </w:lvl>
  </w:abstractNum>
  <w:abstractNum w:abstractNumId="39" w15:restartNumberingAfterBreak="0">
    <w:nsid w:val="0FC815BA"/>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10BC3319"/>
    <w:multiLevelType w:val="hybridMultilevel"/>
    <w:tmpl w:val="FFFFFFFF"/>
    <w:lvl w:ilvl="0" w:tplc="0CA8ECAA">
      <w:start w:val="1"/>
      <w:numFmt w:val="bullet"/>
      <w:lvlText w:val="-"/>
      <w:lvlJc w:val="left"/>
      <w:pPr>
        <w:ind w:left="720" w:hanging="360"/>
      </w:pPr>
      <w:rPr>
        <w:rFonts w:ascii="Calibri" w:hAnsi="Calibri" w:hint="default"/>
      </w:rPr>
    </w:lvl>
    <w:lvl w:ilvl="1" w:tplc="FE78CB3C">
      <w:start w:val="1"/>
      <w:numFmt w:val="bullet"/>
      <w:lvlText w:val="o"/>
      <w:lvlJc w:val="left"/>
      <w:pPr>
        <w:ind w:left="1440" w:hanging="360"/>
      </w:pPr>
      <w:rPr>
        <w:rFonts w:ascii="Courier New" w:hAnsi="Courier New" w:hint="default"/>
      </w:rPr>
    </w:lvl>
    <w:lvl w:ilvl="2" w:tplc="75C0D15C">
      <w:start w:val="1"/>
      <w:numFmt w:val="bullet"/>
      <w:lvlText w:val=""/>
      <w:lvlJc w:val="left"/>
      <w:pPr>
        <w:ind w:left="2160" w:hanging="360"/>
      </w:pPr>
      <w:rPr>
        <w:rFonts w:ascii="Wingdings" w:hAnsi="Wingdings" w:hint="default"/>
      </w:rPr>
    </w:lvl>
    <w:lvl w:ilvl="3" w:tplc="3A7CFB44">
      <w:start w:val="1"/>
      <w:numFmt w:val="bullet"/>
      <w:lvlText w:val=""/>
      <w:lvlJc w:val="left"/>
      <w:pPr>
        <w:ind w:left="2880" w:hanging="360"/>
      </w:pPr>
      <w:rPr>
        <w:rFonts w:ascii="Symbol" w:hAnsi="Symbol" w:hint="default"/>
      </w:rPr>
    </w:lvl>
    <w:lvl w:ilvl="4" w:tplc="2D8CCC1C">
      <w:start w:val="1"/>
      <w:numFmt w:val="bullet"/>
      <w:lvlText w:val="o"/>
      <w:lvlJc w:val="left"/>
      <w:pPr>
        <w:ind w:left="3600" w:hanging="360"/>
      </w:pPr>
      <w:rPr>
        <w:rFonts w:ascii="Courier New" w:hAnsi="Courier New" w:hint="default"/>
      </w:rPr>
    </w:lvl>
    <w:lvl w:ilvl="5" w:tplc="0066BDEC">
      <w:start w:val="1"/>
      <w:numFmt w:val="bullet"/>
      <w:lvlText w:val=""/>
      <w:lvlJc w:val="left"/>
      <w:pPr>
        <w:ind w:left="4320" w:hanging="360"/>
      </w:pPr>
      <w:rPr>
        <w:rFonts w:ascii="Wingdings" w:hAnsi="Wingdings" w:hint="default"/>
      </w:rPr>
    </w:lvl>
    <w:lvl w:ilvl="6" w:tplc="99D60CBE">
      <w:start w:val="1"/>
      <w:numFmt w:val="bullet"/>
      <w:lvlText w:val=""/>
      <w:lvlJc w:val="left"/>
      <w:pPr>
        <w:ind w:left="5040" w:hanging="360"/>
      </w:pPr>
      <w:rPr>
        <w:rFonts w:ascii="Symbol" w:hAnsi="Symbol" w:hint="default"/>
      </w:rPr>
    </w:lvl>
    <w:lvl w:ilvl="7" w:tplc="423A1E3C">
      <w:start w:val="1"/>
      <w:numFmt w:val="bullet"/>
      <w:lvlText w:val="o"/>
      <w:lvlJc w:val="left"/>
      <w:pPr>
        <w:ind w:left="5760" w:hanging="360"/>
      </w:pPr>
      <w:rPr>
        <w:rFonts w:ascii="Courier New" w:hAnsi="Courier New" w:hint="default"/>
      </w:rPr>
    </w:lvl>
    <w:lvl w:ilvl="8" w:tplc="606A3D6E">
      <w:start w:val="1"/>
      <w:numFmt w:val="bullet"/>
      <w:lvlText w:val=""/>
      <w:lvlJc w:val="left"/>
      <w:pPr>
        <w:ind w:left="6480" w:hanging="360"/>
      </w:pPr>
      <w:rPr>
        <w:rFonts w:ascii="Wingdings" w:hAnsi="Wingdings" w:hint="default"/>
      </w:rPr>
    </w:lvl>
  </w:abstractNum>
  <w:abstractNum w:abstractNumId="41" w15:restartNumberingAfterBreak="0">
    <w:nsid w:val="10E25CAD"/>
    <w:multiLevelType w:val="hybridMultilevel"/>
    <w:tmpl w:val="5950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1D53EE3"/>
    <w:multiLevelType w:val="hybridMultilevel"/>
    <w:tmpl w:val="82F0B4D6"/>
    <w:lvl w:ilvl="0" w:tplc="0D561A78">
      <w:start w:val="1"/>
      <w:numFmt w:val="decimal"/>
      <w:lvlText w:val="%1."/>
      <w:lvlJc w:val="left"/>
      <w:pPr>
        <w:ind w:left="720" w:hanging="360"/>
      </w:pPr>
    </w:lvl>
    <w:lvl w:ilvl="1" w:tplc="D7127BF4">
      <w:start w:val="1"/>
      <w:numFmt w:val="lowerLetter"/>
      <w:lvlText w:val="%2."/>
      <w:lvlJc w:val="left"/>
      <w:pPr>
        <w:ind w:left="1440" w:hanging="360"/>
      </w:pPr>
    </w:lvl>
    <w:lvl w:ilvl="2" w:tplc="B9B84B20">
      <w:start w:val="1"/>
      <w:numFmt w:val="lowerRoman"/>
      <w:lvlText w:val="%3."/>
      <w:lvlJc w:val="right"/>
      <w:pPr>
        <w:ind w:left="2160" w:hanging="180"/>
      </w:pPr>
    </w:lvl>
    <w:lvl w:ilvl="3" w:tplc="799A6D20">
      <w:start w:val="1"/>
      <w:numFmt w:val="decimal"/>
      <w:lvlText w:val="%4."/>
      <w:lvlJc w:val="left"/>
      <w:pPr>
        <w:ind w:left="2880" w:hanging="360"/>
      </w:pPr>
    </w:lvl>
    <w:lvl w:ilvl="4" w:tplc="DA6C018E">
      <w:start w:val="1"/>
      <w:numFmt w:val="lowerLetter"/>
      <w:lvlText w:val="%5."/>
      <w:lvlJc w:val="left"/>
      <w:pPr>
        <w:ind w:left="3600" w:hanging="360"/>
      </w:pPr>
    </w:lvl>
    <w:lvl w:ilvl="5" w:tplc="FBF2FDF6">
      <w:start w:val="1"/>
      <w:numFmt w:val="lowerRoman"/>
      <w:lvlText w:val="%6."/>
      <w:lvlJc w:val="right"/>
      <w:pPr>
        <w:ind w:left="4320" w:hanging="180"/>
      </w:pPr>
    </w:lvl>
    <w:lvl w:ilvl="6" w:tplc="53EA99BC">
      <w:start w:val="1"/>
      <w:numFmt w:val="decimal"/>
      <w:lvlText w:val="%7."/>
      <w:lvlJc w:val="left"/>
      <w:pPr>
        <w:ind w:left="5040" w:hanging="360"/>
      </w:pPr>
    </w:lvl>
    <w:lvl w:ilvl="7" w:tplc="49302B12">
      <w:start w:val="1"/>
      <w:numFmt w:val="lowerLetter"/>
      <w:lvlText w:val="%8."/>
      <w:lvlJc w:val="left"/>
      <w:pPr>
        <w:ind w:left="5760" w:hanging="360"/>
      </w:pPr>
    </w:lvl>
    <w:lvl w:ilvl="8" w:tplc="A5449776">
      <w:start w:val="1"/>
      <w:numFmt w:val="lowerRoman"/>
      <w:lvlText w:val="%9."/>
      <w:lvlJc w:val="right"/>
      <w:pPr>
        <w:ind w:left="6480" w:hanging="180"/>
      </w:pPr>
    </w:lvl>
  </w:abstractNum>
  <w:abstractNum w:abstractNumId="43" w15:restartNumberingAfterBreak="0">
    <w:nsid w:val="121A10FA"/>
    <w:multiLevelType w:val="hybridMultilevel"/>
    <w:tmpl w:val="FFFFFFFF"/>
    <w:lvl w:ilvl="0" w:tplc="F0BABC8C">
      <w:start w:val="1"/>
      <w:numFmt w:val="decimal"/>
      <w:lvlText w:val="%1."/>
      <w:lvlJc w:val="left"/>
      <w:pPr>
        <w:ind w:left="720" w:hanging="360"/>
      </w:pPr>
    </w:lvl>
    <w:lvl w:ilvl="1" w:tplc="D5C442B6">
      <w:start w:val="1"/>
      <w:numFmt w:val="lowerLetter"/>
      <w:lvlText w:val="%2."/>
      <w:lvlJc w:val="left"/>
      <w:pPr>
        <w:ind w:left="1440" w:hanging="360"/>
      </w:pPr>
    </w:lvl>
    <w:lvl w:ilvl="2" w:tplc="9CFAAFC8">
      <w:start w:val="1"/>
      <w:numFmt w:val="lowerRoman"/>
      <w:lvlText w:val="%3."/>
      <w:lvlJc w:val="right"/>
      <w:pPr>
        <w:ind w:left="2160" w:hanging="180"/>
      </w:pPr>
    </w:lvl>
    <w:lvl w:ilvl="3" w:tplc="3488A4EE">
      <w:start w:val="1"/>
      <w:numFmt w:val="decimal"/>
      <w:lvlText w:val="%4."/>
      <w:lvlJc w:val="left"/>
      <w:pPr>
        <w:ind w:left="2880" w:hanging="360"/>
      </w:pPr>
    </w:lvl>
    <w:lvl w:ilvl="4" w:tplc="DAE28FC4">
      <w:start w:val="1"/>
      <w:numFmt w:val="lowerLetter"/>
      <w:lvlText w:val="%5."/>
      <w:lvlJc w:val="left"/>
      <w:pPr>
        <w:ind w:left="3600" w:hanging="360"/>
      </w:pPr>
    </w:lvl>
    <w:lvl w:ilvl="5" w:tplc="B6207E86">
      <w:start w:val="1"/>
      <w:numFmt w:val="lowerRoman"/>
      <w:lvlText w:val="%6."/>
      <w:lvlJc w:val="right"/>
      <w:pPr>
        <w:ind w:left="4320" w:hanging="180"/>
      </w:pPr>
    </w:lvl>
    <w:lvl w:ilvl="6" w:tplc="5EDC8DE2">
      <w:start w:val="1"/>
      <w:numFmt w:val="decimal"/>
      <w:lvlText w:val="%7."/>
      <w:lvlJc w:val="left"/>
      <w:pPr>
        <w:ind w:left="5040" w:hanging="360"/>
      </w:pPr>
    </w:lvl>
    <w:lvl w:ilvl="7" w:tplc="9728643E">
      <w:start w:val="1"/>
      <w:numFmt w:val="lowerLetter"/>
      <w:lvlText w:val="%8."/>
      <w:lvlJc w:val="left"/>
      <w:pPr>
        <w:ind w:left="5760" w:hanging="360"/>
      </w:pPr>
    </w:lvl>
    <w:lvl w:ilvl="8" w:tplc="F634F4D2">
      <w:start w:val="1"/>
      <w:numFmt w:val="lowerRoman"/>
      <w:lvlText w:val="%9."/>
      <w:lvlJc w:val="right"/>
      <w:pPr>
        <w:ind w:left="6480" w:hanging="180"/>
      </w:pPr>
    </w:lvl>
  </w:abstractNum>
  <w:abstractNum w:abstractNumId="44" w15:restartNumberingAfterBreak="0">
    <w:nsid w:val="13710F59"/>
    <w:multiLevelType w:val="hybridMultilevel"/>
    <w:tmpl w:val="736A107C"/>
    <w:lvl w:ilvl="0" w:tplc="829AB43C">
      <w:start w:val="1"/>
      <w:numFmt w:val="decimal"/>
      <w:pStyle w:val="Baseparagraphnumbered"/>
      <w:lvlText w:val="%1."/>
      <w:lvlJc w:val="left"/>
      <w:pPr>
        <w:ind w:left="786" w:hanging="360"/>
      </w:pPr>
      <w:rPr>
        <w:lang w:val="en-US"/>
      </w:rPr>
    </w:lvl>
    <w:lvl w:ilvl="1" w:tplc="E8245F5A">
      <w:start w:val="1"/>
      <w:numFmt w:val="lowerLetter"/>
      <w:lvlText w:val="(%2)"/>
      <w:lvlJc w:val="left"/>
      <w:pPr>
        <w:ind w:left="1494" w:hanging="360"/>
      </w:pPr>
      <w:rPr>
        <w:rFonts w:ascii="Times New Roman" w:eastAsia="Times New Roman" w:hAnsi="Times New Roman" w:cs="Times New Roman"/>
      </w:rPr>
    </w:lvl>
    <w:lvl w:ilvl="2" w:tplc="5BE4D2A0" w:tentative="1">
      <w:start w:val="1"/>
      <w:numFmt w:val="lowerRoman"/>
      <w:lvlText w:val="%3."/>
      <w:lvlJc w:val="right"/>
      <w:pPr>
        <w:ind w:left="2225" w:hanging="180"/>
      </w:pPr>
    </w:lvl>
    <w:lvl w:ilvl="3" w:tplc="E8A6BEAE" w:tentative="1">
      <w:start w:val="1"/>
      <w:numFmt w:val="decimal"/>
      <w:lvlText w:val="%4."/>
      <w:lvlJc w:val="left"/>
      <w:pPr>
        <w:ind w:left="2945" w:hanging="360"/>
      </w:pPr>
    </w:lvl>
    <w:lvl w:ilvl="4" w:tplc="9A703294" w:tentative="1">
      <w:start w:val="1"/>
      <w:numFmt w:val="lowerLetter"/>
      <w:lvlText w:val="%5."/>
      <w:lvlJc w:val="left"/>
      <w:pPr>
        <w:ind w:left="3665" w:hanging="360"/>
      </w:pPr>
    </w:lvl>
    <w:lvl w:ilvl="5" w:tplc="B14C4D10" w:tentative="1">
      <w:start w:val="1"/>
      <w:numFmt w:val="lowerRoman"/>
      <w:lvlText w:val="%6."/>
      <w:lvlJc w:val="right"/>
      <w:pPr>
        <w:ind w:left="4385" w:hanging="180"/>
      </w:pPr>
    </w:lvl>
    <w:lvl w:ilvl="6" w:tplc="EECA4DA6" w:tentative="1">
      <w:start w:val="1"/>
      <w:numFmt w:val="decimal"/>
      <w:lvlText w:val="%7."/>
      <w:lvlJc w:val="left"/>
      <w:pPr>
        <w:ind w:left="5105" w:hanging="360"/>
      </w:pPr>
    </w:lvl>
    <w:lvl w:ilvl="7" w:tplc="444C72AC" w:tentative="1">
      <w:start w:val="1"/>
      <w:numFmt w:val="lowerLetter"/>
      <w:lvlText w:val="%8."/>
      <w:lvlJc w:val="left"/>
      <w:pPr>
        <w:ind w:left="5825" w:hanging="360"/>
      </w:pPr>
    </w:lvl>
    <w:lvl w:ilvl="8" w:tplc="C9C872DC" w:tentative="1">
      <w:start w:val="1"/>
      <w:numFmt w:val="lowerRoman"/>
      <w:lvlText w:val="%9."/>
      <w:lvlJc w:val="right"/>
      <w:pPr>
        <w:ind w:left="6545" w:hanging="180"/>
      </w:pPr>
    </w:lvl>
  </w:abstractNum>
  <w:abstractNum w:abstractNumId="45"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38205D5"/>
    <w:multiLevelType w:val="hybridMultilevel"/>
    <w:tmpl w:val="DAAEFD8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41524A7"/>
    <w:multiLevelType w:val="hybridMultilevel"/>
    <w:tmpl w:val="CA4EA508"/>
    <w:lvl w:ilvl="0" w:tplc="C4EC37F0">
      <w:start w:val="1"/>
      <w:numFmt w:val="decimal"/>
      <w:lvlText w:val="%1."/>
      <w:lvlJc w:val="left"/>
      <w:pPr>
        <w:ind w:left="720" w:hanging="360"/>
      </w:pPr>
    </w:lvl>
    <w:lvl w:ilvl="1" w:tplc="392EF07E">
      <w:start w:val="1"/>
      <w:numFmt w:val="lowerLetter"/>
      <w:lvlText w:val="%2."/>
      <w:lvlJc w:val="left"/>
      <w:pPr>
        <w:ind w:left="1440" w:hanging="360"/>
      </w:pPr>
    </w:lvl>
    <w:lvl w:ilvl="2" w:tplc="B3544EEA">
      <w:start w:val="1"/>
      <w:numFmt w:val="lowerRoman"/>
      <w:lvlText w:val="%3."/>
      <w:lvlJc w:val="right"/>
      <w:pPr>
        <w:ind w:left="2160" w:hanging="180"/>
      </w:pPr>
    </w:lvl>
    <w:lvl w:ilvl="3" w:tplc="B9D82DF0">
      <w:start w:val="1"/>
      <w:numFmt w:val="decimal"/>
      <w:lvlText w:val="%4."/>
      <w:lvlJc w:val="left"/>
      <w:pPr>
        <w:ind w:left="2880" w:hanging="360"/>
      </w:pPr>
    </w:lvl>
    <w:lvl w:ilvl="4" w:tplc="C14C10BE">
      <w:start w:val="1"/>
      <w:numFmt w:val="lowerLetter"/>
      <w:lvlText w:val="%5."/>
      <w:lvlJc w:val="left"/>
      <w:pPr>
        <w:ind w:left="3600" w:hanging="360"/>
      </w:pPr>
    </w:lvl>
    <w:lvl w:ilvl="5" w:tplc="A7026EB2">
      <w:start w:val="1"/>
      <w:numFmt w:val="lowerRoman"/>
      <w:lvlText w:val="%6."/>
      <w:lvlJc w:val="right"/>
      <w:pPr>
        <w:ind w:left="4320" w:hanging="180"/>
      </w:pPr>
    </w:lvl>
    <w:lvl w:ilvl="6" w:tplc="2B0AA70A">
      <w:start w:val="1"/>
      <w:numFmt w:val="decimal"/>
      <w:lvlText w:val="%7."/>
      <w:lvlJc w:val="left"/>
      <w:pPr>
        <w:ind w:left="5040" w:hanging="360"/>
      </w:pPr>
    </w:lvl>
    <w:lvl w:ilvl="7" w:tplc="BB3A337E">
      <w:start w:val="1"/>
      <w:numFmt w:val="lowerLetter"/>
      <w:lvlText w:val="%8."/>
      <w:lvlJc w:val="left"/>
      <w:pPr>
        <w:ind w:left="5760" w:hanging="360"/>
      </w:pPr>
    </w:lvl>
    <w:lvl w:ilvl="8" w:tplc="E6947706">
      <w:start w:val="1"/>
      <w:numFmt w:val="lowerRoman"/>
      <w:lvlText w:val="%9."/>
      <w:lvlJc w:val="right"/>
      <w:pPr>
        <w:ind w:left="6480" w:hanging="180"/>
      </w:pPr>
    </w:lvl>
  </w:abstractNum>
  <w:abstractNum w:abstractNumId="48" w15:restartNumberingAfterBreak="0">
    <w:nsid w:val="151D3A7E"/>
    <w:multiLevelType w:val="hybridMultilevel"/>
    <w:tmpl w:val="FFFFFFFF"/>
    <w:lvl w:ilvl="0" w:tplc="73E6A3C2">
      <w:start w:val="1"/>
      <w:numFmt w:val="bullet"/>
      <w:lvlText w:val="·"/>
      <w:lvlJc w:val="left"/>
      <w:pPr>
        <w:ind w:left="720" w:hanging="360"/>
      </w:pPr>
      <w:rPr>
        <w:rFonts w:ascii="Symbol" w:hAnsi="Symbol" w:hint="default"/>
      </w:rPr>
    </w:lvl>
    <w:lvl w:ilvl="1" w:tplc="DADCC27E">
      <w:start w:val="1"/>
      <w:numFmt w:val="bullet"/>
      <w:lvlText w:val="o"/>
      <w:lvlJc w:val="left"/>
      <w:pPr>
        <w:ind w:left="1440" w:hanging="360"/>
      </w:pPr>
      <w:rPr>
        <w:rFonts w:ascii="Courier New" w:hAnsi="Courier New" w:hint="default"/>
      </w:rPr>
    </w:lvl>
    <w:lvl w:ilvl="2" w:tplc="F1421BE0">
      <w:start w:val="1"/>
      <w:numFmt w:val="bullet"/>
      <w:lvlText w:val=""/>
      <w:lvlJc w:val="left"/>
      <w:pPr>
        <w:ind w:left="2160" w:hanging="360"/>
      </w:pPr>
      <w:rPr>
        <w:rFonts w:ascii="Wingdings" w:hAnsi="Wingdings" w:hint="default"/>
      </w:rPr>
    </w:lvl>
    <w:lvl w:ilvl="3" w:tplc="AE267072">
      <w:start w:val="1"/>
      <w:numFmt w:val="bullet"/>
      <w:lvlText w:val=""/>
      <w:lvlJc w:val="left"/>
      <w:pPr>
        <w:ind w:left="2880" w:hanging="360"/>
      </w:pPr>
      <w:rPr>
        <w:rFonts w:ascii="Symbol" w:hAnsi="Symbol" w:hint="default"/>
      </w:rPr>
    </w:lvl>
    <w:lvl w:ilvl="4" w:tplc="2120385C">
      <w:start w:val="1"/>
      <w:numFmt w:val="bullet"/>
      <w:lvlText w:val="o"/>
      <w:lvlJc w:val="left"/>
      <w:pPr>
        <w:ind w:left="3600" w:hanging="360"/>
      </w:pPr>
      <w:rPr>
        <w:rFonts w:ascii="Courier New" w:hAnsi="Courier New" w:hint="default"/>
      </w:rPr>
    </w:lvl>
    <w:lvl w:ilvl="5" w:tplc="877628E4">
      <w:start w:val="1"/>
      <w:numFmt w:val="bullet"/>
      <w:lvlText w:val=""/>
      <w:lvlJc w:val="left"/>
      <w:pPr>
        <w:ind w:left="4320" w:hanging="360"/>
      </w:pPr>
      <w:rPr>
        <w:rFonts w:ascii="Wingdings" w:hAnsi="Wingdings" w:hint="default"/>
      </w:rPr>
    </w:lvl>
    <w:lvl w:ilvl="6" w:tplc="18E2F6F2">
      <w:start w:val="1"/>
      <w:numFmt w:val="bullet"/>
      <w:lvlText w:val=""/>
      <w:lvlJc w:val="left"/>
      <w:pPr>
        <w:ind w:left="5040" w:hanging="360"/>
      </w:pPr>
      <w:rPr>
        <w:rFonts w:ascii="Symbol" w:hAnsi="Symbol" w:hint="default"/>
      </w:rPr>
    </w:lvl>
    <w:lvl w:ilvl="7" w:tplc="374CDB98">
      <w:start w:val="1"/>
      <w:numFmt w:val="bullet"/>
      <w:lvlText w:val="o"/>
      <w:lvlJc w:val="left"/>
      <w:pPr>
        <w:ind w:left="5760" w:hanging="360"/>
      </w:pPr>
      <w:rPr>
        <w:rFonts w:ascii="Courier New" w:hAnsi="Courier New" w:hint="default"/>
      </w:rPr>
    </w:lvl>
    <w:lvl w:ilvl="8" w:tplc="EE7CB04E">
      <w:start w:val="1"/>
      <w:numFmt w:val="bullet"/>
      <w:lvlText w:val=""/>
      <w:lvlJc w:val="left"/>
      <w:pPr>
        <w:ind w:left="6480" w:hanging="360"/>
      </w:pPr>
      <w:rPr>
        <w:rFonts w:ascii="Wingdings" w:hAnsi="Wingdings" w:hint="default"/>
      </w:rPr>
    </w:lvl>
  </w:abstractNum>
  <w:abstractNum w:abstractNumId="49" w15:restartNumberingAfterBreak="0">
    <w:nsid w:val="1544779B"/>
    <w:multiLevelType w:val="hybridMultilevel"/>
    <w:tmpl w:val="79BA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5AA5ABD"/>
    <w:multiLevelType w:val="multilevel"/>
    <w:tmpl w:val="8CF61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CE0019"/>
    <w:multiLevelType w:val="hybridMultilevel"/>
    <w:tmpl w:val="CFE0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6F209D6"/>
    <w:multiLevelType w:val="hybridMultilevel"/>
    <w:tmpl w:val="D6EA50C4"/>
    <w:lvl w:ilvl="0" w:tplc="09148082">
      <w:start w:val="1"/>
      <w:numFmt w:val="decimal"/>
      <w:pStyle w:val="Questionforconsultation"/>
      <w:lvlText w:val="Ques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7304C2A"/>
    <w:multiLevelType w:val="hybridMultilevel"/>
    <w:tmpl w:val="4A52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7A07C4C"/>
    <w:multiLevelType w:val="hybridMultilevel"/>
    <w:tmpl w:val="8BF839BE"/>
    <w:lvl w:ilvl="0" w:tplc="8B4C6146">
      <w:start w:val="1"/>
      <w:numFmt w:val="decimal"/>
      <w:lvlText w:val="%1."/>
      <w:lvlJc w:val="left"/>
      <w:pPr>
        <w:ind w:left="720" w:hanging="360"/>
      </w:pPr>
    </w:lvl>
    <w:lvl w:ilvl="1" w:tplc="3A8EE824">
      <w:start w:val="1"/>
      <w:numFmt w:val="decimal"/>
      <w:lvlText w:val="%2."/>
      <w:lvlJc w:val="left"/>
      <w:pPr>
        <w:ind w:left="1440" w:hanging="360"/>
      </w:pPr>
    </w:lvl>
    <w:lvl w:ilvl="2" w:tplc="65027E7E">
      <w:start w:val="1"/>
      <w:numFmt w:val="lowerRoman"/>
      <w:lvlText w:val="%3."/>
      <w:lvlJc w:val="right"/>
      <w:pPr>
        <w:ind w:left="2160" w:hanging="180"/>
      </w:pPr>
    </w:lvl>
    <w:lvl w:ilvl="3" w:tplc="282EF780">
      <w:start w:val="1"/>
      <w:numFmt w:val="decimal"/>
      <w:lvlText w:val="%4."/>
      <w:lvlJc w:val="left"/>
      <w:pPr>
        <w:ind w:left="2880" w:hanging="360"/>
      </w:pPr>
    </w:lvl>
    <w:lvl w:ilvl="4" w:tplc="B0B0C428">
      <w:start w:val="1"/>
      <w:numFmt w:val="lowerLetter"/>
      <w:lvlText w:val="%5."/>
      <w:lvlJc w:val="left"/>
      <w:pPr>
        <w:ind w:left="3600" w:hanging="360"/>
      </w:pPr>
    </w:lvl>
    <w:lvl w:ilvl="5" w:tplc="E5C8CBD4">
      <w:start w:val="1"/>
      <w:numFmt w:val="lowerRoman"/>
      <w:lvlText w:val="%6."/>
      <w:lvlJc w:val="right"/>
      <w:pPr>
        <w:ind w:left="4320" w:hanging="180"/>
      </w:pPr>
    </w:lvl>
    <w:lvl w:ilvl="6" w:tplc="0D90C03A">
      <w:start w:val="1"/>
      <w:numFmt w:val="decimal"/>
      <w:lvlText w:val="%7."/>
      <w:lvlJc w:val="left"/>
      <w:pPr>
        <w:ind w:left="5040" w:hanging="360"/>
      </w:pPr>
    </w:lvl>
    <w:lvl w:ilvl="7" w:tplc="FE8846FE">
      <w:start w:val="1"/>
      <w:numFmt w:val="lowerLetter"/>
      <w:lvlText w:val="%8."/>
      <w:lvlJc w:val="left"/>
      <w:pPr>
        <w:ind w:left="5760" w:hanging="360"/>
      </w:pPr>
    </w:lvl>
    <w:lvl w:ilvl="8" w:tplc="0D62DFB4">
      <w:start w:val="1"/>
      <w:numFmt w:val="lowerRoman"/>
      <w:lvlText w:val="%9."/>
      <w:lvlJc w:val="right"/>
      <w:pPr>
        <w:ind w:left="6480" w:hanging="180"/>
      </w:pPr>
    </w:lvl>
  </w:abstractNum>
  <w:abstractNum w:abstractNumId="55" w15:restartNumberingAfterBreak="0">
    <w:nsid w:val="17F4167A"/>
    <w:multiLevelType w:val="hybridMultilevel"/>
    <w:tmpl w:val="FFFFFFFF"/>
    <w:lvl w:ilvl="0" w:tplc="D3806AA2">
      <w:start w:val="1"/>
      <w:numFmt w:val="bullet"/>
      <w:lvlText w:val="-"/>
      <w:lvlJc w:val="left"/>
      <w:pPr>
        <w:ind w:left="720" w:hanging="360"/>
      </w:pPr>
      <w:rPr>
        <w:rFonts w:ascii="Calibri" w:hAnsi="Calibri" w:hint="default"/>
      </w:rPr>
    </w:lvl>
    <w:lvl w:ilvl="1" w:tplc="2C38E9DE">
      <w:start w:val="1"/>
      <w:numFmt w:val="bullet"/>
      <w:lvlText w:val="o"/>
      <w:lvlJc w:val="left"/>
      <w:pPr>
        <w:ind w:left="1440" w:hanging="360"/>
      </w:pPr>
      <w:rPr>
        <w:rFonts w:ascii="Courier New" w:hAnsi="Courier New" w:hint="default"/>
      </w:rPr>
    </w:lvl>
    <w:lvl w:ilvl="2" w:tplc="8E8C2270">
      <w:start w:val="1"/>
      <w:numFmt w:val="bullet"/>
      <w:lvlText w:val=""/>
      <w:lvlJc w:val="left"/>
      <w:pPr>
        <w:ind w:left="2160" w:hanging="360"/>
      </w:pPr>
      <w:rPr>
        <w:rFonts w:ascii="Wingdings" w:hAnsi="Wingdings" w:hint="default"/>
      </w:rPr>
    </w:lvl>
    <w:lvl w:ilvl="3" w:tplc="74BE373A">
      <w:start w:val="1"/>
      <w:numFmt w:val="bullet"/>
      <w:lvlText w:val=""/>
      <w:lvlJc w:val="left"/>
      <w:pPr>
        <w:ind w:left="2880" w:hanging="360"/>
      </w:pPr>
      <w:rPr>
        <w:rFonts w:ascii="Symbol" w:hAnsi="Symbol" w:hint="default"/>
      </w:rPr>
    </w:lvl>
    <w:lvl w:ilvl="4" w:tplc="FEEA031E">
      <w:start w:val="1"/>
      <w:numFmt w:val="bullet"/>
      <w:lvlText w:val="o"/>
      <w:lvlJc w:val="left"/>
      <w:pPr>
        <w:ind w:left="3600" w:hanging="360"/>
      </w:pPr>
      <w:rPr>
        <w:rFonts w:ascii="Courier New" w:hAnsi="Courier New" w:hint="default"/>
      </w:rPr>
    </w:lvl>
    <w:lvl w:ilvl="5" w:tplc="EA682F4C">
      <w:start w:val="1"/>
      <w:numFmt w:val="bullet"/>
      <w:lvlText w:val=""/>
      <w:lvlJc w:val="left"/>
      <w:pPr>
        <w:ind w:left="4320" w:hanging="360"/>
      </w:pPr>
      <w:rPr>
        <w:rFonts w:ascii="Wingdings" w:hAnsi="Wingdings" w:hint="default"/>
      </w:rPr>
    </w:lvl>
    <w:lvl w:ilvl="6" w:tplc="EDBCE59C">
      <w:start w:val="1"/>
      <w:numFmt w:val="bullet"/>
      <w:lvlText w:val=""/>
      <w:lvlJc w:val="left"/>
      <w:pPr>
        <w:ind w:left="5040" w:hanging="360"/>
      </w:pPr>
      <w:rPr>
        <w:rFonts w:ascii="Symbol" w:hAnsi="Symbol" w:hint="default"/>
      </w:rPr>
    </w:lvl>
    <w:lvl w:ilvl="7" w:tplc="28C8E89A">
      <w:start w:val="1"/>
      <w:numFmt w:val="bullet"/>
      <w:lvlText w:val="o"/>
      <w:lvlJc w:val="left"/>
      <w:pPr>
        <w:ind w:left="5760" w:hanging="360"/>
      </w:pPr>
      <w:rPr>
        <w:rFonts w:ascii="Courier New" w:hAnsi="Courier New" w:hint="default"/>
      </w:rPr>
    </w:lvl>
    <w:lvl w:ilvl="8" w:tplc="1CC032C8">
      <w:start w:val="1"/>
      <w:numFmt w:val="bullet"/>
      <w:lvlText w:val=""/>
      <w:lvlJc w:val="left"/>
      <w:pPr>
        <w:ind w:left="6480" w:hanging="360"/>
      </w:pPr>
      <w:rPr>
        <w:rFonts w:ascii="Wingdings" w:hAnsi="Wingdings" w:hint="default"/>
      </w:rPr>
    </w:lvl>
  </w:abstractNum>
  <w:abstractNum w:abstractNumId="56" w15:restartNumberingAfterBreak="0">
    <w:nsid w:val="17FF360B"/>
    <w:multiLevelType w:val="hybridMultilevel"/>
    <w:tmpl w:val="DEEA391C"/>
    <w:lvl w:ilvl="0" w:tplc="69BE2396">
      <w:start w:val="1"/>
      <w:numFmt w:val="decimal"/>
      <w:lvlText w:val="%1."/>
      <w:lvlJc w:val="left"/>
      <w:pPr>
        <w:ind w:left="720" w:hanging="360"/>
      </w:pPr>
    </w:lvl>
    <w:lvl w:ilvl="1" w:tplc="7D50F472">
      <w:start w:val="1"/>
      <w:numFmt w:val="lowerLetter"/>
      <w:lvlText w:val="%2."/>
      <w:lvlJc w:val="left"/>
      <w:pPr>
        <w:ind w:left="1440" w:hanging="360"/>
      </w:pPr>
    </w:lvl>
    <w:lvl w:ilvl="2" w:tplc="6B04F864">
      <w:start w:val="1"/>
      <w:numFmt w:val="lowerRoman"/>
      <w:lvlText w:val="%3."/>
      <w:lvlJc w:val="right"/>
      <w:pPr>
        <w:ind w:left="2160" w:hanging="180"/>
      </w:pPr>
    </w:lvl>
    <w:lvl w:ilvl="3" w:tplc="B73877EE">
      <w:start w:val="1"/>
      <w:numFmt w:val="decimal"/>
      <w:lvlText w:val="%4."/>
      <w:lvlJc w:val="left"/>
      <w:pPr>
        <w:ind w:left="2880" w:hanging="360"/>
      </w:pPr>
    </w:lvl>
    <w:lvl w:ilvl="4" w:tplc="6B3426E6">
      <w:start w:val="1"/>
      <w:numFmt w:val="lowerLetter"/>
      <w:lvlText w:val="%5."/>
      <w:lvlJc w:val="left"/>
      <w:pPr>
        <w:ind w:left="3600" w:hanging="360"/>
      </w:pPr>
    </w:lvl>
    <w:lvl w:ilvl="5" w:tplc="BC988446">
      <w:start w:val="1"/>
      <w:numFmt w:val="lowerRoman"/>
      <w:lvlText w:val="%6."/>
      <w:lvlJc w:val="right"/>
      <w:pPr>
        <w:ind w:left="4320" w:hanging="180"/>
      </w:pPr>
    </w:lvl>
    <w:lvl w:ilvl="6" w:tplc="02B66C00">
      <w:start w:val="1"/>
      <w:numFmt w:val="decimal"/>
      <w:lvlText w:val="%7."/>
      <w:lvlJc w:val="left"/>
      <w:pPr>
        <w:ind w:left="5040" w:hanging="360"/>
      </w:pPr>
    </w:lvl>
    <w:lvl w:ilvl="7" w:tplc="9398CC78">
      <w:start w:val="1"/>
      <w:numFmt w:val="lowerLetter"/>
      <w:lvlText w:val="%8."/>
      <w:lvlJc w:val="left"/>
      <w:pPr>
        <w:ind w:left="5760" w:hanging="360"/>
      </w:pPr>
    </w:lvl>
    <w:lvl w:ilvl="8" w:tplc="8EBC3454">
      <w:start w:val="1"/>
      <w:numFmt w:val="lowerRoman"/>
      <w:lvlText w:val="%9."/>
      <w:lvlJc w:val="right"/>
      <w:pPr>
        <w:ind w:left="6480" w:hanging="180"/>
      </w:pPr>
    </w:lvl>
  </w:abstractNum>
  <w:abstractNum w:abstractNumId="57" w15:restartNumberingAfterBreak="0">
    <w:nsid w:val="183612E9"/>
    <w:multiLevelType w:val="hybridMultilevel"/>
    <w:tmpl w:val="315A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AF56781"/>
    <w:multiLevelType w:val="hybridMultilevel"/>
    <w:tmpl w:val="D88025B6"/>
    <w:lvl w:ilvl="0" w:tplc="FFFFFFFF">
      <w:start w:val="1"/>
      <w:numFmt w:val="lowerRoman"/>
      <w:pStyle w:val="InstructionsText2"/>
      <w:lvlText w:val="(%1)"/>
      <w:lvlJc w:val="left"/>
      <w:pPr>
        <w:ind w:left="753" w:hanging="72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0" w15:restartNumberingAfterBreak="0">
    <w:nsid w:val="1B3E3FF6"/>
    <w:multiLevelType w:val="hybridMultilevel"/>
    <w:tmpl w:val="1FDA6F06"/>
    <w:lvl w:ilvl="0" w:tplc="08090001">
      <w:start w:val="1"/>
      <w:numFmt w:val="bullet"/>
      <w:lvlText w:val=""/>
      <w:lvlJc w:val="left"/>
      <w:pPr>
        <w:ind w:left="1428" w:hanging="360"/>
      </w:pPr>
      <w:rPr>
        <w:rFonts w:ascii="Symbol" w:hAnsi="Symbol" w:hint="default"/>
      </w:rPr>
    </w:lvl>
    <w:lvl w:ilvl="1" w:tplc="08090001">
      <w:start w:val="1"/>
      <w:numFmt w:val="bullet"/>
      <w:lvlText w:val=""/>
      <w:lvlJc w:val="left"/>
      <w:pPr>
        <w:ind w:left="2148" w:hanging="360"/>
      </w:pPr>
      <w:rPr>
        <w:rFonts w:ascii="Symbol" w:hAnsi="Symbol"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1" w15:restartNumberingAfterBreak="0">
    <w:nsid w:val="1BAB3364"/>
    <w:multiLevelType w:val="hybridMultilevel"/>
    <w:tmpl w:val="8AF6975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62"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63" w15:restartNumberingAfterBreak="0">
    <w:nsid w:val="1BFF31B6"/>
    <w:multiLevelType w:val="hybridMultilevel"/>
    <w:tmpl w:val="8E98E74A"/>
    <w:lvl w:ilvl="0" w:tplc="ACAA8B04">
      <w:start w:val="1"/>
      <w:numFmt w:val="decimal"/>
      <w:lvlText w:val="%1."/>
      <w:lvlJc w:val="left"/>
      <w:pPr>
        <w:ind w:left="720" w:hanging="360"/>
      </w:pPr>
    </w:lvl>
    <w:lvl w:ilvl="1" w:tplc="7D22FFB8">
      <w:start w:val="1"/>
      <w:numFmt w:val="lowerLetter"/>
      <w:lvlText w:val="%2."/>
      <w:lvlJc w:val="left"/>
      <w:pPr>
        <w:ind w:left="1440" w:hanging="360"/>
      </w:pPr>
    </w:lvl>
    <w:lvl w:ilvl="2" w:tplc="CA26D2FE">
      <w:start w:val="1"/>
      <w:numFmt w:val="lowerRoman"/>
      <w:lvlText w:val="%3."/>
      <w:lvlJc w:val="right"/>
      <w:pPr>
        <w:ind w:left="2160" w:hanging="180"/>
      </w:pPr>
    </w:lvl>
    <w:lvl w:ilvl="3" w:tplc="D1C4FD32">
      <w:start w:val="1"/>
      <w:numFmt w:val="decimal"/>
      <w:lvlText w:val="%4."/>
      <w:lvlJc w:val="left"/>
      <w:pPr>
        <w:ind w:left="2880" w:hanging="360"/>
      </w:pPr>
    </w:lvl>
    <w:lvl w:ilvl="4" w:tplc="0818E144">
      <w:start w:val="1"/>
      <w:numFmt w:val="lowerLetter"/>
      <w:lvlText w:val="%5."/>
      <w:lvlJc w:val="left"/>
      <w:pPr>
        <w:ind w:left="3600" w:hanging="360"/>
      </w:pPr>
    </w:lvl>
    <w:lvl w:ilvl="5" w:tplc="85768914">
      <w:start w:val="1"/>
      <w:numFmt w:val="lowerRoman"/>
      <w:lvlText w:val="%6."/>
      <w:lvlJc w:val="right"/>
      <w:pPr>
        <w:ind w:left="4320" w:hanging="180"/>
      </w:pPr>
    </w:lvl>
    <w:lvl w:ilvl="6" w:tplc="67DE0CFC">
      <w:start w:val="1"/>
      <w:numFmt w:val="decimal"/>
      <w:lvlText w:val="%7."/>
      <w:lvlJc w:val="left"/>
      <w:pPr>
        <w:ind w:left="5040" w:hanging="360"/>
      </w:pPr>
    </w:lvl>
    <w:lvl w:ilvl="7" w:tplc="6D086C82">
      <w:start w:val="1"/>
      <w:numFmt w:val="lowerLetter"/>
      <w:lvlText w:val="%8."/>
      <w:lvlJc w:val="left"/>
      <w:pPr>
        <w:ind w:left="5760" w:hanging="360"/>
      </w:pPr>
    </w:lvl>
    <w:lvl w:ilvl="8" w:tplc="487896A2">
      <w:start w:val="1"/>
      <w:numFmt w:val="lowerRoman"/>
      <w:lvlText w:val="%9."/>
      <w:lvlJc w:val="right"/>
      <w:pPr>
        <w:ind w:left="6480" w:hanging="180"/>
      </w:pPr>
    </w:lvl>
  </w:abstractNum>
  <w:abstractNum w:abstractNumId="64" w15:restartNumberingAfterBreak="0">
    <w:nsid w:val="1CA64CB3"/>
    <w:multiLevelType w:val="hybridMultilevel"/>
    <w:tmpl w:val="7BC0F8E2"/>
    <w:lvl w:ilvl="0" w:tplc="7B92F31A">
      <w:start w:val="1"/>
      <w:numFmt w:val="decimal"/>
      <w:lvlText w:val="%1."/>
      <w:lvlJc w:val="left"/>
      <w:pPr>
        <w:ind w:left="720" w:hanging="360"/>
      </w:pPr>
    </w:lvl>
    <w:lvl w:ilvl="1" w:tplc="EFBCC210">
      <w:start w:val="1"/>
      <w:numFmt w:val="lowerLetter"/>
      <w:lvlText w:val="%2."/>
      <w:lvlJc w:val="left"/>
      <w:pPr>
        <w:ind w:left="1440" w:hanging="360"/>
      </w:pPr>
    </w:lvl>
    <w:lvl w:ilvl="2" w:tplc="804C4D70">
      <w:start w:val="1"/>
      <w:numFmt w:val="lowerRoman"/>
      <w:lvlText w:val="%3."/>
      <w:lvlJc w:val="right"/>
      <w:pPr>
        <w:ind w:left="2160" w:hanging="180"/>
      </w:pPr>
    </w:lvl>
    <w:lvl w:ilvl="3" w:tplc="49F25176">
      <w:start w:val="1"/>
      <w:numFmt w:val="decimal"/>
      <w:lvlText w:val="%4."/>
      <w:lvlJc w:val="left"/>
      <w:pPr>
        <w:ind w:left="2880" w:hanging="360"/>
      </w:pPr>
    </w:lvl>
    <w:lvl w:ilvl="4" w:tplc="73D425A8">
      <w:start w:val="1"/>
      <w:numFmt w:val="lowerLetter"/>
      <w:lvlText w:val="%5."/>
      <w:lvlJc w:val="left"/>
      <w:pPr>
        <w:ind w:left="3600" w:hanging="360"/>
      </w:pPr>
    </w:lvl>
    <w:lvl w:ilvl="5" w:tplc="19F07CAE">
      <w:start w:val="1"/>
      <w:numFmt w:val="lowerRoman"/>
      <w:lvlText w:val="%6."/>
      <w:lvlJc w:val="right"/>
      <w:pPr>
        <w:ind w:left="4320" w:hanging="180"/>
      </w:pPr>
    </w:lvl>
    <w:lvl w:ilvl="6" w:tplc="B796AD18">
      <w:start w:val="1"/>
      <w:numFmt w:val="decimal"/>
      <w:lvlText w:val="%7."/>
      <w:lvlJc w:val="left"/>
      <w:pPr>
        <w:ind w:left="5040" w:hanging="360"/>
      </w:pPr>
    </w:lvl>
    <w:lvl w:ilvl="7" w:tplc="ED36B972">
      <w:start w:val="1"/>
      <w:numFmt w:val="lowerLetter"/>
      <w:lvlText w:val="%8."/>
      <w:lvlJc w:val="left"/>
      <w:pPr>
        <w:ind w:left="5760" w:hanging="360"/>
      </w:pPr>
    </w:lvl>
    <w:lvl w:ilvl="8" w:tplc="03CE765A">
      <w:start w:val="1"/>
      <w:numFmt w:val="lowerRoman"/>
      <w:lvlText w:val="%9."/>
      <w:lvlJc w:val="right"/>
      <w:pPr>
        <w:ind w:left="6480" w:hanging="180"/>
      </w:pPr>
    </w:lvl>
  </w:abstractNum>
  <w:abstractNum w:abstractNumId="65" w15:restartNumberingAfterBreak="0">
    <w:nsid w:val="1CFE6D4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D8F2BF3"/>
    <w:multiLevelType w:val="hybridMultilevel"/>
    <w:tmpl w:val="94E49D02"/>
    <w:lvl w:ilvl="0" w:tplc="CE9CC8B6">
      <w:start w:val="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DDB15C1"/>
    <w:multiLevelType w:val="hybridMultilevel"/>
    <w:tmpl w:val="A38E0354"/>
    <w:lvl w:ilvl="0" w:tplc="9CE80BD4">
      <w:start w:val="1"/>
      <w:numFmt w:val="decimal"/>
      <w:lvlText w:val="%1."/>
      <w:lvlJc w:val="left"/>
      <w:pPr>
        <w:ind w:left="530" w:hanging="4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ECC3D9B"/>
    <w:multiLevelType w:val="hybridMultilevel"/>
    <w:tmpl w:val="2ABCD738"/>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1FA53043"/>
    <w:multiLevelType w:val="hybridMultilevel"/>
    <w:tmpl w:val="FFFFFFFF"/>
    <w:lvl w:ilvl="0" w:tplc="56A0BC4A">
      <w:start w:val="1"/>
      <w:numFmt w:val="bullet"/>
      <w:lvlText w:val=""/>
      <w:lvlJc w:val="left"/>
      <w:pPr>
        <w:ind w:left="720" w:hanging="360"/>
      </w:pPr>
      <w:rPr>
        <w:rFonts w:ascii="Symbol" w:hAnsi="Symbol" w:hint="default"/>
      </w:rPr>
    </w:lvl>
    <w:lvl w:ilvl="1" w:tplc="F4BC5EE6">
      <w:start w:val="1"/>
      <w:numFmt w:val="bullet"/>
      <w:lvlText w:val="o"/>
      <w:lvlJc w:val="left"/>
      <w:pPr>
        <w:ind w:left="1440" w:hanging="360"/>
      </w:pPr>
      <w:rPr>
        <w:rFonts w:ascii="Courier New" w:hAnsi="Courier New" w:hint="default"/>
      </w:rPr>
    </w:lvl>
    <w:lvl w:ilvl="2" w:tplc="19506C50">
      <w:start w:val="1"/>
      <w:numFmt w:val="bullet"/>
      <w:lvlText w:val=""/>
      <w:lvlJc w:val="left"/>
      <w:pPr>
        <w:ind w:left="2160" w:hanging="360"/>
      </w:pPr>
      <w:rPr>
        <w:rFonts w:ascii="Wingdings" w:hAnsi="Wingdings" w:hint="default"/>
      </w:rPr>
    </w:lvl>
    <w:lvl w:ilvl="3" w:tplc="AE7A31B6">
      <w:start w:val="1"/>
      <w:numFmt w:val="bullet"/>
      <w:lvlText w:val=""/>
      <w:lvlJc w:val="left"/>
      <w:pPr>
        <w:ind w:left="2880" w:hanging="360"/>
      </w:pPr>
      <w:rPr>
        <w:rFonts w:ascii="Symbol" w:hAnsi="Symbol" w:hint="default"/>
      </w:rPr>
    </w:lvl>
    <w:lvl w:ilvl="4" w:tplc="9BF0E318">
      <w:start w:val="1"/>
      <w:numFmt w:val="bullet"/>
      <w:lvlText w:val="o"/>
      <w:lvlJc w:val="left"/>
      <w:pPr>
        <w:ind w:left="3600" w:hanging="360"/>
      </w:pPr>
      <w:rPr>
        <w:rFonts w:ascii="Courier New" w:hAnsi="Courier New" w:hint="default"/>
      </w:rPr>
    </w:lvl>
    <w:lvl w:ilvl="5" w:tplc="8F9A732E">
      <w:start w:val="1"/>
      <w:numFmt w:val="bullet"/>
      <w:lvlText w:val=""/>
      <w:lvlJc w:val="left"/>
      <w:pPr>
        <w:ind w:left="4320" w:hanging="360"/>
      </w:pPr>
      <w:rPr>
        <w:rFonts w:ascii="Wingdings" w:hAnsi="Wingdings" w:hint="default"/>
      </w:rPr>
    </w:lvl>
    <w:lvl w:ilvl="6" w:tplc="490A6A3A">
      <w:start w:val="1"/>
      <w:numFmt w:val="bullet"/>
      <w:lvlText w:val=""/>
      <w:lvlJc w:val="left"/>
      <w:pPr>
        <w:ind w:left="5040" w:hanging="360"/>
      </w:pPr>
      <w:rPr>
        <w:rFonts w:ascii="Symbol" w:hAnsi="Symbol" w:hint="default"/>
      </w:rPr>
    </w:lvl>
    <w:lvl w:ilvl="7" w:tplc="D0389B26">
      <w:start w:val="1"/>
      <w:numFmt w:val="bullet"/>
      <w:lvlText w:val="o"/>
      <w:lvlJc w:val="left"/>
      <w:pPr>
        <w:ind w:left="5760" w:hanging="360"/>
      </w:pPr>
      <w:rPr>
        <w:rFonts w:ascii="Courier New" w:hAnsi="Courier New" w:hint="default"/>
      </w:rPr>
    </w:lvl>
    <w:lvl w:ilvl="8" w:tplc="9C7E2CE8">
      <w:start w:val="1"/>
      <w:numFmt w:val="bullet"/>
      <w:lvlText w:val=""/>
      <w:lvlJc w:val="left"/>
      <w:pPr>
        <w:ind w:left="6480" w:hanging="360"/>
      </w:pPr>
      <w:rPr>
        <w:rFonts w:ascii="Wingdings" w:hAnsi="Wingdings" w:hint="default"/>
      </w:rPr>
    </w:lvl>
  </w:abstractNum>
  <w:abstractNum w:abstractNumId="70" w15:restartNumberingAfterBreak="0">
    <w:nsid w:val="205F03D1"/>
    <w:multiLevelType w:val="hybridMultilevel"/>
    <w:tmpl w:val="2870CD60"/>
    <w:lvl w:ilvl="0" w:tplc="D4EE6B8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1" w15:restartNumberingAfterBreak="0">
    <w:nsid w:val="208707BC"/>
    <w:multiLevelType w:val="hybridMultilevel"/>
    <w:tmpl w:val="EB3CED8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2" w15:restartNumberingAfterBreak="0">
    <w:nsid w:val="21015618"/>
    <w:multiLevelType w:val="hybridMultilevel"/>
    <w:tmpl w:val="31C834D8"/>
    <w:lvl w:ilvl="0" w:tplc="0816000F">
      <w:start w:val="1"/>
      <w:numFmt w:val="decimal"/>
      <w:lvlText w:val="%1."/>
      <w:lvlJc w:val="left"/>
      <w:pPr>
        <w:ind w:left="753" w:hanging="360"/>
      </w:pPr>
    </w:lvl>
    <w:lvl w:ilvl="1" w:tplc="08160019" w:tentative="1">
      <w:start w:val="1"/>
      <w:numFmt w:val="lowerLetter"/>
      <w:lvlText w:val="%2."/>
      <w:lvlJc w:val="left"/>
      <w:pPr>
        <w:ind w:left="1473" w:hanging="360"/>
      </w:pPr>
    </w:lvl>
    <w:lvl w:ilvl="2" w:tplc="0816001B" w:tentative="1">
      <w:start w:val="1"/>
      <w:numFmt w:val="lowerRoman"/>
      <w:lvlText w:val="%3."/>
      <w:lvlJc w:val="right"/>
      <w:pPr>
        <w:ind w:left="2193" w:hanging="180"/>
      </w:pPr>
    </w:lvl>
    <w:lvl w:ilvl="3" w:tplc="0816000F" w:tentative="1">
      <w:start w:val="1"/>
      <w:numFmt w:val="decimal"/>
      <w:lvlText w:val="%4."/>
      <w:lvlJc w:val="left"/>
      <w:pPr>
        <w:ind w:left="2913" w:hanging="360"/>
      </w:pPr>
    </w:lvl>
    <w:lvl w:ilvl="4" w:tplc="08160019" w:tentative="1">
      <w:start w:val="1"/>
      <w:numFmt w:val="lowerLetter"/>
      <w:lvlText w:val="%5."/>
      <w:lvlJc w:val="left"/>
      <w:pPr>
        <w:ind w:left="3633" w:hanging="360"/>
      </w:pPr>
    </w:lvl>
    <w:lvl w:ilvl="5" w:tplc="0816001B" w:tentative="1">
      <w:start w:val="1"/>
      <w:numFmt w:val="lowerRoman"/>
      <w:lvlText w:val="%6."/>
      <w:lvlJc w:val="right"/>
      <w:pPr>
        <w:ind w:left="4353" w:hanging="180"/>
      </w:pPr>
    </w:lvl>
    <w:lvl w:ilvl="6" w:tplc="0816000F" w:tentative="1">
      <w:start w:val="1"/>
      <w:numFmt w:val="decimal"/>
      <w:lvlText w:val="%7."/>
      <w:lvlJc w:val="left"/>
      <w:pPr>
        <w:ind w:left="5073" w:hanging="360"/>
      </w:pPr>
    </w:lvl>
    <w:lvl w:ilvl="7" w:tplc="08160019" w:tentative="1">
      <w:start w:val="1"/>
      <w:numFmt w:val="lowerLetter"/>
      <w:lvlText w:val="%8."/>
      <w:lvlJc w:val="left"/>
      <w:pPr>
        <w:ind w:left="5793" w:hanging="360"/>
      </w:pPr>
    </w:lvl>
    <w:lvl w:ilvl="8" w:tplc="0816001B" w:tentative="1">
      <w:start w:val="1"/>
      <w:numFmt w:val="lowerRoman"/>
      <w:lvlText w:val="%9."/>
      <w:lvlJc w:val="right"/>
      <w:pPr>
        <w:ind w:left="6513" w:hanging="180"/>
      </w:pPr>
    </w:lvl>
  </w:abstractNum>
  <w:abstractNum w:abstractNumId="73" w15:restartNumberingAfterBreak="0">
    <w:nsid w:val="215867C5"/>
    <w:multiLevelType w:val="hybridMultilevel"/>
    <w:tmpl w:val="FFFFFFFF"/>
    <w:lvl w:ilvl="0" w:tplc="66D0D3FC">
      <w:start w:val="1"/>
      <w:numFmt w:val="bullet"/>
      <w:lvlText w:val="·"/>
      <w:lvlJc w:val="left"/>
      <w:pPr>
        <w:ind w:left="720" w:hanging="360"/>
      </w:pPr>
      <w:rPr>
        <w:rFonts w:ascii="Symbol" w:hAnsi="Symbol" w:hint="default"/>
      </w:rPr>
    </w:lvl>
    <w:lvl w:ilvl="1" w:tplc="E33649CA">
      <w:start w:val="1"/>
      <w:numFmt w:val="bullet"/>
      <w:lvlText w:val="o"/>
      <w:lvlJc w:val="left"/>
      <w:pPr>
        <w:ind w:left="1440" w:hanging="360"/>
      </w:pPr>
      <w:rPr>
        <w:rFonts w:ascii="Courier New" w:hAnsi="Courier New" w:hint="default"/>
      </w:rPr>
    </w:lvl>
    <w:lvl w:ilvl="2" w:tplc="1E589404">
      <w:start w:val="1"/>
      <w:numFmt w:val="bullet"/>
      <w:lvlText w:val=""/>
      <w:lvlJc w:val="left"/>
      <w:pPr>
        <w:ind w:left="2160" w:hanging="360"/>
      </w:pPr>
      <w:rPr>
        <w:rFonts w:ascii="Wingdings" w:hAnsi="Wingdings" w:hint="default"/>
      </w:rPr>
    </w:lvl>
    <w:lvl w:ilvl="3" w:tplc="F2B238AE">
      <w:start w:val="1"/>
      <w:numFmt w:val="bullet"/>
      <w:lvlText w:val=""/>
      <w:lvlJc w:val="left"/>
      <w:pPr>
        <w:ind w:left="2880" w:hanging="360"/>
      </w:pPr>
      <w:rPr>
        <w:rFonts w:ascii="Symbol" w:hAnsi="Symbol" w:hint="default"/>
      </w:rPr>
    </w:lvl>
    <w:lvl w:ilvl="4" w:tplc="DBF02F08">
      <w:start w:val="1"/>
      <w:numFmt w:val="bullet"/>
      <w:lvlText w:val="o"/>
      <w:lvlJc w:val="left"/>
      <w:pPr>
        <w:ind w:left="3600" w:hanging="360"/>
      </w:pPr>
      <w:rPr>
        <w:rFonts w:ascii="Courier New" w:hAnsi="Courier New" w:hint="default"/>
      </w:rPr>
    </w:lvl>
    <w:lvl w:ilvl="5" w:tplc="AEDA5C72">
      <w:start w:val="1"/>
      <w:numFmt w:val="bullet"/>
      <w:lvlText w:val=""/>
      <w:lvlJc w:val="left"/>
      <w:pPr>
        <w:ind w:left="4320" w:hanging="360"/>
      </w:pPr>
      <w:rPr>
        <w:rFonts w:ascii="Wingdings" w:hAnsi="Wingdings" w:hint="default"/>
      </w:rPr>
    </w:lvl>
    <w:lvl w:ilvl="6" w:tplc="19B20A8A">
      <w:start w:val="1"/>
      <w:numFmt w:val="bullet"/>
      <w:lvlText w:val=""/>
      <w:lvlJc w:val="left"/>
      <w:pPr>
        <w:ind w:left="5040" w:hanging="360"/>
      </w:pPr>
      <w:rPr>
        <w:rFonts w:ascii="Symbol" w:hAnsi="Symbol" w:hint="default"/>
      </w:rPr>
    </w:lvl>
    <w:lvl w:ilvl="7" w:tplc="A1A6D11C">
      <w:start w:val="1"/>
      <w:numFmt w:val="bullet"/>
      <w:lvlText w:val="o"/>
      <w:lvlJc w:val="left"/>
      <w:pPr>
        <w:ind w:left="5760" w:hanging="360"/>
      </w:pPr>
      <w:rPr>
        <w:rFonts w:ascii="Courier New" w:hAnsi="Courier New" w:hint="default"/>
      </w:rPr>
    </w:lvl>
    <w:lvl w:ilvl="8" w:tplc="B1E29A3E">
      <w:start w:val="1"/>
      <w:numFmt w:val="bullet"/>
      <w:lvlText w:val=""/>
      <w:lvlJc w:val="left"/>
      <w:pPr>
        <w:ind w:left="6480" w:hanging="360"/>
      </w:pPr>
      <w:rPr>
        <w:rFonts w:ascii="Wingdings" w:hAnsi="Wingdings" w:hint="default"/>
      </w:rPr>
    </w:lvl>
  </w:abstractNum>
  <w:abstractNum w:abstractNumId="74" w15:restartNumberingAfterBreak="0">
    <w:nsid w:val="21DB0054"/>
    <w:multiLevelType w:val="hybridMultilevel"/>
    <w:tmpl w:val="FFFFFFFF"/>
    <w:lvl w:ilvl="0" w:tplc="7B38B750">
      <w:start w:val="1"/>
      <w:numFmt w:val="bullet"/>
      <w:lvlText w:val=""/>
      <w:lvlJc w:val="left"/>
      <w:pPr>
        <w:ind w:left="720" w:hanging="360"/>
      </w:pPr>
      <w:rPr>
        <w:rFonts w:ascii="Symbol" w:hAnsi="Symbol" w:hint="default"/>
      </w:rPr>
    </w:lvl>
    <w:lvl w:ilvl="1" w:tplc="0FCE9EFC">
      <w:start w:val="1"/>
      <w:numFmt w:val="bullet"/>
      <w:lvlText w:val="o"/>
      <w:lvlJc w:val="left"/>
      <w:pPr>
        <w:ind w:left="1440" w:hanging="360"/>
      </w:pPr>
      <w:rPr>
        <w:rFonts w:ascii="Courier New" w:hAnsi="Courier New" w:hint="default"/>
      </w:rPr>
    </w:lvl>
    <w:lvl w:ilvl="2" w:tplc="97A4EB06">
      <w:start w:val="1"/>
      <w:numFmt w:val="bullet"/>
      <w:lvlText w:val=""/>
      <w:lvlJc w:val="left"/>
      <w:pPr>
        <w:ind w:left="2160" w:hanging="360"/>
      </w:pPr>
      <w:rPr>
        <w:rFonts w:ascii="Wingdings" w:hAnsi="Wingdings" w:hint="default"/>
      </w:rPr>
    </w:lvl>
    <w:lvl w:ilvl="3" w:tplc="FD740D12">
      <w:start w:val="1"/>
      <w:numFmt w:val="bullet"/>
      <w:lvlText w:val=""/>
      <w:lvlJc w:val="left"/>
      <w:pPr>
        <w:ind w:left="2880" w:hanging="360"/>
      </w:pPr>
      <w:rPr>
        <w:rFonts w:ascii="Symbol" w:hAnsi="Symbol" w:hint="default"/>
      </w:rPr>
    </w:lvl>
    <w:lvl w:ilvl="4" w:tplc="CC847C96">
      <w:start w:val="1"/>
      <w:numFmt w:val="bullet"/>
      <w:lvlText w:val="o"/>
      <w:lvlJc w:val="left"/>
      <w:pPr>
        <w:ind w:left="3600" w:hanging="360"/>
      </w:pPr>
      <w:rPr>
        <w:rFonts w:ascii="Courier New" w:hAnsi="Courier New" w:hint="default"/>
      </w:rPr>
    </w:lvl>
    <w:lvl w:ilvl="5" w:tplc="1396E672">
      <w:start w:val="1"/>
      <w:numFmt w:val="bullet"/>
      <w:lvlText w:val=""/>
      <w:lvlJc w:val="left"/>
      <w:pPr>
        <w:ind w:left="4320" w:hanging="360"/>
      </w:pPr>
      <w:rPr>
        <w:rFonts w:ascii="Wingdings" w:hAnsi="Wingdings" w:hint="default"/>
      </w:rPr>
    </w:lvl>
    <w:lvl w:ilvl="6" w:tplc="56A68A46">
      <w:start w:val="1"/>
      <w:numFmt w:val="bullet"/>
      <w:lvlText w:val=""/>
      <w:lvlJc w:val="left"/>
      <w:pPr>
        <w:ind w:left="5040" w:hanging="360"/>
      </w:pPr>
      <w:rPr>
        <w:rFonts w:ascii="Symbol" w:hAnsi="Symbol" w:hint="default"/>
      </w:rPr>
    </w:lvl>
    <w:lvl w:ilvl="7" w:tplc="06321E22">
      <w:start w:val="1"/>
      <w:numFmt w:val="bullet"/>
      <w:lvlText w:val="o"/>
      <w:lvlJc w:val="left"/>
      <w:pPr>
        <w:ind w:left="5760" w:hanging="360"/>
      </w:pPr>
      <w:rPr>
        <w:rFonts w:ascii="Courier New" w:hAnsi="Courier New" w:hint="default"/>
      </w:rPr>
    </w:lvl>
    <w:lvl w:ilvl="8" w:tplc="67907B4C">
      <w:start w:val="1"/>
      <w:numFmt w:val="bullet"/>
      <w:lvlText w:val=""/>
      <w:lvlJc w:val="left"/>
      <w:pPr>
        <w:ind w:left="6480" w:hanging="360"/>
      </w:pPr>
      <w:rPr>
        <w:rFonts w:ascii="Wingdings" w:hAnsi="Wingdings" w:hint="default"/>
      </w:rPr>
    </w:lvl>
  </w:abstractNum>
  <w:abstractNum w:abstractNumId="75" w15:restartNumberingAfterBreak="0">
    <w:nsid w:val="21DB0685"/>
    <w:multiLevelType w:val="hybridMultilevel"/>
    <w:tmpl w:val="A6F22872"/>
    <w:lvl w:ilvl="0" w:tplc="FC5863EC">
      <w:start w:val="1"/>
      <w:numFmt w:val="bullet"/>
      <w:lvlText w:val="·"/>
      <w:lvlJc w:val="left"/>
      <w:pPr>
        <w:ind w:left="720" w:hanging="360"/>
      </w:pPr>
    </w:lvl>
    <w:lvl w:ilvl="1" w:tplc="F452AEC6">
      <w:start w:val="1"/>
      <w:numFmt w:val="decimal"/>
      <w:lvlText w:val="%2."/>
      <w:lvlJc w:val="left"/>
      <w:pPr>
        <w:ind w:left="1440" w:hanging="360"/>
      </w:pPr>
    </w:lvl>
    <w:lvl w:ilvl="2" w:tplc="6C66208E">
      <w:start w:val="1"/>
      <w:numFmt w:val="lowerRoman"/>
      <w:lvlText w:val="%3."/>
      <w:lvlJc w:val="right"/>
      <w:pPr>
        <w:ind w:left="2160" w:hanging="180"/>
      </w:pPr>
    </w:lvl>
    <w:lvl w:ilvl="3" w:tplc="5BB47052">
      <w:start w:val="1"/>
      <w:numFmt w:val="decimal"/>
      <w:lvlText w:val="%4."/>
      <w:lvlJc w:val="left"/>
      <w:pPr>
        <w:ind w:left="2880" w:hanging="360"/>
      </w:pPr>
    </w:lvl>
    <w:lvl w:ilvl="4" w:tplc="6C94D770">
      <w:start w:val="1"/>
      <w:numFmt w:val="lowerLetter"/>
      <w:lvlText w:val="%5."/>
      <w:lvlJc w:val="left"/>
      <w:pPr>
        <w:ind w:left="3600" w:hanging="360"/>
      </w:pPr>
    </w:lvl>
    <w:lvl w:ilvl="5" w:tplc="A642BA68">
      <w:start w:val="1"/>
      <w:numFmt w:val="lowerRoman"/>
      <w:lvlText w:val="%6."/>
      <w:lvlJc w:val="right"/>
      <w:pPr>
        <w:ind w:left="4320" w:hanging="180"/>
      </w:pPr>
    </w:lvl>
    <w:lvl w:ilvl="6" w:tplc="B3707128">
      <w:start w:val="1"/>
      <w:numFmt w:val="decimal"/>
      <w:lvlText w:val="%7."/>
      <w:lvlJc w:val="left"/>
      <w:pPr>
        <w:ind w:left="5040" w:hanging="360"/>
      </w:pPr>
    </w:lvl>
    <w:lvl w:ilvl="7" w:tplc="772A0D4A">
      <w:start w:val="1"/>
      <w:numFmt w:val="lowerLetter"/>
      <w:lvlText w:val="%8."/>
      <w:lvlJc w:val="left"/>
      <w:pPr>
        <w:ind w:left="5760" w:hanging="360"/>
      </w:pPr>
    </w:lvl>
    <w:lvl w:ilvl="8" w:tplc="4AD2EEA8">
      <w:start w:val="1"/>
      <w:numFmt w:val="lowerRoman"/>
      <w:lvlText w:val="%9."/>
      <w:lvlJc w:val="right"/>
      <w:pPr>
        <w:ind w:left="6480" w:hanging="180"/>
      </w:pPr>
    </w:lvl>
  </w:abstractNum>
  <w:abstractNum w:abstractNumId="76" w15:restartNumberingAfterBreak="0">
    <w:nsid w:val="23506EBB"/>
    <w:multiLevelType w:val="hybridMultilevel"/>
    <w:tmpl w:val="4012758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15:restartNumberingAfterBreak="0">
    <w:nsid w:val="24CD765C"/>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4D41CE6"/>
    <w:multiLevelType w:val="hybridMultilevel"/>
    <w:tmpl w:val="A3E6511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79" w15:restartNumberingAfterBreak="0">
    <w:nsid w:val="24F57D5B"/>
    <w:multiLevelType w:val="hybridMultilevel"/>
    <w:tmpl w:val="FFFFFFFF"/>
    <w:lvl w:ilvl="0" w:tplc="DEE460C8">
      <w:start w:val="1"/>
      <w:numFmt w:val="bullet"/>
      <w:lvlText w:val=""/>
      <w:lvlJc w:val="left"/>
      <w:pPr>
        <w:ind w:left="360" w:hanging="360"/>
      </w:pPr>
      <w:rPr>
        <w:rFonts w:ascii="Symbol" w:hAnsi="Symbol" w:hint="default"/>
      </w:rPr>
    </w:lvl>
    <w:lvl w:ilvl="1" w:tplc="63F40C56">
      <w:start w:val="1"/>
      <w:numFmt w:val="bullet"/>
      <w:lvlText w:val="o"/>
      <w:lvlJc w:val="left"/>
      <w:pPr>
        <w:ind w:left="1080" w:hanging="360"/>
      </w:pPr>
      <w:rPr>
        <w:rFonts w:ascii="Courier New" w:hAnsi="Courier New" w:hint="default"/>
      </w:rPr>
    </w:lvl>
    <w:lvl w:ilvl="2" w:tplc="916AF322">
      <w:start w:val="1"/>
      <w:numFmt w:val="bullet"/>
      <w:lvlText w:val=""/>
      <w:lvlJc w:val="left"/>
      <w:pPr>
        <w:ind w:left="1800" w:hanging="360"/>
      </w:pPr>
      <w:rPr>
        <w:rFonts w:ascii="Wingdings" w:hAnsi="Wingdings" w:hint="default"/>
      </w:rPr>
    </w:lvl>
    <w:lvl w:ilvl="3" w:tplc="FC0E65A8">
      <w:start w:val="1"/>
      <w:numFmt w:val="bullet"/>
      <w:lvlText w:val=""/>
      <w:lvlJc w:val="left"/>
      <w:pPr>
        <w:ind w:left="2520" w:hanging="360"/>
      </w:pPr>
      <w:rPr>
        <w:rFonts w:ascii="Symbol" w:hAnsi="Symbol" w:hint="default"/>
      </w:rPr>
    </w:lvl>
    <w:lvl w:ilvl="4" w:tplc="60FACDA0">
      <w:start w:val="1"/>
      <w:numFmt w:val="bullet"/>
      <w:lvlText w:val="o"/>
      <w:lvlJc w:val="left"/>
      <w:pPr>
        <w:ind w:left="3240" w:hanging="360"/>
      </w:pPr>
      <w:rPr>
        <w:rFonts w:ascii="Courier New" w:hAnsi="Courier New" w:hint="default"/>
      </w:rPr>
    </w:lvl>
    <w:lvl w:ilvl="5" w:tplc="0A7455AA">
      <w:start w:val="1"/>
      <w:numFmt w:val="bullet"/>
      <w:lvlText w:val=""/>
      <w:lvlJc w:val="left"/>
      <w:pPr>
        <w:ind w:left="3960" w:hanging="360"/>
      </w:pPr>
      <w:rPr>
        <w:rFonts w:ascii="Wingdings" w:hAnsi="Wingdings" w:hint="default"/>
      </w:rPr>
    </w:lvl>
    <w:lvl w:ilvl="6" w:tplc="C92E9124">
      <w:start w:val="1"/>
      <w:numFmt w:val="bullet"/>
      <w:lvlText w:val=""/>
      <w:lvlJc w:val="left"/>
      <w:pPr>
        <w:ind w:left="4680" w:hanging="360"/>
      </w:pPr>
      <w:rPr>
        <w:rFonts w:ascii="Symbol" w:hAnsi="Symbol" w:hint="default"/>
      </w:rPr>
    </w:lvl>
    <w:lvl w:ilvl="7" w:tplc="8A66EACE">
      <w:start w:val="1"/>
      <w:numFmt w:val="bullet"/>
      <w:lvlText w:val="o"/>
      <w:lvlJc w:val="left"/>
      <w:pPr>
        <w:ind w:left="5400" w:hanging="360"/>
      </w:pPr>
      <w:rPr>
        <w:rFonts w:ascii="Courier New" w:hAnsi="Courier New" w:hint="default"/>
      </w:rPr>
    </w:lvl>
    <w:lvl w:ilvl="8" w:tplc="970875C0">
      <w:start w:val="1"/>
      <w:numFmt w:val="bullet"/>
      <w:lvlText w:val=""/>
      <w:lvlJc w:val="left"/>
      <w:pPr>
        <w:ind w:left="6120" w:hanging="360"/>
      </w:pPr>
      <w:rPr>
        <w:rFonts w:ascii="Wingdings" w:hAnsi="Wingdings" w:hint="default"/>
      </w:rPr>
    </w:lvl>
  </w:abstractNum>
  <w:abstractNum w:abstractNumId="80" w15:restartNumberingAfterBreak="0">
    <w:nsid w:val="257D546D"/>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6084AF9"/>
    <w:multiLevelType w:val="hybridMultilevel"/>
    <w:tmpl w:val="B5B6B6DA"/>
    <w:lvl w:ilvl="0" w:tplc="6304ED5E">
      <w:start w:val="1"/>
      <w:numFmt w:val="decimal"/>
      <w:lvlText w:val="(%1)"/>
      <w:lvlJc w:val="righ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2" w15:restartNumberingAfterBreak="0">
    <w:nsid w:val="263E457A"/>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7302095"/>
    <w:multiLevelType w:val="hybridMultilevel"/>
    <w:tmpl w:val="6F22CD90"/>
    <w:lvl w:ilvl="0" w:tplc="B11C0F76">
      <w:start w:val="1"/>
      <w:numFmt w:val="bullet"/>
      <w:lvlText w:val=""/>
      <w:lvlJc w:val="left"/>
      <w:pPr>
        <w:ind w:left="360" w:hanging="360"/>
      </w:pPr>
      <w:rPr>
        <w:rFonts w:ascii="Symbol" w:hAnsi="Symbol" w:hint="default"/>
      </w:rPr>
    </w:lvl>
    <w:lvl w:ilvl="1" w:tplc="7F0086BC">
      <w:start w:val="1"/>
      <w:numFmt w:val="bullet"/>
      <w:lvlText w:val="o"/>
      <w:lvlJc w:val="left"/>
      <w:pPr>
        <w:ind w:left="1080" w:hanging="360"/>
      </w:pPr>
      <w:rPr>
        <w:rFonts w:ascii="Courier New" w:hAnsi="Courier New" w:hint="default"/>
      </w:rPr>
    </w:lvl>
    <w:lvl w:ilvl="2" w:tplc="5492EAF6">
      <w:start w:val="1"/>
      <w:numFmt w:val="bullet"/>
      <w:lvlText w:val=""/>
      <w:lvlJc w:val="left"/>
      <w:pPr>
        <w:ind w:left="1800" w:hanging="360"/>
      </w:pPr>
      <w:rPr>
        <w:rFonts w:ascii="Wingdings" w:hAnsi="Wingdings" w:hint="default"/>
      </w:rPr>
    </w:lvl>
    <w:lvl w:ilvl="3" w:tplc="A7C492FA">
      <w:start w:val="1"/>
      <w:numFmt w:val="bullet"/>
      <w:lvlText w:val=""/>
      <w:lvlJc w:val="left"/>
      <w:pPr>
        <w:ind w:left="2520" w:hanging="360"/>
      </w:pPr>
      <w:rPr>
        <w:rFonts w:ascii="Symbol" w:hAnsi="Symbol" w:hint="default"/>
      </w:rPr>
    </w:lvl>
    <w:lvl w:ilvl="4" w:tplc="E800CCD4">
      <w:start w:val="1"/>
      <w:numFmt w:val="bullet"/>
      <w:lvlText w:val="o"/>
      <w:lvlJc w:val="left"/>
      <w:pPr>
        <w:ind w:left="3240" w:hanging="360"/>
      </w:pPr>
      <w:rPr>
        <w:rFonts w:ascii="Courier New" w:hAnsi="Courier New" w:hint="default"/>
      </w:rPr>
    </w:lvl>
    <w:lvl w:ilvl="5" w:tplc="9E746E8A">
      <w:start w:val="1"/>
      <w:numFmt w:val="bullet"/>
      <w:lvlText w:val=""/>
      <w:lvlJc w:val="left"/>
      <w:pPr>
        <w:ind w:left="3960" w:hanging="360"/>
      </w:pPr>
      <w:rPr>
        <w:rFonts w:ascii="Wingdings" w:hAnsi="Wingdings" w:hint="default"/>
      </w:rPr>
    </w:lvl>
    <w:lvl w:ilvl="6" w:tplc="20CC8A42">
      <w:start w:val="1"/>
      <w:numFmt w:val="bullet"/>
      <w:lvlText w:val=""/>
      <w:lvlJc w:val="left"/>
      <w:pPr>
        <w:ind w:left="4680" w:hanging="360"/>
      </w:pPr>
      <w:rPr>
        <w:rFonts w:ascii="Symbol" w:hAnsi="Symbol" w:hint="default"/>
      </w:rPr>
    </w:lvl>
    <w:lvl w:ilvl="7" w:tplc="6E7E6B2A">
      <w:start w:val="1"/>
      <w:numFmt w:val="bullet"/>
      <w:lvlText w:val="o"/>
      <w:lvlJc w:val="left"/>
      <w:pPr>
        <w:ind w:left="5400" w:hanging="360"/>
      </w:pPr>
      <w:rPr>
        <w:rFonts w:ascii="Courier New" w:hAnsi="Courier New" w:hint="default"/>
      </w:rPr>
    </w:lvl>
    <w:lvl w:ilvl="8" w:tplc="CD04B684">
      <w:start w:val="1"/>
      <w:numFmt w:val="bullet"/>
      <w:lvlText w:val=""/>
      <w:lvlJc w:val="left"/>
      <w:pPr>
        <w:ind w:left="6120" w:hanging="360"/>
      </w:pPr>
      <w:rPr>
        <w:rFonts w:ascii="Wingdings" w:hAnsi="Wingdings" w:hint="default"/>
      </w:rPr>
    </w:lvl>
  </w:abstractNum>
  <w:abstractNum w:abstractNumId="84" w15:restartNumberingAfterBreak="0">
    <w:nsid w:val="28D94999"/>
    <w:multiLevelType w:val="hybridMultilevel"/>
    <w:tmpl w:val="FFFFFFFF"/>
    <w:lvl w:ilvl="0" w:tplc="6D2E19CE">
      <w:start w:val="1"/>
      <w:numFmt w:val="bullet"/>
      <w:lvlText w:val="·"/>
      <w:lvlJc w:val="left"/>
      <w:pPr>
        <w:ind w:left="720" w:hanging="360"/>
      </w:pPr>
      <w:rPr>
        <w:rFonts w:ascii="Symbol" w:hAnsi="Symbol" w:hint="default"/>
      </w:rPr>
    </w:lvl>
    <w:lvl w:ilvl="1" w:tplc="773A8C0E">
      <w:start w:val="1"/>
      <w:numFmt w:val="bullet"/>
      <w:lvlText w:val="o"/>
      <w:lvlJc w:val="left"/>
      <w:pPr>
        <w:ind w:left="1440" w:hanging="360"/>
      </w:pPr>
      <w:rPr>
        <w:rFonts w:ascii="Courier New" w:hAnsi="Courier New" w:hint="default"/>
      </w:rPr>
    </w:lvl>
    <w:lvl w:ilvl="2" w:tplc="9B22DB34">
      <w:start w:val="1"/>
      <w:numFmt w:val="bullet"/>
      <w:lvlText w:val=""/>
      <w:lvlJc w:val="left"/>
      <w:pPr>
        <w:ind w:left="2160" w:hanging="360"/>
      </w:pPr>
      <w:rPr>
        <w:rFonts w:ascii="Wingdings" w:hAnsi="Wingdings" w:hint="default"/>
      </w:rPr>
    </w:lvl>
    <w:lvl w:ilvl="3" w:tplc="1166C3EA">
      <w:start w:val="1"/>
      <w:numFmt w:val="bullet"/>
      <w:lvlText w:val=""/>
      <w:lvlJc w:val="left"/>
      <w:pPr>
        <w:ind w:left="2880" w:hanging="360"/>
      </w:pPr>
      <w:rPr>
        <w:rFonts w:ascii="Symbol" w:hAnsi="Symbol" w:hint="default"/>
      </w:rPr>
    </w:lvl>
    <w:lvl w:ilvl="4" w:tplc="9FECC55E">
      <w:start w:val="1"/>
      <w:numFmt w:val="bullet"/>
      <w:lvlText w:val="o"/>
      <w:lvlJc w:val="left"/>
      <w:pPr>
        <w:ind w:left="3600" w:hanging="360"/>
      </w:pPr>
      <w:rPr>
        <w:rFonts w:ascii="Courier New" w:hAnsi="Courier New" w:hint="default"/>
      </w:rPr>
    </w:lvl>
    <w:lvl w:ilvl="5" w:tplc="32A66B5E">
      <w:start w:val="1"/>
      <w:numFmt w:val="bullet"/>
      <w:lvlText w:val=""/>
      <w:lvlJc w:val="left"/>
      <w:pPr>
        <w:ind w:left="4320" w:hanging="360"/>
      </w:pPr>
      <w:rPr>
        <w:rFonts w:ascii="Wingdings" w:hAnsi="Wingdings" w:hint="default"/>
      </w:rPr>
    </w:lvl>
    <w:lvl w:ilvl="6" w:tplc="5E6268DC">
      <w:start w:val="1"/>
      <w:numFmt w:val="bullet"/>
      <w:lvlText w:val=""/>
      <w:lvlJc w:val="left"/>
      <w:pPr>
        <w:ind w:left="5040" w:hanging="360"/>
      </w:pPr>
      <w:rPr>
        <w:rFonts w:ascii="Symbol" w:hAnsi="Symbol" w:hint="default"/>
      </w:rPr>
    </w:lvl>
    <w:lvl w:ilvl="7" w:tplc="1C9AADCE">
      <w:start w:val="1"/>
      <w:numFmt w:val="bullet"/>
      <w:lvlText w:val="o"/>
      <w:lvlJc w:val="left"/>
      <w:pPr>
        <w:ind w:left="5760" w:hanging="360"/>
      </w:pPr>
      <w:rPr>
        <w:rFonts w:ascii="Courier New" w:hAnsi="Courier New" w:hint="default"/>
      </w:rPr>
    </w:lvl>
    <w:lvl w:ilvl="8" w:tplc="28E89DD2">
      <w:start w:val="1"/>
      <w:numFmt w:val="bullet"/>
      <w:lvlText w:val=""/>
      <w:lvlJc w:val="left"/>
      <w:pPr>
        <w:ind w:left="6480" w:hanging="360"/>
      </w:pPr>
      <w:rPr>
        <w:rFonts w:ascii="Wingdings" w:hAnsi="Wingdings" w:hint="default"/>
      </w:rPr>
    </w:lvl>
  </w:abstractNum>
  <w:abstractNum w:abstractNumId="85" w15:restartNumberingAfterBreak="0">
    <w:nsid w:val="29C077D9"/>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6" w15:restartNumberingAfterBreak="0">
    <w:nsid w:val="2A1529A7"/>
    <w:multiLevelType w:val="hybridMultilevel"/>
    <w:tmpl w:val="FFFFFFFF"/>
    <w:lvl w:ilvl="0" w:tplc="50C28FAA">
      <w:start w:val="1"/>
      <w:numFmt w:val="decimal"/>
      <w:lvlText w:val="%1."/>
      <w:lvlJc w:val="left"/>
      <w:pPr>
        <w:ind w:left="720" w:hanging="360"/>
      </w:pPr>
    </w:lvl>
    <w:lvl w:ilvl="1" w:tplc="13C84BD0">
      <w:start w:val="1"/>
      <w:numFmt w:val="lowerLetter"/>
      <w:lvlText w:val="%2."/>
      <w:lvlJc w:val="left"/>
      <w:pPr>
        <w:ind w:left="1440" w:hanging="360"/>
      </w:pPr>
    </w:lvl>
    <w:lvl w:ilvl="2" w:tplc="CF7ED2DE">
      <w:start w:val="1"/>
      <w:numFmt w:val="lowerRoman"/>
      <w:lvlText w:val="%3."/>
      <w:lvlJc w:val="right"/>
      <w:pPr>
        <w:ind w:left="2160" w:hanging="180"/>
      </w:pPr>
    </w:lvl>
    <w:lvl w:ilvl="3" w:tplc="330A7E6E">
      <w:start w:val="1"/>
      <w:numFmt w:val="decimal"/>
      <w:lvlText w:val="%4."/>
      <w:lvlJc w:val="left"/>
      <w:pPr>
        <w:ind w:left="2880" w:hanging="360"/>
      </w:pPr>
    </w:lvl>
    <w:lvl w:ilvl="4" w:tplc="9F1EAED2">
      <w:start w:val="1"/>
      <w:numFmt w:val="lowerLetter"/>
      <w:lvlText w:val="%5."/>
      <w:lvlJc w:val="left"/>
      <w:pPr>
        <w:ind w:left="3600" w:hanging="360"/>
      </w:pPr>
    </w:lvl>
    <w:lvl w:ilvl="5" w:tplc="3B00F04E">
      <w:start w:val="1"/>
      <w:numFmt w:val="lowerRoman"/>
      <w:lvlText w:val="%6."/>
      <w:lvlJc w:val="right"/>
      <w:pPr>
        <w:ind w:left="4320" w:hanging="180"/>
      </w:pPr>
    </w:lvl>
    <w:lvl w:ilvl="6" w:tplc="792ADCD8">
      <w:start w:val="1"/>
      <w:numFmt w:val="decimal"/>
      <w:lvlText w:val="%7."/>
      <w:lvlJc w:val="left"/>
      <w:pPr>
        <w:ind w:left="5040" w:hanging="360"/>
      </w:pPr>
    </w:lvl>
    <w:lvl w:ilvl="7" w:tplc="EC564EB4">
      <w:start w:val="1"/>
      <w:numFmt w:val="lowerLetter"/>
      <w:lvlText w:val="%8."/>
      <w:lvlJc w:val="left"/>
      <w:pPr>
        <w:ind w:left="5760" w:hanging="360"/>
      </w:pPr>
    </w:lvl>
    <w:lvl w:ilvl="8" w:tplc="DC183204">
      <w:start w:val="1"/>
      <w:numFmt w:val="lowerRoman"/>
      <w:lvlText w:val="%9."/>
      <w:lvlJc w:val="right"/>
      <w:pPr>
        <w:ind w:left="6480" w:hanging="180"/>
      </w:pPr>
    </w:lvl>
  </w:abstractNum>
  <w:abstractNum w:abstractNumId="87" w15:restartNumberingAfterBreak="0">
    <w:nsid w:val="2B2B3A92"/>
    <w:multiLevelType w:val="singleLevel"/>
    <w:tmpl w:val="73D64A0E"/>
    <w:name w:val="Considérant__1"/>
    <w:lvl w:ilvl="0">
      <w:numFmt w:val="decimal"/>
      <w:lvlRestart w:val="0"/>
      <w:pStyle w:val="Considrant"/>
      <w:lvlText w:val="(%1)"/>
      <w:lvlJc w:val="left"/>
    </w:lvl>
  </w:abstractNum>
  <w:abstractNum w:abstractNumId="88" w15:restartNumberingAfterBreak="0">
    <w:nsid w:val="2BF476F4"/>
    <w:multiLevelType w:val="hybridMultilevel"/>
    <w:tmpl w:val="FFFFFFFF"/>
    <w:lvl w:ilvl="0" w:tplc="74428578">
      <w:start w:val="1"/>
      <w:numFmt w:val="decimal"/>
      <w:lvlText w:val="%1."/>
      <w:lvlJc w:val="left"/>
      <w:pPr>
        <w:ind w:left="720" w:hanging="360"/>
      </w:pPr>
    </w:lvl>
    <w:lvl w:ilvl="1" w:tplc="D278D5AE">
      <w:start w:val="1"/>
      <w:numFmt w:val="decimal"/>
      <w:lvlText w:val="%2."/>
      <w:lvlJc w:val="left"/>
      <w:pPr>
        <w:ind w:left="1440" w:hanging="360"/>
      </w:pPr>
    </w:lvl>
    <w:lvl w:ilvl="2" w:tplc="232A8F0E">
      <w:start w:val="1"/>
      <w:numFmt w:val="lowerRoman"/>
      <w:lvlText w:val="%3."/>
      <w:lvlJc w:val="right"/>
      <w:pPr>
        <w:ind w:left="2160" w:hanging="180"/>
      </w:pPr>
    </w:lvl>
    <w:lvl w:ilvl="3" w:tplc="97CC083E">
      <w:start w:val="1"/>
      <w:numFmt w:val="decimal"/>
      <w:lvlText w:val="%4."/>
      <w:lvlJc w:val="left"/>
      <w:pPr>
        <w:ind w:left="2880" w:hanging="360"/>
      </w:pPr>
    </w:lvl>
    <w:lvl w:ilvl="4" w:tplc="8FA06958">
      <w:start w:val="1"/>
      <w:numFmt w:val="lowerLetter"/>
      <w:lvlText w:val="%5."/>
      <w:lvlJc w:val="left"/>
      <w:pPr>
        <w:ind w:left="3600" w:hanging="360"/>
      </w:pPr>
    </w:lvl>
    <w:lvl w:ilvl="5" w:tplc="EA567478">
      <w:start w:val="1"/>
      <w:numFmt w:val="lowerRoman"/>
      <w:lvlText w:val="%6."/>
      <w:lvlJc w:val="right"/>
      <w:pPr>
        <w:ind w:left="4320" w:hanging="180"/>
      </w:pPr>
    </w:lvl>
    <w:lvl w:ilvl="6" w:tplc="9E441F5A">
      <w:start w:val="1"/>
      <w:numFmt w:val="decimal"/>
      <w:lvlText w:val="%7."/>
      <w:lvlJc w:val="left"/>
      <w:pPr>
        <w:ind w:left="5040" w:hanging="360"/>
      </w:pPr>
    </w:lvl>
    <w:lvl w:ilvl="7" w:tplc="2E364518">
      <w:start w:val="1"/>
      <w:numFmt w:val="lowerLetter"/>
      <w:lvlText w:val="%8."/>
      <w:lvlJc w:val="left"/>
      <w:pPr>
        <w:ind w:left="5760" w:hanging="360"/>
      </w:pPr>
    </w:lvl>
    <w:lvl w:ilvl="8" w:tplc="3E2EC61E">
      <w:start w:val="1"/>
      <w:numFmt w:val="lowerRoman"/>
      <w:lvlText w:val="%9."/>
      <w:lvlJc w:val="right"/>
      <w:pPr>
        <w:ind w:left="6480" w:hanging="180"/>
      </w:pPr>
    </w:lvl>
  </w:abstractNum>
  <w:abstractNum w:abstractNumId="89" w15:restartNumberingAfterBreak="0">
    <w:nsid w:val="2BF9317B"/>
    <w:multiLevelType w:val="hybridMultilevel"/>
    <w:tmpl w:val="E4181F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0" w15:restartNumberingAfterBreak="0">
    <w:nsid w:val="2C4805AA"/>
    <w:multiLevelType w:val="hybridMultilevel"/>
    <w:tmpl w:val="13BC8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C5A278D"/>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2"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3" w15:restartNumberingAfterBreak="0">
    <w:nsid w:val="2DB3766B"/>
    <w:multiLevelType w:val="hybridMultilevel"/>
    <w:tmpl w:val="97042486"/>
    <w:lvl w:ilvl="0" w:tplc="774C26FC">
      <w:start w:val="1"/>
      <w:numFmt w:val="bullet"/>
      <w:lvlText w:val=""/>
      <w:lvlJc w:val="left"/>
      <w:pPr>
        <w:ind w:left="720" w:hanging="360"/>
      </w:pPr>
      <w:rPr>
        <w:rFonts w:ascii="Symbol" w:hAnsi="Symbol" w:hint="default"/>
      </w:rPr>
    </w:lvl>
    <w:lvl w:ilvl="1" w:tplc="EB386178">
      <w:start w:val="1"/>
      <w:numFmt w:val="bullet"/>
      <w:lvlText w:val="o"/>
      <w:lvlJc w:val="left"/>
      <w:pPr>
        <w:ind w:left="1440" w:hanging="360"/>
      </w:pPr>
      <w:rPr>
        <w:rFonts w:ascii="Courier New" w:hAnsi="Courier New" w:hint="default"/>
      </w:rPr>
    </w:lvl>
    <w:lvl w:ilvl="2" w:tplc="90883240">
      <w:start w:val="1"/>
      <w:numFmt w:val="bullet"/>
      <w:lvlText w:val=""/>
      <w:lvlJc w:val="left"/>
      <w:pPr>
        <w:ind w:left="2160" w:hanging="360"/>
      </w:pPr>
      <w:rPr>
        <w:rFonts w:ascii="Wingdings" w:hAnsi="Wingdings" w:hint="default"/>
      </w:rPr>
    </w:lvl>
    <w:lvl w:ilvl="3" w:tplc="3C12CF16">
      <w:start w:val="1"/>
      <w:numFmt w:val="bullet"/>
      <w:lvlText w:val=""/>
      <w:lvlJc w:val="left"/>
      <w:pPr>
        <w:ind w:left="2880" w:hanging="360"/>
      </w:pPr>
      <w:rPr>
        <w:rFonts w:ascii="Symbol" w:hAnsi="Symbol" w:hint="default"/>
      </w:rPr>
    </w:lvl>
    <w:lvl w:ilvl="4" w:tplc="0E52CE62">
      <w:start w:val="1"/>
      <w:numFmt w:val="bullet"/>
      <w:lvlText w:val="o"/>
      <w:lvlJc w:val="left"/>
      <w:pPr>
        <w:ind w:left="3600" w:hanging="360"/>
      </w:pPr>
      <w:rPr>
        <w:rFonts w:ascii="Courier New" w:hAnsi="Courier New" w:hint="default"/>
      </w:rPr>
    </w:lvl>
    <w:lvl w:ilvl="5" w:tplc="2EBC503E">
      <w:start w:val="1"/>
      <w:numFmt w:val="bullet"/>
      <w:lvlText w:val=""/>
      <w:lvlJc w:val="left"/>
      <w:pPr>
        <w:ind w:left="4320" w:hanging="360"/>
      </w:pPr>
      <w:rPr>
        <w:rFonts w:ascii="Wingdings" w:hAnsi="Wingdings" w:hint="default"/>
      </w:rPr>
    </w:lvl>
    <w:lvl w:ilvl="6" w:tplc="F4782856">
      <w:start w:val="1"/>
      <w:numFmt w:val="bullet"/>
      <w:lvlText w:val=""/>
      <w:lvlJc w:val="left"/>
      <w:pPr>
        <w:ind w:left="5040" w:hanging="360"/>
      </w:pPr>
      <w:rPr>
        <w:rFonts w:ascii="Symbol" w:hAnsi="Symbol" w:hint="default"/>
      </w:rPr>
    </w:lvl>
    <w:lvl w:ilvl="7" w:tplc="DD7458B2">
      <w:start w:val="1"/>
      <w:numFmt w:val="bullet"/>
      <w:lvlText w:val="o"/>
      <w:lvlJc w:val="left"/>
      <w:pPr>
        <w:ind w:left="5760" w:hanging="360"/>
      </w:pPr>
      <w:rPr>
        <w:rFonts w:ascii="Courier New" w:hAnsi="Courier New" w:hint="default"/>
      </w:rPr>
    </w:lvl>
    <w:lvl w:ilvl="8" w:tplc="308261DC">
      <w:start w:val="1"/>
      <w:numFmt w:val="bullet"/>
      <w:lvlText w:val=""/>
      <w:lvlJc w:val="left"/>
      <w:pPr>
        <w:ind w:left="6480" w:hanging="360"/>
      </w:pPr>
      <w:rPr>
        <w:rFonts w:ascii="Wingdings" w:hAnsi="Wingdings" w:hint="default"/>
      </w:rPr>
    </w:lvl>
  </w:abstractNum>
  <w:abstractNum w:abstractNumId="94" w15:restartNumberingAfterBreak="0">
    <w:nsid w:val="2DFE1B6D"/>
    <w:multiLevelType w:val="hybridMultilevel"/>
    <w:tmpl w:val="FFFFFFFF"/>
    <w:lvl w:ilvl="0" w:tplc="DAFC8306">
      <w:start w:val="1"/>
      <w:numFmt w:val="decimal"/>
      <w:lvlText w:val="%1."/>
      <w:lvlJc w:val="left"/>
      <w:pPr>
        <w:ind w:left="720" w:hanging="360"/>
      </w:pPr>
    </w:lvl>
    <w:lvl w:ilvl="1" w:tplc="E28EDC2C">
      <w:start w:val="1"/>
      <w:numFmt w:val="decimal"/>
      <w:lvlText w:val="%2."/>
      <w:lvlJc w:val="left"/>
      <w:pPr>
        <w:ind w:left="1440" w:hanging="360"/>
      </w:pPr>
    </w:lvl>
    <w:lvl w:ilvl="2" w:tplc="0C86BE7C">
      <w:start w:val="1"/>
      <w:numFmt w:val="lowerRoman"/>
      <w:lvlText w:val="%3."/>
      <w:lvlJc w:val="right"/>
      <w:pPr>
        <w:ind w:left="2160" w:hanging="180"/>
      </w:pPr>
    </w:lvl>
    <w:lvl w:ilvl="3" w:tplc="1474FD26">
      <w:start w:val="1"/>
      <w:numFmt w:val="decimal"/>
      <w:lvlText w:val="%4."/>
      <w:lvlJc w:val="left"/>
      <w:pPr>
        <w:ind w:left="2880" w:hanging="360"/>
      </w:pPr>
    </w:lvl>
    <w:lvl w:ilvl="4" w:tplc="214CC980">
      <w:start w:val="1"/>
      <w:numFmt w:val="lowerLetter"/>
      <w:lvlText w:val="%5."/>
      <w:lvlJc w:val="left"/>
      <w:pPr>
        <w:ind w:left="3600" w:hanging="360"/>
      </w:pPr>
    </w:lvl>
    <w:lvl w:ilvl="5" w:tplc="D16EF208">
      <w:start w:val="1"/>
      <w:numFmt w:val="lowerRoman"/>
      <w:lvlText w:val="%6."/>
      <w:lvlJc w:val="right"/>
      <w:pPr>
        <w:ind w:left="4320" w:hanging="180"/>
      </w:pPr>
    </w:lvl>
    <w:lvl w:ilvl="6" w:tplc="BDEA5A90">
      <w:start w:val="1"/>
      <w:numFmt w:val="decimal"/>
      <w:lvlText w:val="%7."/>
      <w:lvlJc w:val="left"/>
      <w:pPr>
        <w:ind w:left="5040" w:hanging="360"/>
      </w:pPr>
    </w:lvl>
    <w:lvl w:ilvl="7" w:tplc="A8624AA4">
      <w:start w:val="1"/>
      <w:numFmt w:val="lowerLetter"/>
      <w:lvlText w:val="%8."/>
      <w:lvlJc w:val="left"/>
      <w:pPr>
        <w:ind w:left="5760" w:hanging="360"/>
      </w:pPr>
    </w:lvl>
    <w:lvl w:ilvl="8" w:tplc="0B3A217C">
      <w:start w:val="1"/>
      <w:numFmt w:val="lowerRoman"/>
      <w:lvlText w:val="%9."/>
      <w:lvlJc w:val="right"/>
      <w:pPr>
        <w:ind w:left="6480" w:hanging="180"/>
      </w:pPr>
    </w:lvl>
  </w:abstractNum>
  <w:abstractNum w:abstractNumId="95" w15:restartNumberingAfterBreak="0">
    <w:nsid w:val="2EB33BFA"/>
    <w:multiLevelType w:val="hybridMultilevel"/>
    <w:tmpl w:val="52D8A38A"/>
    <w:lvl w:ilvl="0" w:tplc="5EAAFCEC">
      <w:start w:val="1"/>
      <w:numFmt w:val="bullet"/>
      <w:lvlText w:val="·"/>
      <w:lvlJc w:val="left"/>
      <w:pPr>
        <w:ind w:left="720" w:hanging="360"/>
      </w:pPr>
      <w:rPr>
        <w:rFonts w:ascii="Symbol" w:hAnsi="Symbol" w:hint="default"/>
      </w:rPr>
    </w:lvl>
    <w:lvl w:ilvl="1" w:tplc="A96C0708">
      <w:start w:val="1"/>
      <w:numFmt w:val="bullet"/>
      <w:lvlText w:val="o"/>
      <w:lvlJc w:val="left"/>
      <w:pPr>
        <w:ind w:left="1440" w:hanging="360"/>
      </w:pPr>
      <w:rPr>
        <w:rFonts w:ascii="Courier New" w:hAnsi="Courier New" w:hint="default"/>
      </w:rPr>
    </w:lvl>
    <w:lvl w:ilvl="2" w:tplc="237EE4E4">
      <w:start w:val="1"/>
      <w:numFmt w:val="bullet"/>
      <w:lvlText w:val=""/>
      <w:lvlJc w:val="left"/>
      <w:pPr>
        <w:ind w:left="2160" w:hanging="360"/>
      </w:pPr>
      <w:rPr>
        <w:rFonts w:ascii="Wingdings" w:hAnsi="Wingdings" w:hint="default"/>
      </w:rPr>
    </w:lvl>
    <w:lvl w:ilvl="3" w:tplc="8C9CE892">
      <w:start w:val="1"/>
      <w:numFmt w:val="bullet"/>
      <w:lvlText w:val=""/>
      <w:lvlJc w:val="left"/>
      <w:pPr>
        <w:ind w:left="2880" w:hanging="360"/>
      </w:pPr>
      <w:rPr>
        <w:rFonts w:ascii="Symbol" w:hAnsi="Symbol" w:hint="default"/>
      </w:rPr>
    </w:lvl>
    <w:lvl w:ilvl="4" w:tplc="D1A2B51E">
      <w:start w:val="1"/>
      <w:numFmt w:val="bullet"/>
      <w:lvlText w:val="o"/>
      <w:lvlJc w:val="left"/>
      <w:pPr>
        <w:ind w:left="3600" w:hanging="360"/>
      </w:pPr>
      <w:rPr>
        <w:rFonts w:ascii="Courier New" w:hAnsi="Courier New" w:hint="default"/>
      </w:rPr>
    </w:lvl>
    <w:lvl w:ilvl="5" w:tplc="EFAE6EC0">
      <w:start w:val="1"/>
      <w:numFmt w:val="bullet"/>
      <w:lvlText w:val=""/>
      <w:lvlJc w:val="left"/>
      <w:pPr>
        <w:ind w:left="4320" w:hanging="360"/>
      </w:pPr>
      <w:rPr>
        <w:rFonts w:ascii="Wingdings" w:hAnsi="Wingdings" w:hint="default"/>
      </w:rPr>
    </w:lvl>
    <w:lvl w:ilvl="6" w:tplc="3F0C2C58">
      <w:start w:val="1"/>
      <w:numFmt w:val="bullet"/>
      <w:lvlText w:val=""/>
      <w:lvlJc w:val="left"/>
      <w:pPr>
        <w:ind w:left="5040" w:hanging="360"/>
      </w:pPr>
      <w:rPr>
        <w:rFonts w:ascii="Symbol" w:hAnsi="Symbol" w:hint="default"/>
      </w:rPr>
    </w:lvl>
    <w:lvl w:ilvl="7" w:tplc="986C01CE">
      <w:start w:val="1"/>
      <w:numFmt w:val="bullet"/>
      <w:lvlText w:val="o"/>
      <w:lvlJc w:val="left"/>
      <w:pPr>
        <w:ind w:left="5760" w:hanging="360"/>
      </w:pPr>
      <w:rPr>
        <w:rFonts w:ascii="Courier New" w:hAnsi="Courier New" w:hint="default"/>
      </w:rPr>
    </w:lvl>
    <w:lvl w:ilvl="8" w:tplc="A038FF40">
      <w:start w:val="1"/>
      <w:numFmt w:val="bullet"/>
      <w:lvlText w:val=""/>
      <w:lvlJc w:val="left"/>
      <w:pPr>
        <w:ind w:left="6480" w:hanging="360"/>
      </w:pPr>
      <w:rPr>
        <w:rFonts w:ascii="Wingdings" w:hAnsi="Wingdings" w:hint="default"/>
      </w:rPr>
    </w:lvl>
  </w:abstractNum>
  <w:abstractNum w:abstractNumId="96" w15:restartNumberingAfterBreak="0">
    <w:nsid w:val="2F6F610A"/>
    <w:multiLevelType w:val="hybridMultilevel"/>
    <w:tmpl w:val="1052900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97" w15:restartNumberingAfterBreak="0">
    <w:nsid w:val="30EF79B2"/>
    <w:multiLevelType w:val="hybridMultilevel"/>
    <w:tmpl w:val="027454B6"/>
    <w:lvl w:ilvl="0" w:tplc="35F42D4C">
      <w:start w:val="1"/>
      <w:numFmt w:val="bullet"/>
      <w:lvlText w:val="·"/>
      <w:lvlJc w:val="left"/>
      <w:pPr>
        <w:ind w:left="720" w:hanging="360"/>
      </w:pPr>
    </w:lvl>
    <w:lvl w:ilvl="1" w:tplc="1C4E2F9A">
      <w:start w:val="1"/>
      <w:numFmt w:val="decimal"/>
      <w:lvlText w:val="%2."/>
      <w:lvlJc w:val="left"/>
      <w:pPr>
        <w:ind w:left="1440" w:hanging="360"/>
      </w:pPr>
    </w:lvl>
    <w:lvl w:ilvl="2" w:tplc="9260F638">
      <w:start w:val="1"/>
      <w:numFmt w:val="lowerRoman"/>
      <w:lvlText w:val="%3."/>
      <w:lvlJc w:val="right"/>
      <w:pPr>
        <w:ind w:left="2160" w:hanging="180"/>
      </w:pPr>
    </w:lvl>
    <w:lvl w:ilvl="3" w:tplc="5AEC9106">
      <w:start w:val="1"/>
      <w:numFmt w:val="decimal"/>
      <w:lvlText w:val="%4."/>
      <w:lvlJc w:val="left"/>
      <w:pPr>
        <w:ind w:left="2880" w:hanging="360"/>
      </w:pPr>
    </w:lvl>
    <w:lvl w:ilvl="4" w:tplc="F9420658">
      <w:start w:val="1"/>
      <w:numFmt w:val="lowerLetter"/>
      <w:lvlText w:val="%5."/>
      <w:lvlJc w:val="left"/>
      <w:pPr>
        <w:ind w:left="3600" w:hanging="360"/>
      </w:pPr>
    </w:lvl>
    <w:lvl w:ilvl="5" w:tplc="A4C471A6">
      <w:start w:val="1"/>
      <w:numFmt w:val="lowerRoman"/>
      <w:lvlText w:val="%6."/>
      <w:lvlJc w:val="right"/>
      <w:pPr>
        <w:ind w:left="4320" w:hanging="180"/>
      </w:pPr>
    </w:lvl>
    <w:lvl w:ilvl="6" w:tplc="5F825B60">
      <w:start w:val="1"/>
      <w:numFmt w:val="decimal"/>
      <w:lvlText w:val="%7."/>
      <w:lvlJc w:val="left"/>
      <w:pPr>
        <w:ind w:left="5040" w:hanging="360"/>
      </w:pPr>
    </w:lvl>
    <w:lvl w:ilvl="7" w:tplc="09FA2288">
      <w:start w:val="1"/>
      <w:numFmt w:val="lowerLetter"/>
      <w:lvlText w:val="%8."/>
      <w:lvlJc w:val="left"/>
      <w:pPr>
        <w:ind w:left="5760" w:hanging="360"/>
      </w:pPr>
    </w:lvl>
    <w:lvl w:ilvl="8" w:tplc="3EEA2B5E">
      <w:start w:val="1"/>
      <w:numFmt w:val="lowerRoman"/>
      <w:lvlText w:val="%9."/>
      <w:lvlJc w:val="right"/>
      <w:pPr>
        <w:ind w:left="6480" w:hanging="180"/>
      </w:pPr>
    </w:lvl>
  </w:abstractNum>
  <w:abstractNum w:abstractNumId="98" w15:restartNumberingAfterBreak="0">
    <w:nsid w:val="31BF260B"/>
    <w:multiLevelType w:val="hybridMultilevel"/>
    <w:tmpl w:val="35EABA4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28C66F0"/>
    <w:multiLevelType w:val="hybridMultilevel"/>
    <w:tmpl w:val="DD02485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00" w15:restartNumberingAfterBreak="0">
    <w:nsid w:val="33644B66"/>
    <w:multiLevelType w:val="hybridMultilevel"/>
    <w:tmpl w:val="81AAC0F8"/>
    <w:lvl w:ilvl="0" w:tplc="A5C4F704">
      <w:start w:val="1"/>
      <w:numFmt w:val="decimal"/>
      <w:lvlText w:val="%1."/>
      <w:lvlJc w:val="left"/>
      <w:pPr>
        <w:ind w:left="720" w:hanging="360"/>
      </w:pPr>
    </w:lvl>
    <w:lvl w:ilvl="1" w:tplc="061841D0">
      <w:start w:val="1"/>
      <w:numFmt w:val="lowerLetter"/>
      <w:lvlText w:val="%2."/>
      <w:lvlJc w:val="left"/>
      <w:pPr>
        <w:ind w:left="1440" w:hanging="360"/>
      </w:pPr>
    </w:lvl>
    <w:lvl w:ilvl="2" w:tplc="26BEC5BE">
      <w:start w:val="1"/>
      <w:numFmt w:val="lowerRoman"/>
      <w:lvlText w:val="%3."/>
      <w:lvlJc w:val="right"/>
      <w:pPr>
        <w:ind w:left="2160" w:hanging="180"/>
      </w:pPr>
    </w:lvl>
    <w:lvl w:ilvl="3" w:tplc="806C2B86">
      <w:start w:val="1"/>
      <w:numFmt w:val="decimal"/>
      <w:lvlText w:val="%4."/>
      <w:lvlJc w:val="left"/>
      <w:pPr>
        <w:ind w:left="2880" w:hanging="360"/>
      </w:pPr>
    </w:lvl>
    <w:lvl w:ilvl="4" w:tplc="3D962720">
      <w:start w:val="1"/>
      <w:numFmt w:val="lowerLetter"/>
      <w:lvlText w:val="%5."/>
      <w:lvlJc w:val="left"/>
      <w:pPr>
        <w:ind w:left="3600" w:hanging="360"/>
      </w:pPr>
    </w:lvl>
    <w:lvl w:ilvl="5" w:tplc="6F3CBDAE">
      <w:start w:val="1"/>
      <w:numFmt w:val="lowerRoman"/>
      <w:lvlText w:val="%6."/>
      <w:lvlJc w:val="right"/>
      <w:pPr>
        <w:ind w:left="4320" w:hanging="180"/>
      </w:pPr>
    </w:lvl>
    <w:lvl w:ilvl="6" w:tplc="6408E366">
      <w:start w:val="1"/>
      <w:numFmt w:val="decimal"/>
      <w:lvlText w:val="%7."/>
      <w:lvlJc w:val="left"/>
      <w:pPr>
        <w:ind w:left="5040" w:hanging="360"/>
      </w:pPr>
    </w:lvl>
    <w:lvl w:ilvl="7" w:tplc="626E7346">
      <w:start w:val="1"/>
      <w:numFmt w:val="lowerLetter"/>
      <w:lvlText w:val="%8."/>
      <w:lvlJc w:val="left"/>
      <w:pPr>
        <w:ind w:left="5760" w:hanging="360"/>
      </w:pPr>
    </w:lvl>
    <w:lvl w:ilvl="8" w:tplc="D3AABD70">
      <w:start w:val="1"/>
      <w:numFmt w:val="lowerRoman"/>
      <w:lvlText w:val="%9."/>
      <w:lvlJc w:val="right"/>
      <w:pPr>
        <w:ind w:left="6480" w:hanging="180"/>
      </w:pPr>
    </w:lvl>
  </w:abstractNum>
  <w:abstractNum w:abstractNumId="101" w15:restartNumberingAfterBreak="0">
    <w:nsid w:val="33EE6CD6"/>
    <w:multiLevelType w:val="hybridMultilevel"/>
    <w:tmpl w:val="33162A56"/>
    <w:lvl w:ilvl="0" w:tplc="6A36EFCE">
      <w:start w:val="1"/>
      <w:numFmt w:val="bullet"/>
      <w:lvlText w:val="·"/>
      <w:lvlJc w:val="left"/>
      <w:pPr>
        <w:ind w:left="720" w:hanging="360"/>
      </w:pPr>
      <w:rPr>
        <w:rFonts w:ascii="Symbol" w:hAnsi="Symbol" w:hint="default"/>
      </w:rPr>
    </w:lvl>
    <w:lvl w:ilvl="1" w:tplc="43C2E36E">
      <w:start w:val="1"/>
      <w:numFmt w:val="decimal"/>
      <w:lvlText w:val="%2."/>
      <w:lvlJc w:val="left"/>
      <w:pPr>
        <w:ind w:left="1440" w:hanging="360"/>
      </w:pPr>
      <w:rPr>
        <w:rFonts w:hint="default"/>
      </w:rPr>
    </w:lvl>
    <w:lvl w:ilvl="2" w:tplc="7C9CECBA">
      <w:start w:val="1"/>
      <w:numFmt w:val="bullet"/>
      <w:lvlText w:val=""/>
      <w:lvlJc w:val="left"/>
      <w:pPr>
        <w:ind w:left="2160" w:hanging="360"/>
      </w:pPr>
      <w:rPr>
        <w:rFonts w:ascii="Wingdings" w:hAnsi="Wingdings" w:hint="default"/>
      </w:rPr>
    </w:lvl>
    <w:lvl w:ilvl="3" w:tplc="33EEBE4E">
      <w:start w:val="1"/>
      <w:numFmt w:val="bullet"/>
      <w:lvlText w:val=""/>
      <w:lvlJc w:val="left"/>
      <w:pPr>
        <w:ind w:left="2880" w:hanging="360"/>
      </w:pPr>
      <w:rPr>
        <w:rFonts w:ascii="Symbol" w:hAnsi="Symbol" w:hint="default"/>
      </w:rPr>
    </w:lvl>
    <w:lvl w:ilvl="4" w:tplc="5B36A15E">
      <w:start w:val="1"/>
      <w:numFmt w:val="bullet"/>
      <w:lvlText w:val="o"/>
      <w:lvlJc w:val="left"/>
      <w:pPr>
        <w:ind w:left="3600" w:hanging="360"/>
      </w:pPr>
      <w:rPr>
        <w:rFonts w:ascii="Courier New" w:hAnsi="Courier New" w:hint="default"/>
      </w:rPr>
    </w:lvl>
    <w:lvl w:ilvl="5" w:tplc="2D706DE6">
      <w:start w:val="1"/>
      <w:numFmt w:val="bullet"/>
      <w:lvlText w:val=""/>
      <w:lvlJc w:val="left"/>
      <w:pPr>
        <w:ind w:left="4320" w:hanging="360"/>
      </w:pPr>
      <w:rPr>
        <w:rFonts w:ascii="Wingdings" w:hAnsi="Wingdings" w:hint="default"/>
      </w:rPr>
    </w:lvl>
    <w:lvl w:ilvl="6" w:tplc="86107974">
      <w:start w:val="1"/>
      <w:numFmt w:val="bullet"/>
      <w:lvlText w:val=""/>
      <w:lvlJc w:val="left"/>
      <w:pPr>
        <w:ind w:left="5040" w:hanging="360"/>
      </w:pPr>
      <w:rPr>
        <w:rFonts w:ascii="Symbol" w:hAnsi="Symbol" w:hint="default"/>
      </w:rPr>
    </w:lvl>
    <w:lvl w:ilvl="7" w:tplc="D938BA06">
      <w:start w:val="1"/>
      <w:numFmt w:val="bullet"/>
      <w:lvlText w:val="o"/>
      <w:lvlJc w:val="left"/>
      <w:pPr>
        <w:ind w:left="5760" w:hanging="360"/>
      </w:pPr>
      <w:rPr>
        <w:rFonts w:ascii="Courier New" w:hAnsi="Courier New" w:hint="default"/>
      </w:rPr>
    </w:lvl>
    <w:lvl w:ilvl="8" w:tplc="FB6E2FCC">
      <w:start w:val="1"/>
      <w:numFmt w:val="bullet"/>
      <w:lvlText w:val=""/>
      <w:lvlJc w:val="left"/>
      <w:pPr>
        <w:ind w:left="6480" w:hanging="360"/>
      </w:pPr>
      <w:rPr>
        <w:rFonts w:ascii="Wingdings" w:hAnsi="Wingdings" w:hint="default"/>
      </w:rPr>
    </w:lvl>
  </w:abstractNum>
  <w:abstractNum w:abstractNumId="102" w15:restartNumberingAfterBreak="0">
    <w:nsid w:val="34171EFD"/>
    <w:multiLevelType w:val="hybridMultilevel"/>
    <w:tmpl w:val="2D0EBA7C"/>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4B01409"/>
    <w:multiLevelType w:val="hybridMultilevel"/>
    <w:tmpl w:val="8DF694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4" w15:restartNumberingAfterBreak="0">
    <w:nsid w:val="34EC077E"/>
    <w:multiLevelType w:val="hybridMultilevel"/>
    <w:tmpl w:val="1D52424E"/>
    <w:lvl w:ilvl="0" w:tplc="D4EE6B84">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5" w15:restartNumberingAfterBreak="0">
    <w:nsid w:val="353273F6"/>
    <w:multiLevelType w:val="hybridMultilevel"/>
    <w:tmpl w:val="C550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68C4E6F"/>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107" w15:restartNumberingAfterBreak="0">
    <w:nsid w:val="37B96D9B"/>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84B4663"/>
    <w:multiLevelType w:val="hybridMultilevel"/>
    <w:tmpl w:val="1B54CC5E"/>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9" w15:restartNumberingAfterBreak="0">
    <w:nsid w:val="392E54A7"/>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93023CB"/>
    <w:multiLevelType w:val="hybridMultilevel"/>
    <w:tmpl w:val="E3DE41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1" w15:restartNumberingAfterBreak="0">
    <w:nsid w:val="39842DF0"/>
    <w:multiLevelType w:val="hybridMultilevel"/>
    <w:tmpl w:val="25A0DA44"/>
    <w:lvl w:ilvl="0" w:tplc="20AEF7D8">
      <w:start w:val="1"/>
      <w:numFmt w:val="decimal"/>
      <w:lvlText w:val="%1."/>
      <w:lvlJc w:val="left"/>
      <w:pPr>
        <w:ind w:left="720" w:hanging="360"/>
      </w:pPr>
    </w:lvl>
    <w:lvl w:ilvl="1" w:tplc="9E409298">
      <w:start w:val="1"/>
      <w:numFmt w:val="lowerLetter"/>
      <w:lvlText w:val="%2."/>
      <w:lvlJc w:val="left"/>
      <w:pPr>
        <w:ind w:left="1440" w:hanging="360"/>
      </w:pPr>
    </w:lvl>
    <w:lvl w:ilvl="2" w:tplc="6E9CE752">
      <w:start w:val="1"/>
      <w:numFmt w:val="lowerRoman"/>
      <w:lvlText w:val="%3."/>
      <w:lvlJc w:val="right"/>
      <w:pPr>
        <w:ind w:left="2160" w:hanging="180"/>
      </w:pPr>
    </w:lvl>
    <w:lvl w:ilvl="3" w:tplc="CFE89178">
      <w:start w:val="1"/>
      <w:numFmt w:val="decimal"/>
      <w:lvlText w:val="%4."/>
      <w:lvlJc w:val="left"/>
      <w:pPr>
        <w:ind w:left="2880" w:hanging="360"/>
      </w:pPr>
    </w:lvl>
    <w:lvl w:ilvl="4" w:tplc="3460C692">
      <w:start w:val="1"/>
      <w:numFmt w:val="lowerLetter"/>
      <w:lvlText w:val="%5."/>
      <w:lvlJc w:val="left"/>
      <w:pPr>
        <w:ind w:left="3600" w:hanging="360"/>
      </w:pPr>
    </w:lvl>
    <w:lvl w:ilvl="5" w:tplc="7F3EDC68">
      <w:start w:val="1"/>
      <w:numFmt w:val="lowerRoman"/>
      <w:lvlText w:val="%6."/>
      <w:lvlJc w:val="right"/>
      <w:pPr>
        <w:ind w:left="4320" w:hanging="180"/>
      </w:pPr>
    </w:lvl>
    <w:lvl w:ilvl="6" w:tplc="0E8C773C">
      <w:start w:val="1"/>
      <w:numFmt w:val="decimal"/>
      <w:lvlText w:val="%7."/>
      <w:lvlJc w:val="left"/>
      <w:pPr>
        <w:ind w:left="5040" w:hanging="360"/>
      </w:pPr>
    </w:lvl>
    <w:lvl w:ilvl="7" w:tplc="C9E87D3A">
      <w:start w:val="1"/>
      <w:numFmt w:val="lowerLetter"/>
      <w:lvlText w:val="%8."/>
      <w:lvlJc w:val="left"/>
      <w:pPr>
        <w:ind w:left="5760" w:hanging="360"/>
      </w:pPr>
    </w:lvl>
    <w:lvl w:ilvl="8" w:tplc="B2F01550">
      <w:start w:val="1"/>
      <w:numFmt w:val="lowerRoman"/>
      <w:lvlText w:val="%9."/>
      <w:lvlJc w:val="right"/>
      <w:pPr>
        <w:ind w:left="6480" w:hanging="180"/>
      </w:pPr>
    </w:lvl>
  </w:abstractNum>
  <w:abstractNum w:abstractNumId="1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211612"/>
    <w:multiLevelType w:val="hybridMultilevel"/>
    <w:tmpl w:val="BAF84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BC116CB"/>
    <w:multiLevelType w:val="hybridMultilevel"/>
    <w:tmpl w:val="5E0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C1B1429"/>
    <w:multiLevelType w:val="hybridMultilevel"/>
    <w:tmpl w:val="B818FBD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6" w15:restartNumberingAfterBreak="0">
    <w:nsid w:val="3E480E5A"/>
    <w:multiLevelType w:val="hybridMultilevel"/>
    <w:tmpl w:val="7B12C4B4"/>
    <w:lvl w:ilvl="0" w:tplc="C3761530">
      <w:start w:val="1"/>
      <w:numFmt w:val="bullet"/>
      <w:lvlText w:val="·"/>
      <w:lvlJc w:val="left"/>
      <w:pPr>
        <w:ind w:left="720" w:hanging="360"/>
      </w:pPr>
      <w:rPr>
        <w:rFonts w:ascii="Symbol" w:hAnsi="Symbol" w:hint="default"/>
      </w:rPr>
    </w:lvl>
    <w:lvl w:ilvl="1" w:tplc="23B8D700">
      <w:start w:val="1"/>
      <w:numFmt w:val="decimal"/>
      <w:lvlText w:val="%2."/>
      <w:lvlJc w:val="left"/>
      <w:pPr>
        <w:ind w:left="1440" w:hanging="360"/>
      </w:pPr>
      <w:rPr>
        <w:rFonts w:hint="default"/>
      </w:rPr>
    </w:lvl>
    <w:lvl w:ilvl="2" w:tplc="C7602BD0">
      <w:start w:val="1"/>
      <w:numFmt w:val="bullet"/>
      <w:lvlText w:val=""/>
      <w:lvlJc w:val="left"/>
      <w:pPr>
        <w:ind w:left="2160" w:hanging="360"/>
      </w:pPr>
      <w:rPr>
        <w:rFonts w:ascii="Wingdings" w:hAnsi="Wingdings" w:hint="default"/>
      </w:rPr>
    </w:lvl>
    <w:lvl w:ilvl="3" w:tplc="293AFFD4">
      <w:start w:val="1"/>
      <w:numFmt w:val="bullet"/>
      <w:lvlText w:val=""/>
      <w:lvlJc w:val="left"/>
      <w:pPr>
        <w:ind w:left="2880" w:hanging="360"/>
      </w:pPr>
      <w:rPr>
        <w:rFonts w:ascii="Symbol" w:hAnsi="Symbol" w:hint="default"/>
      </w:rPr>
    </w:lvl>
    <w:lvl w:ilvl="4" w:tplc="FACAC054">
      <w:start w:val="1"/>
      <w:numFmt w:val="bullet"/>
      <w:lvlText w:val="o"/>
      <w:lvlJc w:val="left"/>
      <w:pPr>
        <w:ind w:left="3600" w:hanging="360"/>
      </w:pPr>
      <w:rPr>
        <w:rFonts w:ascii="Courier New" w:hAnsi="Courier New" w:hint="default"/>
      </w:rPr>
    </w:lvl>
    <w:lvl w:ilvl="5" w:tplc="E4AC43BE">
      <w:start w:val="1"/>
      <w:numFmt w:val="bullet"/>
      <w:lvlText w:val=""/>
      <w:lvlJc w:val="left"/>
      <w:pPr>
        <w:ind w:left="4320" w:hanging="360"/>
      </w:pPr>
      <w:rPr>
        <w:rFonts w:ascii="Wingdings" w:hAnsi="Wingdings" w:hint="default"/>
      </w:rPr>
    </w:lvl>
    <w:lvl w:ilvl="6" w:tplc="45BA7DDE">
      <w:start w:val="1"/>
      <w:numFmt w:val="bullet"/>
      <w:lvlText w:val=""/>
      <w:lvlJc w:val="left"/>
      <w:pPr>
        <w:ind w:left="5040" w:hanging="360"/>
      </w:pPr>
      <w:rPr>
        <w:rFonts w:ascii="Symbol" w:hAnsi="Symbol" w:hint="default"/>
      </w:rPr>
    </w:lvl>
    <w:lvl w:ilvl="7" w:tplc="49468E78">
      <w:start w:val="1"/>
      <w:numFmt w:val="bullet"/>
      <w:lvlText w:val="o"/>
      <w:lvlJc w:val="left"/>
      <w:pPr>
        <w:ind w:left="5760" w:hanging="360"/>
      </w:pPr>
      <w:rPr>
        <w:rFonts w:ascii="Courier New" w:hAnsi="Courier New" w:hint="default"/>
      </w:rPr>
    </w:lvl>
    <w:lvl w:ilvl="8" w:tplc="1DA6F43A">
      <w:start w:val="1"/>
      <w:numFmt w:val="bullet"/>
      <w:lvlText w:val=""/>
      <w:lvlJc w:val="left"/>
      <w:pPr>
        <w:ind w:left="6480" w:hanging="360"/>
      </w:pPr>
      <w:rPr>
        <w:rFonts w:ascii="Wingdings" w:hAnsi="Wingdings" w:hint="default"/>
      </w:rPr>
    </w:lvl>
  </w:abstractNum>
  <w:abstractNum w:abstractNumId="117" w15:restartNumberingAfterBreak="0">
    <w:nsid w:val="3EA048E2"/>
    <w:multiLevelType w:val="hybridMultilevel"/>
    <w:tmpl w:val="FFFFFFFF"/>
    <w:lvl w:ilvl="0" w:tplc="A0AEDBE4">
      <w:start w:val="1"/>
      <w:numFmt w:val="bullet"/>
      <w:lvlText w:val="·"/>
      <w:lvlJc w:val="left"/>
      <w:pPr>
        <w:ind w:left="720" w:hanging="360"/>
      </w:pPr>
      <w:rPr>
        <w:rFonts w:ascii="Symbol" w:hAnsi="Symbol" w:hint="default"/>
      </w:rPr>
    </w:lvl>
    <w:lvl w:ilvl="1" w:tplc="3D8EF6CC">
      <w:start w:val="1"/>
      <w:numFmt w:val="bullet"/>
      <w:lvlText w:val="o"/>
      <w:lvlJc w:val="left"/>
      <w:pPr>
        <w:ind w:left="1440" w:hanging="360"/>
      </w:pPr>
      <w:rPr>
        <w:rFonts w:ascii="Courier New" w:hAnsi="Courier New" w:hint="default"/>
      </w:rPr>
    </w:lvl>
    <w:lvl w:ilvl="2" w:tplc="786AE30E">
      <w:start w:val="1"/>
      <w:numFmt w:val="bullet"/>
      <w:lvlText w:val=""/>
      <w:lvlJc w:val="left"/>
      <w:pPr>
        <w:ind w:left="2160" w:hanging="360"/>
      </w:pPr>
      <w:rPr>
        <w:rFonts w:ascii="Wingdings" w:hAnsi="Wingdings" w:hint="default"/>
      </w:rPr>
    </w:lvl>
    <w:lvl w:ilvl="3" w:tplc="33EAEC3C">
      <w:start w:val="1"/>
      <w:numFmt w:val="bullet"/>
      <w:lvlText w:val=""/>
      <w:lvlJc w:val="left"/>
      <w:pPr>
        <w:ind w:left="2880" w:hanging="360"/>
      </w:pPr>
      <w:rPr>
        <w:rFonts w:ascii="Symbol" w:hAnsi="Symbol" w:hint="default"/>
      </w:rPr>
    </w:lvl>
    <w:lvl w:ilvl="4" w:tplc="3946B71A">
      <w:start w:val="1"/>
      <w:numFmt w:val="bullet"/>
      <w:lvlText w:val="o"/>
      <w:lvlJc w:val="left"/>
      <w:pPr>
        <w:ind w:left="3600" w:hanging="360"/>
      </w:pPr>
      <w:rPr>
        <w:rFonts w:ascii="Courier New" w:hAnsi="Courier New" w:hint="default"/>
      </w:rPr>
    </w:lvl>
    <w:lvl w:ilvl="5" w:tplc="03B48594">
      <w:start w:val="1"/>
      <w:numFmt w:val="bullet"/>
      <w:lvlText w:val=""/>
      <w:lvlJc w:val="left"/>
      <w:pPr>
        <w:ind w:left="4320" w:hanging="360"/>
      </w:pPr>
      <w:rPr>
        <w:rFonts w:ascii="Wingdings" w:hAnsi="Wingdings" w:hint="default"/>
      </w:rPr>
    </w:lvl>
    <w:lvl w:ilvl="6" w:tplc="11DA5030">
      <w:start w:val="1"/>
      <w:numFmt w:val="bullet"/>
      <w:lvlText w:val=""/>
      <w:lvlJc w:val="left"/>
      <w:pPr>
        <w:ind w:left="5040" w:hanging="360"/>
      </w:pPr>
      <w:rPr>
        <w:rFonts w:ascii="Symbol" w:hAnsi="Symbol" w:hint="default"/>
      </w:rPr>
    </w:lvl>
    <w:lvl w:ilvl="7" w:tplc="B4D85D64">
      <w:start w:val="1"/>
      <w:numFmt w:val="bullet"/>
      <w:lvlText w:val="o"/>
      <w:lvlJc w:val="left"/>
      <w:pPr>
        <w:ind w:left="5760" w:hanging="360"/>
      </w:pPr>
      <w:rPr>
        <w:rFonts w:ascii="Courier New" w:hAnsi="Courier New" w:hint="default"/>
      </w:rPr>
    </w:lvl>
    <w:lvl w:ilvl="8" w:tplc="31DE5E48">
      <w:start w:val="1"/>
      <w:numFmt w:val="bullet"/>
      <w:lvlText w:val=""/>
      <w:lvlJc w:val="left"/>
      <w:pPr>
        <w:ind w:left="6480" w:hanging="360"/>
      </w:pPr>
      <w:rPr>
        <w:rFonts w:ascii="Wingdings" w:hAnsi="Wingdings" w:hint="default"/>
      </w:rPr>
    </w:lvl>
  </w:abstractNum>
  <w:abstractNum w:abstractNumId="118" w15:restartNumberingAfterBreak="0">
    <w:nsid w:val="3F16627B"/>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9" w15:restartNumberingAfterBreak="0">
    <w:nsid w:val="3FE45865"/>
    <w:multiLevelType w:val="hybridMultilevel"/>
    <w:tmpl w:val="FE84C4A0"/>
    <w:lvl w:ilvl="0" w:tplc="C614899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0037F04"/>
    <w:multiLevelType w:val="hybridMultilevel"/>
    <w:tmpl w:val="FF2C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1285243"/>
    <w:multiLevelType w:val="hybridMultilevel"/>
    <w:tmpl w:val="AAF2915A"/>
    <w:lvl w:ilvl="0" w:tplc="97EA7E1E">
      <w:start w:val="50"/>
      <w:numFmt w:val="bullet"/>
      <w:lvlText w:val="-"/>
      <w:lvlJc w:val="left"/>
      <w:pPr>
        <w:ind w:left="445" w:hanging="360"/>
      </w:pPr>
      <w:rPr>
        <w:rFonts w:ascii="Times New Roman" w:eastAsia="Times New Roman" w:hAnsi="Times New Roman" w:cs="Times New Roman"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22" w15:restartNumberingAfterBreak="0">
    <w:nsid w:val="41910805"/>
    <w:multiLevelType w:val="hybridMultilevel"/>
    <w:tmpl w:val="DB2269C6"/>
    <w:lvl w:ilvl="0" w:tplc="7BBAF134">
      <w:start w:val="3"/>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3" w15:restartNumberingAfterBreak="0">
    <w:nsid w:val="41910F6D"/>
    <w:multiLevelType w:val="hybridMultilevel"/>
    <w:tmpl w:val="F4669CC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4" w15:restartNumberingAfterBreak="0">
    <w:nsid w:val="41F800E5"/>
    <w:multiLevelType w:val="hybridMultilevel"/>
    <w:tmpl w:val="F8B82BF0"/>
    <w:lvl w:ilvl="0" w:tplc="805CBA54">
      <w:start w:val="45"/>
      <w:numFmt w:val="decimal"/>
      <w:lvlText w:val="%1)"/>
      <w:lvlJc w:val="left"/>
      <w:pPr>
        <w:ind w:left="2694" w:hanging="360"/>
      </w:pPr>
      <w:rPr>
        <w:rFonts w:eastAsia="MS Minch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266117F"/>
    <w:multiLevelType w:val="hybridMultilevel"/>
    <w:tmpl w:val="DE10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275537F"/>
    <w:multiLevelType w:val="hybridMultilevel"/>
    <w:tmpl w:val="E37EEA10"/>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27" w15:restartNumberingAfterBreak="0">
    <w:nsid w:val="427553C3"/>
    <w:multiLevelType w:val="hybridMultilevel"/>
    <w:tmpl w:val="625E3582"/>
    <w:lvl w:ilvl="0" w:tplc="0CDE26CA">
      <w:start w:val="1"/>
      <w:numFmt w:val="bullet"/>
      <w:lvlText w:val="·"/>
      <w:lvlJc w:val="left"/>
      <w:pPr>
        <w:ind w:left="720" w:hanging="360"/>
      </w:pPr>
      <w:rPr>
        <w:rFonts w:ascii="Symbol" w:hAnsi="Symbol" w:hint="default"/>
      </w:rPr>
    </w:lvl>
    <w:lvl w:ilvl="1" w:tplc="6E66BED4">
      <w:start w:val="1"/>
      <w:numFmt w:val="bullet"/>
      <w:lvlText w:val="o"/>
      <w:lvlJc w:val="left"/>
      <w:pPr>
        <w:ind w:left="1440" w:hanging="360"/>
      </w:pPr>
      <w:rPr>
        <w:rFonts w:ascii="Courier New" w:hAnsi="Courier New" w:hint="default"/>
      </w:rPr>
    </w:lvl>
    <w:lvl w:ilvl="2" w:tplc="6136DC70">
      <w:start w:val="1"/>
      <w:numFmt w:val="bullet"/>
      <w:lvlText w:val=""/>
      <w:lvlJc w:val="left"/>
      <w:pPr>
        <w:ind w:left="2160" w:hanging="360"/>
      </w:pPr>
      <w:rPr>
        <w:rFonts w:ascii="Wingdings" w:hAnsi="Wingdings" w:hint="default"/>
      </w:rPr>
    </w:lvl>
    <w:lvl w:ilvl="3" w:tplc="56BCDBBC">
      <w:start w:val="1"/>
      <w:numFmt w:val="bullet"/>
      <w:lvlText w:val=""/>
      <w:lvlJc w:val="left"/>
      <w:pPr>
        <w:ind w:left="2880" w:hanging="360"/>
      </w:pPr>
      <w:rPr>
        <w:rFonts w:ascii="Symbol" w:hAnsi="Symbol" w:hint="default"/>
      </w:rPr>
    </w:lvl>
    <w:lvl w:ilvl="4" w:tplc="5726A0C8">
      <w:start w:val="1"/>
      <w:numFmt w:val="bullet"/>
      <w:lvlText w:val="o"/>
      <w:lvlJc w:val="left"/>
      <w:pPr>
        <w:ind w:left="3600" w:hanging="360"/>
      </w:pPr>
      <w:rPr>
        <w:rFonts w:ascii="Courier New" w:hAnsi="Courier New" w:hint="default"/>
      </w:rPr>
    </w:lvl>
    <w:lvl w:ilvl="5" w:tplc="AB124752">
      <w:start w:val="1"/>
      <w:numFmt w:val="bullet"/>
      <w:lvlText w:val=""/>
      <w:lvlJc w:val="left"/>
      <w:pPr>
        <w:ind w:left="4320" w:hanging="360"/>
      </w:pPr>
      <w:rPr>
        <w:rFonts w:ascii="Wingdings" w:hAnsi="Wingdings" w:hint="default"/>
      </w:rPr>
    </w:lvl>
    <w:lvl w:ilvl="6" w:tplc="935C97FC">
      <w:start w:val="1"/>
      <w:numFmt w:val="bullet"/>
      <w:lvlText w:val=""/>
      <w:lvlJc w:val="left"/>
      <w:pPr>
        <w:ind w:left="5040" w:hanging="360"/>
      </w:pPr>
      <w:rPr>
        <w:rFonts w:ascii="Symbol" w:hAnsi="Symbol" w:hint="default"/>
      </w:rPr>
    </w:lvl>
    <w:lvl w:ilvl="7" w:tplc="24A2BA28">
      <w:start w:val="1"/>
      <w:numFmt w:val="bullet"/>
      <w:lvlText w:val="o"/>
      <w:lvlJc w:val="left"/>
      <w:pPr>
        <w:ind w:left="5760" w:hanging="360"/>
      </w:pPr>
      <w:rPr>
        <w:rFonts w:ascii="Courier New" w:hAnsi="Courier New" w:hint="default"/>
      </w:rPr>
    </w:lvl>
    <w:lvl w:ilvl="8" w:tplc="3F24B7EA">
      <w:start w:val="1"/>
      <w:numFmt w:val="bullet"/>
      <w:lvlText w:val=""/>
      <w:lvlJc w:val="left"/>
      <w:pPr>
        <w:ind w:left="6480" w:hanging="360"/>
      </w:pPr>
      <w:rPr>
        <w:rFonts w:ascii="Wingdings" w:hAnsi="Wingdings" w:hint="default"/>
      </w:rPr>
    </w:lvl>
  </w:abstractNum>
  <w:abstractNum w:abstractNumId="128"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29" w15:restartNumberingAfterBreak="0">
    <w:nsid w:val="42DB0852"/>
    <w:multiLevelType w:val="hybridMultilevel"/>
    <w:tmpl w:val="FFFFFFFF"/>
    <w:lvl w:ilvl="0" w:tplc="DCB81600">
      <w:start w:val="1"/>
      <w:numFmt w:val="decimal"/>
      <w:lvlText w:val="%1."/>
      <w:lvlJc w:val="left"/>
      <w:pPr>
        <w:ind w:left="720" w:hanging="360"/>
      </w:pPr>
    </w:lvl>
    <w:lvl w:ilvl="1" w:tplc="709C6A3A">
      <w:start w:val="1"/>
      <w:numFmt w:val="lowerLetter"/>
      <w:lvlText w:val="%2."/>
      <w:lvlJc w:val="left"/>
      <w:pPr>
        <w:ind w:left="1440" w:hanging="360"/>
      </w:pPr>
    </w:lvl>
    <w:lvl w:ilvl="2" w:tplc="A14A22E0">
      <w:start w:val="1"/>
      <w:numFmt w:val="lowerRoman"/>
      <w:lvlText w:val="%3."/>
      <w:lvlJc w:val="right"/>
      <w:pPr>
        <w:ind w:left="2160" w:hanging="180"/>
      </w:pPr>
    </w:lvl>
    <w:lvl w:ilvl="3" w:tplc="37A2BA48">
      <w:start w:val="1"/>
      <w:numFmt w:val="decimal"/>
      <w:lvlText w:val="%4."/>
      <w:lvlJc w:val="left"/>
      <w:pPr>
        <w:ind w:left="2880" w:hanging="360"/>
      </w:pPr>
    </w:lvl>
    <w:lvl w:ilvl="4" w:tplc="0158D936">
      <w:start w:val="1"/>
      <w:numFmt w:val="lowerLetter"/>
      <w:lvlText w:val="%5."/>
      <w:lvlJc w:val="left"/>
      <w:pPr>
        <w:ind w:left="3600" w:hanging="360"/>
      </w:pPr>
    </w:lvl>
    <w:lvl w:ilvl="5" w:tplc="7DCEB506">
      <w:start w:val="1"/>
      <w:numFmt w:val="lowerRoman"/>
      <w:lvlText w:val="%6."/>
      <w:lvlJc w:val="right"/>
      <w:pPr>
        <w:ind w:left="4320" w:hanging="180"/>
      </w:pPr>
    </w:lvl>
    <w:lvl w:ilvl="6" w:tplc="19DC56C0">
      <w:start w:val="1"/>
      <w:numFmt w:val="decimal"/>
      <w:lvlText w:val="%7."/>
      <w:lvlJc w:val="left"/>
      <w:pPr>
        <w:ind w:left="5040" w:hanging="360"/>
      </w:pPr>
    </w:lvl>
    <w:lvl w:ilvl="7" w:tplc="5A90A1E8">
      <w:start w:val="1"/>
      <w:numFmt w:val="lowerLetter"/>
      <w:lvlText w:val="%8."/>
      <w:lvlJc w:val="left"/>
      <w:pPr>
        <w:ind w:left="5760" w:hanging="360"/>
      </w:pPr>
    </w:lvl>
    <w:lvl w:ilvl="8" w:tplc="E2EE7886">
      <w:start w:val="1"/>
      <w:numFmt w:val="lowerRoman"/>
      <w:lvlText w:val="%9."/>
      <w:lvlJc w:val="right"/>
      <w:pPr>
        <w:ind w:left="6480" w:hanging="180"/>
      </w:pPr>
    </w:lvl>
  </w:abstractNum>
  <w:abstractNum w:abstractNumId="130" w15:restartNumberingAfterBreak="0">
    <w:nsid w:val="435E3A14"/>
    <w:multiLevelType w:val="hybridMultilevel"/>
    <w:tmpl w:val="FFFFFFFF"/>
    <w:lvl w:ilvl="0" w:tplc="90ACABF0">
      <w:start w:val="1"/>
      <w:numFmt w:val="decimal"/>
      <w:lvlText w:val="%1."/>
      <w:lvlJc w:val="left"/>
      <w:pPr>
        <w:ind w:left="720" w:hanging="360"/>
      </w:pPr>
    </w:lvl>
    <w:lvl w:ilvl="1" w:tplc="A4C6AD9C">
      <w:start w:val="1"/>
      <w:numFmt w:val="lowerLetter"/>
      <w:lvlText w:val="%2."/>
      <w:lvlJc w:val="left"/>
      <w:pPr>
        <w:ind w:left="1440" w:hanging="360"/>
      </w:pPr>
    </w:lvl>
    <w:lvl w:ilvl="2" w:tplc="A88217C0">
      <w:start w:val="1"/>
      <w:numFmt w:val="lowerRoman"/>
      <w:lvlText w:val="%3."/>
      <w:lvlJc w:val="right"/>
      <w:pPr>
        <w:ind w:left="2160" w:hanging="180"/>
      </w:pPr>
    </w:lvl>
    <w:lvl w:ilvl="3" w:tplc="A83A2AD8">
      <w:start w:val="1"/>
      <w:numFmt w:val="decimal"/>
      <w:lvlText w:val="%4."/>
      <w:lvlJc w:val="left"/>
      <w:pPr>
        <w:ind w:left="2880" w:hanging="360"/>
      </w:pPr>
    </w:lvl>
    <w:lvl w:ilvl="4" w:tplc="1432078E">
      <w:start w:val="1"/>
      <w:numFmt w:val="lowerLetter"/>
      <w:lvlText w:val="%5."/>
      <w:lvlJc w:val="left"/>
      <w:pPr>
        <w:ind w:left="3600" w:hanging="360"/>
      </w:pPr>
    </w:lvl>
    <w:lvl w:ilvl="5" w:tplc="4B42B678">
      <w:start w:val="1"/>
      <w:numFmt w:val="lowerRoman"/>
      <w:lvlText w:val="%6."/>
      <w:lvlJc w:val="right"/>
      <w:pPr>
        <w:ind w:left="4320" w:hanging="180"/>
      </w:pPr>
    </w:lvl>
    <w:lvl w:ilvl="6" w:tplc="B3DEEFF0">
      <w:start w:val="1"/>
      <w:numFmt w:val="decimal"/>
      <w:lvlText w:val="%7."/>
      <w:lvlJc w:val="left"/>
      <w:pPr>
        <w:ind w:left="5040" w:hanging="360"/>
      </w:pPr>
    </w:lvl>
    <w:lvl w:ilvl="7" w:tplc="5A362826">
      <w:start w:val="1"/>
      <w:numFmt w:val="lowerLetter"/>
      <w:lvlText w:val="%8."/>
      <w:lvlJc w:val="left"/>
      <w:pPr>
        <w:ind w:left="5760" w:hanging="360"/>
      </w:pPr>
    </w:lvl>
    <w:lvl w:ilvl="8" w:tplc="BC6E4078">
      <w:start w:val="1"/>
      <w:numFmt w:val="lowerRoman"/>
      <w:lvlText w:val="%9."/>
      <w:lvlJc w:val="right"/>
      <w:pPr>
        <w:ind w:left="6480" w:hanging="180"/>
      </w:pPr>
    </w:lvl>
  </w:abstractNum>
  <w:abstractNum w:abstractNumId="131" w15:restartNumberingAfterBreak="0">
    <w:nsid w:val="436C5B11"/>
    <w:multiLevelType w:val="hybridMultilevel"/>
    <w:tmpl w:val="FFFFFFFF"/>
    <w:lvl w:ilvl="0" w:tplc="BA0AACFA">
      <w:start w:val="1"/>
      <w:numFmt w:val="bullet"/>
      <w:lvlText w:val="·"/>
      <w:lvlJc w:val="left"/>
      <w:pPr>
        <w:ind w:left="720" w:hanging="360"/>
      </w:pPr>
      <w:rPr>
        <w:rFonts w:ascii="Symbol" w:hAnsi="Symbol" w:hint="default"/>
      </w:rPr>
    </w:lvl>
    <w:lvl w:ilvl="1" w:tplc="73C8394E">
      <w:start w:val="1"/>
      <w:numFmt w:val="bullet"/>
      <w:lvlText w:val="o"/>
      <w:lvlJc w:val="left"/>
      <w:pPr>
        <w:ind w:left="1440" w:hanging="360"/>
      </w:pPr>
      <w:rPr>
        <w:rFonts w:ascii="Courier New" w:hAnsi="Courier New" w:hint="default"/>
      </w:rPr>
    </w:lvl>
    <w:lvl w:ilvl="2" w:tplc="DD1E4EEC">
      <w:start w:val="1"/>
      <w:numFmt w:val="bullet"/>
      <w:lvlText w:val=""/>
      <w:lvlJc w:val="left"/>
      <w:pPr>
        <w:ind w:left="2160" w:hanging="360"/>
      </w:pPr>
      <w:rPr>
        <w:rFonts w:ascii="Wingdings" w:hAnsi="Wingdings" w:hint="default"/>
      </w:rPr>
    </w:lvl>
    <w:lvl w:ilvl="3" w:tplc="04ACAC0E">
      <w:start w:val="1"/>
      <w:numFmt w:val="bullet"/>
      <w:lvlText w:val=""/>
      <w:lvlJc w:val="left"/>
      <w:pPr>
        <w:ind w:left="2880" w:hanging="360"/>
      </w:pPr>
      <w:rPr>
        <w:rFonts w:ascii="Symbol" w:hAnsi="Symbol" w:hint="default"/>
      </w:rPr>
    </w:lvl>
    <w:lvl w:ilvl="4" w:tplc="1674D12E">
      <w:start w:val="1"/>
      <w:numFmt w:val="bullet"/>
      <w:lvlText w:val="o"/>
      <w:lvlJc w:val="left"/>
      <w:pPr>
        <w:ind w:left="3600" w:hanging="360"/>
      </w:pPr>
      <w:rPr>
        <w:rFonts w:ascii="Courier New" w:hAnsi="Courier New" w:hint="default"/>
      </w:rPr>
    </w:lvl>
    <w:lvl w:ilvl="5" w:tplc="724AF508">
      <w:start w:val="1"/>
      <w:numFmt w:val="bullet"/>
      <w:lvlText w:val=""/>
      <w:lvlJc w:val="left"/>
      <w:pPr>
        <w:ind w:left="4320" w:hanging="360"/>
      </w:pPr>
      <w:rPr>
        <w:rFonts w:ascii="Wingdings" w:hAnsi="Wingdings" w:hint="default"/>
      </w:rPr>
    </w:lvl>
    <w:lvl w:ilvl="6" w:tplc="F066FAB4">
      <w:start w:val="1"/>
      <w:numFmt w:val="bullet"/>
      <w:lvlText w:val=""/>
      <w:lvlJc w:val="left"/>
      <w:pPr>
        <w:ind w:left="5040" w:hanging="360"/>
      </w:pPr>
      <w:rPr>
        <w:rFonts w:ascii="Symbol" w:hAnsi="Symbol" w:hint="default"/>
      </w:rPr>
    </w:lvl>
    <w:lvl w:ilvl="7" w:tplc="5ED811E8">
      <w:start w:val="1"/>
      <w:numFmt w:val="bullet"/>
      <w:lvlText w:val="o"/>
      <w:lvlJc w:val="left"/>
      <w:pPr>
        <w:ind w:left="5760" w:hanging="360"/>
      </w:pPr>
      <w:rPr>
        <w:rFonts w:ascii="Courier New" w:hAnsi="Courier New" w:hint="default"/>
      </w:rPr>
    </w:lvl>
    <w:lvl w:ilvl="8" w:tplc="391068F6">
      <w:start w:val="1"/>
      <w:numFmt w:val="bullet"/>
      <w:lvlText w:val=""/>
      <w:lvlJc w:val="left"/>
      <w:pPr>
        <w:ind w:left="6480" w:hanging="360"/>
      </w:pPr>
      <w:rPr>
        <w:rFonts w:ascii="Wingdings" w:hAnsi="Wingdings" w:hint="default"/>
      </w:rPr>
    </w:lvl>
  </w:abstractNum>
  <w:abstractNum w:abstractNumId="132" w15:restartNumberingAfterBreak="0">
    <w:nsid w:val="43D91D16"/>
    <w:multiLevelType w:val="hybridMultilevel"/>
    <w:tmpl w:val="F496AE2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33"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4FB0A58"/>
    <w:multiLevelType w:val="hybridMultilevel"/>
    <w:tmpl w:val="FF84F17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5" w15:restartNumberingAfterBreak="0">
    <w:nsid w:val="45756D35"/>
    <w:multiLevelType w:val="hybridMultilevel"/>
    <w:tmpl w:val="C17C3AE4"/>
    <w:lvl w:ilvl="0" w:tplc="B6928798">
      <w:start w:val="52"/>
      <w:numFmt w:val="decimal"/>
      <w:lvlText w:val="%1."/>
      <w:lvlJc w:val="left"/>
      <w:pPr>
        <w:ind w:left="720" w:hanging="360"/>
      </w:pPr>
    </w:lvl>
    <w:lvl w:ilvl="1" w:tplc="3F367B64">
      <w:start w:val="1"/>
      <w:numFmt w:val="lowerLetter"/>
      <w:lvlText w:val="%2."/>
      <w:lvlJc w:val="left"/>
      <w:pPr>
        <w:ind w:left="1440" w:hanging="360"/>
      </w:pPr>
    </w:lvl>
    <w:lvl w:ilvl="2" w:tplc="51D0F6AA">
      <w:start w:val="1"/>
      <w:numFmt w:val="lowerRoman"/>
      <w:lvlText w:val="%3."/>
      <w:lvlJc w:val="right"/>
      <w:pPr>
        <w:ind w:left="2160" w:hanging="180"/>
      </w:pPr>
    </w:lvl>
    <w:lvl w:ilvl="3" w:tplc="78E6ADE6">
      <w:start w:val="1"/>
      <w:numFmt w:val="decimal"/>
      <w:lvlText w:val="%4."/>
      <w:lvlJc w:val="left"/>
      <w:pPr>
        <w:ind w:left="2880" w:hanging="360"/>
      </w:pPr>
    </w:lvl>
    <w:lvl w:ilvl="4" w:tplc="E8EC4AD2">
      <w:start w:val="1"/>
      <w:numFmt w:val="lowerLetter"/>
      <w:lvlText w:val="%5."/>
      <w:lvlJc w:val="left"/>
      <w:pPr>
        <w:ind w:left="3600" w:hanging="360"/>
      </w:pPr>
    </w:lvl>
    <w:lvl w:ilvl="5" w:tplc="EA4C29B8">
      <w:start w:val="1"/>
      <w:numFmt w:val="lowerRoman"/>
      <w:lvlText w:val="%6."/>
      <w:lvlJc w:val="right"/>
      <w:pPr>
        <w:ind w:left="4320" w:hanging="180"/>
      </w:pPr>
    </w:lvl>
    <w:lvl w:ilvl="6" w:tplc="F412FF34">
      <w:start w:val="1"/>
      <w:numFmt w:val="decimal"/>
      <w:lvlText w:val="%7."/>
      <w:lvlJc w:val="left"/>
      <w:pPr>
        <w:ind w:left="5040" w:hanging="360"/>
      </w:pPr>
    </w:lvl>
    <w:lvl w:ilvl="7" w:tplc="17324140">
      <w:start w:val="1"/>
      <w:numFmt w:val="lowerLetter"/>
      <w:lvlText w:val="%8."/>
      <w:lvlJc w:val="left"/>
      <w:pPr>
        <w:ind w:left="5760" w:hanging="360"/>
      </w:pPr>
    </w:lvl>
    <w:lvl w:ilvl="8" w:tplc="8DC65FEA">
      <w:start w:val="1"/>
      <w:numFmt w:val="lowerRoman"/>
      <w:lvlText w:val="%9."/>
      <w:lvlJc w:val="right"/>
      <w:pPr>
        <w:ind w:left="6480" w:hanging="180"/>
      </w:pPr>
    </w:lvl>
  </w:abstractNum>
  <w:abstractNum w:abstractNumId="136"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7" w15:restartNumberingAfterBreak="0">
    <w:nsid w:val="45F75F11"/>
    <w:multiLevelType w:val="hybridMultilevel"/>
    <w:tmpl w:val="FFFFFFFF"/>
    <w:lvl w:ilvl="0" w:tplc="9D88E720">
      <w:start w:val="1"/>
      <w:numFmt w:val="bullet"/>
      <w:lvlText w:val="·"/>
      <w:lvlJc w:val="left"/>
      <w:pPr>
        <w:ind w:left="720" w:hanging="360"/>
      </w:pPr>
      <w:rPr>
        <w:rFonts w:ascii="Symbol" w:hAnsi="Symbol" w:hint="default"/>
      </w:rPr>
    </w:lvl>
    <w:lvl w:ilvl="1" w:tplc="51884D46">
      <w:start w:val="1"/>
      <w:numFmt w:val="bullet"/>
      <w:lvlText w:val="o"/>
      <w:lvlJc w:val="left"/>
      <w:pPr>
        <w:ind w:left="1440" w:hanging="360"/>
      </w:pPr>
      <w:rPr>
        <w:rFonts w:ascii="Courier New" w:hAnsi="Courier New" w:hint="default"/>
      </w:rPr>
    </w:lvl>
    <w:lvl w:ilvl="2" w:tplc="CFB61AB4">
      <w:start w:val="1"/>
      <w:numFmt w:val="bullet"/>
      <w:lvlText w:val=""/>
      <w:lvlJc w:val="left"/>
      <w:pPr>
        <w:ind w:left="2160" w:hanging="360"/>
      </w:pPr>
      <w:rPr>
        <w:rFonts w:ascii="Wingdings" w:hAnsi="Wingdings" w:hint="default"/>
      </w:rPr>
    </w:lvl>
    <w:lvl w:ilvl="3" w:tplc="ADFE8606">
      <w:start w:val="1"/>
      <w:numFmt w:val="bullet"/>
      <w:lvlText w:val=""/>
      <w:lvlJc w:val="left"/>
      <w:pPr>
        <w:ind w:left="2880" w:hanging="360"/>
      </w:pPr>
      <w:rPr>
        <w:rFonts w:ascii="Symbol" w:hAnsi="Symbol" w:hint="default"/>
      </w:rPr>
    </w:lvl>
    <w:lvl w:ilvl="4" w:tplc="F73EC1CA">
      <w:start w:val="1"/>
      <w:numFmt w:val="bullet"/>
      <w:lvlText w:val="o"/>
      <w:lvlJc w:val="left"/>
      <w:pPr>
        <w:ind w:left="3600" w:hanging="360"/>
      </w:pPr>
      <w:rPr>
        <w:rFonts w:ascii="Courier New" w:hAnsi="Courier New" w:hint="default"/>
      </w:rPr>
    </w:lvl>
    <w:lvl w:ilvl="5" w:tplc="EE24A45E">
      <w:start w:val="1"/>
      <w:numFmt w:val="bullet"/>
      <w:lvlText w:val=""/>
      <w:lvlJc w:val="left"/>
      <w:pPr>
        <w:ind w:left="4320" w:hanging="360"/>
      </w:pPr>
      <w:rPr>
        <w:rFonts w:ascii="Wingdings" w:hAnsi="Wingdings" w:hint="default"/>
      </w:rPr>
    </w:lvl>
    <w:lvl w:ilvl="6" w:tplc="18F4A210">
      <w:start w:val="1"/>
      <w:numFmt w:val="bullet"/>
      <w:lvlText w:val=""/>
      <w:lvlJc w:val="left"/>
      <w:pPr>
        <w:ind w:left="5040" w:hanging="360"/>
      </w:pPr>
      <w:rPr>
        <w:rFonts w:ascii="Symbol" w:hAnsi="Symbol" w:hint="default"/>
      </w:rPr>
    </w:lvl>
    <w:lvl w:ilvl="7" w:tplc="EC60BC66">
      <w:start w:val="1"/>
      <w:numFmt w:val="bullet"/>
      <w:lvlText w:val="o"/>
      <w:lvlJc w:val="left"/>
      <w:pPr>
        <w:ind w:left="5760" w:hanging="360"/>
      </w:pPr>
      <w:rPr>
        <w:rFonts w:ascii="Courier New" w:hAnsi="Courier New" w:hint="default"/>
      </w:rPr>
    </w:lvl>
    <w:lvl w:ilvl="8" w:tplc="062C43C2">
      <w:start w:val="1"/>
      <w:numFmt w:val="bullet"/>
      <w:lvlText w:val=""/>
      <w:lvlJc w:val="left"/>
      <w:pPr>
        <w:ind w:left="6480" w:hanging="360"/>
      </w:pPr>
      <w:rPr>
        <w:rFonts w:ascii="Wingdings" w:hAnsi="Wingdings" w:hint="default"/>
      </w:rPr>
    </w:lvl>
  </w:abstractNum>
  <w:abstractNum w:abstractNumId="138" w15:restartNumberingAfterBreak="0">
    <w:nsid w:val="46F32E4A"/>
    <w:multiLevelType w:val="hybridMultilevel"/>
    <w:tmpl w:val="DB781246"/>
    <w:lvl w:ilvl="0" w:tplc="4BEACA78">
      <w:numFmt w:val="none"/>
      <w:lvlText w:val=""/>
      <w:lvlJc w:val="left"/>
      <w:pPr>
        <w:tabs>
          <w:tab w:val="num" w:pos="360"/>
        </w:tabs>
      </w:pPr>
    </w:lvl>
    <w:lvl w:ilvl="1" w:tplc="A5A06C28">
      <w:start w:val="1"/>
      <w:numFmt w:val="decimal"/>
      <w:lvlText w:val="%2)"/>
      <w:lvlJc w:val="left"/>
      <w:pPr>
        <w:ind w:left="1080" w:hanging="360"/>
      </w:pPr>
      <w:rPr>
        <w:rFonts w:hint="default"/>
      </w:rPr>
    </w:lvl>
    <w:lvl w:ilvl="2" w:tplc="62F0F12A">
      <w:start w:val="1"/>
      <w:numFmt w:val="lowerRoman"/>
      <w:lvlText w:val="%3."/>
      <w:lvlJc w:val="right"/>
      <w:pPr>
        <w:ind w:left="1800" w:hanging="180"/>
      </w:pPr>
    </w:lvl>
    <w:lvl w:ilvl="3" w:tplc="71BE027E" w:tentative="1">
      <w:start w:val="1"/>
      <w:numFmt w:val="decimal"/>
      <w:lvlText w:val="%4."/>
      <w:lvlJc w:val="left"/>
      <w:pPr>
        <w:ind w:left="2520" w:hanging="360"/>
      </w:pPr>
    </w:lvl>
    <w:lvl w:ilvl="4" w:tplc="03427AE2" w:tentative="1">
      <w:start w:val="1"/>
      <w:numFmt w:val="lowerLetter"/>
      <w:lvlText w:val="%5."/>
      <w:lvlJc w:val="left"/>
      <w:pPr>
        <w:ind w:left="3240" w:hanging="360"/>
      </w:pPr>
    </w:lvl>
    <w:lvl w:ilvl="5" w:tplc="B79A3FB4" w:tentative="1">
      <w:start w:val="1"/>
      <w:numFmt w:val="lowerRoman"/>
      <w:lvlText w:val="%6."/>
      <w:lvlJc w:val="right"/>
      <w:pPr>
        <w:ind w:left="3960" w:hanging="180"/>
      </w:pPr>
    </w:lvl>
    <w:lvl w:ilvl="6" w:tplc="505673C4" w:tentative="1">
      <w:start w:val="1"/>
      <w:numFmt w:val="decimal"/>
      <w:lvlText w:val="%7."/>
      <w:lvlJc w:val="left"/>
      <w:pPr>
        <w:ind w:left="4680" w:hanging="360"/>
      </w:pPr>
    </w:lvl>
    <w:lvl w:ilvl="7" w:tplc="A5EE0B1E" w:tentative="1">
      <w:start w:val="1"/>
      <w:numFmt w:val="lowerLetter"/>
      <w:lvlText w:val="%8."/>
      <w:lvlJc w:val="left"/>
      <w:pPr>
        <w:ind w:left="5400" w:hanging="360"/>
      </w:pPr>
    </w:lvl>
    <w:lvl w:ilvl="8" w:tplc="CA1C1D5A" w:tentative="1">
      <w:start w:val="1"/>
      <w:numFmt w:val="lowerRoman"/>
      <w:lvlText w:val="%9."/>
      <w:lvlJc w:val="right"/>
      <w:pPr>
        <w:ind w:left="6120" w:hanging="180"/>
      </w:pPr>
    </w:lvl>
  </w:abstractNum>
  <w:abstractNum w:abstractNumId="139" w15:restartNumberingAfterBreak="0">
    <w:nsid w:val="476C32E1"/>
    <w:multiLevelType w:val="hybridMultilevel"/>
    <w:tmpl w:val="1E9224A8"/>
    <w:lvl w:ilvl="0" w:tplc="CE4831C8">
      <w:start w:val="1"/>
      <w:numFmt w:val="bullet"/>
      <w:lvlText w:val="·"/>
      <w:lvlJc w:val="left"/>
      <w:pPr>
        <w:ind w:left="720" w:hanging="360"/>
      </w:pPr>
      <w:rPr>
        <w:rFonts w:ascii="Symbol" w:hAnsi="Symbol" w:hint="default"/>
      </w:rPr>
    </w:lvl>
    <w:lvl w:ilvl="1" w:tplc="3B24329A">
      <w:start w:val="1"/>
      <w:numFmt w:val="bullet"/>
      <w:lvlText w:val="o"/>
      <w:lvlJc w:val="left"/>
      <w:pPr>
        <w:ind w:left="1440" w:hanging="360"/>
      </w:pPr>
      <w:rPr>
        <w:rFonts w:ascii="Courier New" w:hAnsi="Courier New" w:hint="default"/>
      </w:rPr>
    </w:lvl>
    <w:lvl w:ilvl="2" w:tplc="83A84D84">
      <w:start w:val="1"/>
      <w:numFmt w:val="bullet"/>
      <w:lvlText w:val=""/>
      <w:lvlJc w:val="left"/>
      <w:pPr>
        <w:ind w:left="2160" w:hanging="360"/>
      </w:pPr>
      <w:rPr>
        <w:rFonts w:ascii="Wingdings" w:hAnsi="Wingdings" w:hint="default"/>
      </w:rPr>
    </w:lvl>
    <w:lvl w:ilvl="3" w:tplc="197606B2">
      <w:start w:val="1"/>
      <w:numFmt w:val="bullet"/>
      <w:lvlText w:val=""/>
      <w:lvlJc w:val="left"/>
      <w:pPr>
        <w:ind w:left="2880" w:hanging="360"/>
      </w:pPr>
      <w:rPr>
        <w:rFonts w:ascii="Symbol" w:hAnsi="Symbol" w:hint="default"/>
      </w:rPr>
    </w:lvl>
    <w:lvl w:ilvl="4" w:tplc="1414A106">
      <w:start w:val="1"/>
      <w:numFmt w:val="bullet"/>
      <w:lvlText w:val="o"/>
      <w:lvlJc w:val="left"/>
      <w:pPr>
        <w:ind w:left="3600" w:hanging="360"/>
      </w:pPr>
      <w:rPr>
        <w:rFonts w:ascii="Courier New" w:hAnsi="Courier New" w:hint="default"/>
      </w:rPr>
    </w:lvl>
    <w:lvl w:ilvl="5" w:tplc="CB0AF864">
      <w:start w:val="1"/>
      <w:numFmt w:val="bullet"/>
      <w:lvlText w:val=""/>
      <w:lvlJc w:val="left"/>
      <w:pPr>
        <w:ind w:left="4320" w:hanging="360"/>
      </w:pPr>
      <w:rPr>
        <w:rFonts w:ascii="Wingdings" w:hAnsi="Wingdings" w:hint="default"/>
      </w:rPr>
    </w:lvl>
    <w:lvl w:ilvl="6" w:tplc="AD285DB6">
      <w:start w:val="1"/>
      <w:numFmt w:val="bullet"/>
      <w:lvlText w:val=""/>
      <w:lvlJc w:val="left"/>
      <w:pPr>
        <w:ind w:left="5040" w:hanging="360"/>
      </w:pPr>
      <w:rPr>
        <w:rFonts w:ascii="Symbol" w:hAnsi="Symbol" w:hint="default"/>
      </w:rPr>
    </w:lvl>
    <w:lvl w:ilvl="7" w:tplc="77C40BAA">
      <w:start w:val="1"/>
      <w:numFmt w:val="bullet"/>
      <w:lvlText w:val="o"/>
      <w:lvlJc w:val="left"/>
      <w:pPr>
        <w:ind w:left="5760" w:hanging="360"/>
      </w:pPr>
      <w:rPr>
        <w:rFonts w:ascii="Courier New" w:hAnsi="Courier New" w:hint="default"/>
      </w:rPr>
    </w:lvl>
    <w:lvl w:ilvl="8" w:tplc="D25CA5B8">
      <w:start w:val="1"/>
      <w:numFmt w:val="bullet"/>
      <w:lvlText w:val=""/>
      <w:lvlJc w:val="left"/>
      <w:pPr>
        <w:ind w:left="6480" w:hanging="360"/>
      </w:pPr>
      <w:rPr>
        <w:rFonts w:ascii="Wingdings" w:hAnsi="Wingdings" w:hint="default"/>
      </w:rPr>
    </w:lvl>
  </w:abstractNum>
  <w:abstractNum w:abstractNumId="140" w15:restartNumberingAfterBreak="0">
    <w:nsid w:val="486F0A09"/>
    <w:multiLevelType w:val="hybridMultilevel"/>
    <w:tmpl w:val="72D260B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1" w15:restartNumberingAfterBreak="0">
    <w:nsid w:val="489010CE"/>
    <w:multiLevelType w:val="hybridMultilevel"/>
    <w:tmpl w:val="AD78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8DA2401"/>
    <w:multiLevelType w:val="hybridMultilevel"/>
    <w:tmpl w:val="A3BC0C9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B60A0A72">
      <w:start w:val="51"/>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3" w15:restartNumberingAfterBreak="0">
    <w:nsid w:val="492269F1"/>
    <w:multiLevelType w:val="hybridMultilevel"/>
    <w:tmpl w:val="04B4E45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44" w15:restartNumberingAfterBreak="0">
    <w:nsid w:val="49D36EAE"/>
    <w:multiLevelType w:val="hybridMultilevel"/>
    <w:tmpl w:val="93C0B8DA"/>
    <w:lvl w:ilvl="0" w:tplc="08090001">
      <w:start w:val="1"/>
      <w:numFmt w:val="bullet"/>
      <w:lvlText w:val=""/>
      <w:lvlJc w:val="left"/>
      <w:pPr>
        <w:ind w:left="805" w:hanging="360"/>
      </w:pPr>
      <w:rPr>
        <w:rFonts w:ascii="Symbol" w:hAnsi="Symbol" w:hint="default"/>
      </w:rPr>
    </w:lvl>
    <w:lvl w:ilvl="1" w:tplc="08090003">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5" w15:restartNumberingAfterBreak="0">
    <w:nsid w:val="49F74A04"/>
    <w:multiLevelType w:val="hybridMultilevel"/>
    <w:tmpl w:val="763EAF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6" w15:restartNumberingAfterBreak="0">
    <w:nsid w:val="4A183C4D"/>
    <w:multiLevelType w:val="hybridMultilevel"/>
    <w:tmpl w:val="CD585B18"/>
    <w:lvl w:ilvl="0" w:tplc="FE3C0D54">
      <w:start w:val="55"/>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A282FC8"/>
    <w:multiLevelType w:val="hybridMultilevel"/>
    <w:tmpl w:val="9FBC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A9C7E8A"/>
    <w:multiLevelType w:val="hybridMultilevel"/>
    <w:tmpl w:val="8D428572"/>
    <w:lvl w:ilvl="0" w:tplc="0BF2BB52">
      <w:start w:val="1"/>
      <w:numFmt w:val="decimal"/>
      <w:lvlText w:val="%1."/>
      <w:lvlJc w:val="left"/>
      <w:pPr>
        <w:ind w:left="720" w:hanging="360"/>
      </w:pPr>
    </w:lvl>
    <w:lvl w:ilvl="1" w:tplc="C5329D6A">
      <w:start w:val="1"/>
      <w:numFmt w:val="lowerLetter"/>
      <w:lvlText w:val="%2."/>
      <w:lvlJc w:val="left"/>
      <w:pPr>
        <w:ind w:left="1440" w:hanging="360"/>
      </w:pPr>
    </w:lvl>
    <w:lvl w:ilvl="2" w:tplc="7C7C1D38">
      <w:start w:val="1"/>
      <w:numFmt w:val="lowerRoman"/>
      <w:lvlText w:val="%3."/>
      <w:lvlJc w:val="right"/>
      <w:pPr>
        <w:ind w:left="2160" w:hanging="180"/>
      </w:pPr>
    </w:lvl>
    <w:lvl w:ilvl="3" w:tplc="54163190">
      <w:start w:val="1"/>
      <w:numFmt w:val="decimal"/>
      <w:lvlText w:val="%4."/>
      <w:lvlJc w:val="left"/>
      <w:pPr>
        <w:ind w:left="2880" w:hanging="360"/>
      </w:pPr>
    </w:lvl>
    <w:lvl w:ilvl="4" w:tplc="CE1EE69E">
      <w:start w:val="1"/>
      <w:numFmt w:val="lowerLetter"/>
      <w:lvlText w:val="%5."/>
      <w:lvlJc w:val="left"/>
      <w:pPr>
        <w:ind w:left="3600" w:hanging="360"/>
      </w:pPr>
    </w:lvl>
    <w:lvl w:ilvl="5" w:tplc="BECC24AA">
      <w:start w:val="1"/>
      <w:numFmt w:val="lowerRoman"/>
      <w:lvlText w:val="%6."/>
      <w:lvlJc w:val="right"/>
      <w:pPr>
        <w:ind w:left="4320" w:hanging="180"/>
      </w:pPr>
    </w:lvl>
    <w:lvl w:ilvl="6" w:tplc="DA8E3506">
      <w:start w:val="1"/>
      <w:numFmt w:val="decimal"/>
      <w:lvlText w:val="%7."/>
      <w:lvlJc w:val="left"/>
      <w:pPr>
        <w:ind w:left="5040" w:hanging="360"/>
      </w:pPr>
    </w:lvl>
    <w:lvl w:ilvl="7" w:tplc="94AAC4CE">
      <w:start w:val="1"/>
      <w:numFmt w:val="lowerLetter"/>
      <w:lvlText w:val="%8."/>
      <w:lvlJc w:val="left"/>
      <w:pPr>
        <w:ind w:left="5760" w:hanging="360"/>
      </w:pPr>
    </w:lvl>
    <w:lvl w:ilvl="8" w:tplc="92AA1CF6">
      <w:start w:val="1"/>
      <w:numFmt w:val="lowerRoman"/>
      <w:lvlText w:val="%9."/>
      <w:lvlJc w:val="right"/>
      <w:pPr>
        <w:ind w:left="6480" w:hanging="180"/>
      </w:pPr>
    </w:lvl>
  </w:abstractNum>
  <w:abstractNum w:abstractNumId="149" w15:restartNumberingAfterBreak="0">
    <w:nsid w:val="4AF60CEE"/>
    <w:multiLevelType w:val="hybridMultilevel"/>
    <w:tmpl w:val="FFFFFFFF"/>
    <w:lvl w:ilvl="0" w:tplc="627236E0">
      <w:start w:val="1"/>
      <w:numFmt w:val="bullet"/>
      <w:lvlText w:val="-"/>
      <w:lvlJc w:val="left"/>
      <w:pPr>
        <w:ind w:left="720" w:hanging="360"/>
      </w:pPr>
      <w:rPr>
        <w:rFonts w:ascii="&quot;Calibri&quot;,sans-serif" w:hAnsi="&quot;Calibri&quot;,sans-serif" w:hint="default"/>
      </w:rPr>
    </w:lvl>
    <w:lvl w:ilvl="1" w:tplc="8856D2EA">
      <w:start w:val="1"/>
      <w:numFmt w:val="bullet"/>
      <w:lvlText w:val="o"/>
      <w:lvlJc w:val="left"/>
      <w:pPr>
        <w:ind w:left="1440" w:hanging="360"/>
      </w:pPr>
      <w:rPr>
        <w:rFonts w:ascii="Courier New" w:hAnsi="Courier New" w:hint="default"/>
      </w:rPr>
    </w:lvl>
    <w:lvl w:ilvl="2" w:tplc="18421B60">
      <w:start w:val="1"/>
      <w:numFmt w:val="bullet"/>
      <w:lvlText w:val=""/>
      <w:lvlJc w:val="left"/>
      <w:pPr>
        <w:ind w:left="2160" w:hanging="360"/>
      </w:pPr>
      <w:rPr>
        <w:rFonts w:ascii="Wingdings" w:hAnsi="Wingdings" w:hint="default"/>
      </w:rPr>
    </w:lvl>
    <w:lvl w:ilvl="3" w:tplc="BC0CCF9C">
      <w:start w:val="1"/>
      <w:numFmt w:val="bullet"/>
      <w:lvlText w:val=""/>
      <w:lvlJc w:val="left"/>
      <w:pPr>
        <w:ind w:left="2880" w:hanging="360"/>
      </w:pPr>
      <w:rPr>
        <w:rFonts w:ascii="Symbol" w:hAnsi="Symbol" w:hint="default"/>
      </w:rPr>
    </w:lvl>
    <w:lvl w:ilvl="4" w:tplc="21C4A204">
      <w:start w:val="1"/>
      <w:numFmt w:val="bullet"/>
      <w:lvlText w:val="o"/>
      <w:lvlJc w:val="left"/>
      <w:pPr>
        <w:ind w:left="3600" w:hanging="360"/>
      </w:pPr>
      <w:rPr>
        <w:rFonts w:ascii="Courier New" w:hAnsi="Courier New" w:hint="default"/>
      </w:rPr>
    </w:lvl>
    <w:lvl w:ilvl="5" w:tplc="F63291C6">
      <w:start w:val="1"/>
      <w:numFmt w:val="bullet"/>
      <w:lvlText w:val=""/>
      <w:lvlJc w:val="left"/>
      <w:pPr>
        <w:ind w:left="4320" w:hanging="360"/>
      </w:pPr>
      <w:rPr>
        <w:rFonts w:ascii="Wingdings" w:hAnsi="Wingdings" w:hint="default"/>
      </w:rPr>
    </w:lvl>
    <w:lvl w:ilvl="6" w:tplc="E3D4D0EE">
      <w:start w:val="1"/>
      <w:numFmt w:val="bullet"/>
      <w:lvlText w:val=""/>
      <w:lvlJc w:val="left"/>
      <w:pPr>
        <w:ind w:left="5040" w:hanging="360"/>
      </w:pPr>
      <w:rPr>
        <w:rFonts w:ascii="Symbol" w:hAnsi="Symbol" w:hint="default"/>
      </w:rPr>
    </w:lvl>
    <w:lvl w:ilvl="7" w:tplc="E5B00DF6">
      <w:start w:val="1"/>
      <w:numFmt w:val="bullet"/>
      <w:lvlText w:val="o"/>
      <w:lvlJc w:val="left"/>
      <w:pPr>
        <w:ind w:left="5760" w:hanging="360"/>
      </w:pPr>
      <w:rPr>
        <w:rFonts w:ascii="Courier New" w:hAnsi="Courier New" w:hint="default"/>
      </w:rPr>
    </w:lvl>
    <w:lvl w:ilvl="8" w:tplc="EAD0D474">
      <w:start w:val="1"/>
      <w:numFmt w:val="bullet"/>
      <w:lvlText w:val=""/>
      <w:lvlJc w:val="left"/>
      <w:pPr>
        <w:ind w:left="6480" w:hanging="360"/>
      </w:pPr>
      <w:rPr>
        <w:rFonts w:ascii="Wingdings" w:hAnsi="Wingdings" w:hint="default"/>
      </w:rPr>
    </w:lvl>
  </w:abstractNum>
  <w:abstractNum w:abstractNumId="150" w15:restartNumberingAfterBreak="0">
    <w:nsid w:val="4BF366C4"/>
    <w:multiLevelType w:val="hybridMultilevel"/>
    <w:tmpl w:val="FFFFFFFF"/>
    <w:lvl w:ilvl="0" w:tplc="7818B60E">
      <w:start w:val="1"/>
      <w:numFmt w:val="bullet"/>
      <w:lvlText w:val="·"/>
      <w:lvlJc w:val="left"/>
      <w:pPr>
        <w:ind w:left="720" w:hanging="360"/>
      </w:pPr>
      <w:rPr>
        <w:rFonts w:ascii="Symbol" w:hAnsi="Symbol" w:hint="default"/>
      </w:rPr>
    </w:lvl>
    <w:lvl w:ilvl="1" w:tplc="C23889DA">
      <w:start w:val="1"/>
      <w:numFmt w:val="decimal"/>
      <w:lvlText w:val="%2."/>
      <w:lvlJc w:val="left"/>
      <w:pPr>
        <w:ind w:left="1440" w:hanging="360"/>
      </w:pPr>
      <w:rPr>
        <w:rFonts w:hint="default"/>
      </w:rPr>
    </w:lvl>
    <w:lvl w:ilvl="2" w:tplc="05529188">
      <w:start w:val="1"/>
      <w:numFmt w:val="bullet"/>
      <w:lvlText w:val=""/>
      <w:lvlJc w:val="left"/>
      <w:pPr>
        <w:ind w:left="2160" w:hanging="360"/>
      </w:pPr>
      <w:rPr>
        <w:rFonts w:ascii="Wingdings" w:hAnsi="Wingdings" w:hint="default"/>
      </w:rPr>
    </w:lvl>
    <w:lvl w:ilvl="3" w:tplc="74A8D556">
      <w:start w:val="1"/>
      <w:numFmt w:val="bullet"/>
      <w:lvlText w:val=""/>
      <w:lvlJc w:val="left"/>
      <w:pPr>
        <w:ind w:left="2880" w:hanging="360"/>
      </w:pPr>
      <w:rPr>
        <w:rFonts w:ascii="Symbol" w:hAnsi="Symbol" w:hint="default"/>
      </w:rPr>
    </w:lvl>
    <w:lvl w:ilvl="4" w:tplc="D15C47FC">
      <w:start w:val="1"/>
      <w:numFmt w:val="bullet"/>
      <w:lvlText w:val="o"/>
      <w:lvlJc w:val="left"/>
      <w:pPr>
        <w:ind w:left="3600" w:hanging="360"/>
      </w:pPr>
      <w:rPr>
        <w:rFonts w:ascii="Courier New" w:hAnsi="Courier New" w:hint="default"/>
      </w:rPr>
    </w:lvl>
    <w:lvl w:ilvl="5" w:tplc="019ACE82">
      <w:start w:val="1"/>
      <w:numFmt w:val="bullet"/>
      <w:lvlText w:val=""/>
      <w:lvlJc w:val="left"/>
      <w:pPr>
        <w:ind w:left="4320" w:hanging="360"/>
      </w:pPr>
      <w:rPr>
        <w:rFonts w:ascii="Wingdings" w:hAnsi="Wingdings" w:hint="default"/>
      </w:rPr>
    </w:lvl>
    <w:lvl w:ilvl="6" w:tplc="04BCD96A">
      <w:start w:val="1"/>
      <w:numFmt w:val="bullet"/>
      <w:lvlText w:val=""/>
      <w:lvlJc w:val="left"/>
      <w:pPr>
        <w:ind w:left="5040" w:hanging="360"/>
      </w:pPr>
      <w:rPr>
        <w:rFonts w:ascii="Symbol" w:hAnsi="Symbol" w:hint="default"/>
      </w:rPr>
    </w:lvl>
    <w:lvl w:ilvl="7" w:tplc="76C4CCEC">
      <w:start w:val="1"/>
      <w:numFmt w:val="bullet"/>
      <w:lvlText w:val="o"/>
      <w:lvlJc w:val="left"/>
      <w:pPr>
        <w:ind w:left="5760" w:hanging="360"/>
      </w:pPr>
      <w:rPr>
        <w:rFonts w:ascii="Courier New" w:hAnsi="Courier New" w:hint="default"/>
      </w:rPr>
    </w:lvl>
    <w:lvl w:ilvl="8" w:tplc="05386F44">
      <w:start w:val="1"/>
      <w:numFmt w:val="bullet"/>
      <w:lvlText w:val=""/>
      <w:lvlJc w:val="left"/>
      <w:pPr>
        <w:ind w:left="6480" w:hanging="360"/>
      </w:pPr>
      <w:rPr>
        <w:rFonts w:ascii="Wingdings" w:hAnsi="Wingdings" w:hint="default"/>
      </w:rPr>
    </w:lvl>
  </w:abstractNum>
  <w:abstractNum w:abstractNumId="151" w15:restartNumberingAfterBreak="0">
    <w:nsid w:val="4C691602"/>
    <w:multiLevelType w:val="hybridMultilevel"/>
    <w:tmpl w:val="FFFFFFFF"/>
    <w:lvl w:ilvl="0" w:tplc="13B6A028">
      <w:start w:val="1"/>
      <w:numFmt w:val="decimal"/>
      <w:lvlText w:val="%1."/>
      <w:lvlJc w:val="left"/>
      <w:pPr>
        <w:ind w:left="720" w:hanging="360"/>
      </w:pPr>
    </w:lvl>
    <w:lvl w:ilvl="1" w:tplc="9D74E164">
      <w:start w:val="1"/>
      <w:numFmt w:val="lowerLetter"/>
      <w:lvlText w:val="%2."/>
      <w:lvlJc w:val="left"/>
      <w:pPr>
        <w:ind w:left="1440" w:hanging="360"/>
      </w:pPr>
    </w:lvl>
    <w:lvl w:ilvl="2" w:tplc="35D0B660">
      <w:start w:val="1"/>
      <w:numFmt w:val="lowerRoman"/>
      <w:lvlText w:val="%3."/>
      <w:lvlJc w:val="right"/>
      <w:pPr>
        <w:ind w:left="2160" w:hanging="180"/>
      </w:pPr>
    </w:lvl>
    <w:lvl w:ilvl="3" w:tplc="11568AEC">
      <w:start w:val="1"/>
      <w:numFmt w:val="decimal"/>
      <w:lvlText w:val="%4."/>
      <w:lvlJc w:val="left"/>
      <w:pPr>
        <w:ind w:left="2880" w:hanging="360"/>
      </w:pPr>
    </w:lvl>
    <w:lvl w:ilvl="4" w:tplc="F5C2A0E0">
      <w:start w:val="1"/>
      <w:numFmt w:val="lowerLetter"/>
      <w:lvlText w:val="%5."/>
      <w:lvlJc w:val="left"/>
      <w:pPr>
        <w:ind w:left="3600" w:hanging="360"/>
      </w:pPr>
    </w:lvl>
    <w:lvl w:ilvl="5" w:tplc="2EDAA962">
      <w:start w:val="1"/>
      <w:numFmt w:val="lowerRoman"/>
      <w:lvlText w:val="%6."/>
      <w:lvlJc w:val="right"/>
      <w:pPr>
        <w:ind w:left="4320" w:hanging="180"/>
      </w:pPr>
    </w:lvl>
    <w:lvl w:ilvl="6" w:tplc="BEC04A96">
      <w:start w:val="1"/>
      <w:numFmt w:val="decimal"/>
      <w:lvlText w:val="%7."/>
      <w:lvlJc w:val="left"/>
      <w:pPr>
        <w:ind w:left="5040" w:hanging="360"/>
      </w:pPr>
    </w:lvl>
    <w:lvl w:ilvl="7" w:tplc="CF5CAD9A">
      <w:start w:val="1"/>
      <w:numFmt w:val="lowerLetter"/>
      <w:lvlText w:val="%8."/>
      <w:lvlJc w:val="left"/>
      <w:pPr>
        <w:ind w:left="5760" w:hanging="360"/>
      </w:pPr>
    </w:lvl>
    <w:lvl w:ilvl="8" w:tplc="9A2611C8">
      <w:start w:val="1"/>
      <w:numFmt w:val="lowerRoman"/>
      <w:lvlText w:val="%9."/>
      <w:lvlJc w:val="right"/>
      <w:pPr>
        <w:ind w:left="6480" w:hanging="180"/>
      </w:pPr>
    </w:lvl>
  </w:abstractNum>
  <w:abstractNum w:abstractNumId="152" w15:restartNumberingAfterBreak="0">
    <w:nsid w:val="4CD8334A"/>
    <w:multiLevelType w:val="hybridMultilevel"/>
    <w:tmpl w:val="FFFFFFFF"/>
    <w:lvl w:ilvl="0" w:tplc="D640E50E">
      <w:start w:val="1"/>
      <w:numFmt w:val="decimal"/>
      <w:lvlText w:val="%1."/>
      <w:lvlJc w:val="left"/>
      <w:pPr>
        <w:ind w:left="720" w:hanging="360"/>
      </w:pPr>
    </w:lvl>
    <w:lvl w:ilvl="1" w:tplc="CF489950">
      <w:start w:val="1"/>
      <w:numFmt w:val="lowerLetter"/>
      <w:lvlText w:val="%2."/>
      <w:lvlJc w:val="left"/>
      <w:pPr>
        <w:ind w:left="1440" w:hanging="360"/>
      </w:pPr>
    </w:lvl>
    <w:lvl w:ilvl="2" w:tplc="08AABD10">
      <w:start w:val="1"/>
      <w:numFmt w:val="lowerRoman"/>
      <w:lvlText w:val="%3."/>
      <w:lvlJc w:val="right"/>
      <w:pPr>
        <w:ind w:left="2160" w:hanging="180"/>
      </w:pPr>
    </w:lvl>
    <w:lvl w:ilvl="3" w:tplc="BE64A6EE">
      <w:start w:val="1"/>
      <w:numFmt w:val="decimal"/>
      <w:lvlText w:val="%4."/>
      <w:lvlJc w:val="left"/>
      <w:pPr>
        <w:ind w:left="2880" w:hanging="360"/>
      </w:pPr>
    </w:lvl>
    <w:lvl w:ilvl="4" w:tplc="7B585AB6">
      <w:start w:val="1"/>
      <w:numFmt w:val="lowerLetter"/>
      <w:lvlText w:val="%5."/>
      <w:lvlJc w:val="left"/>
      <w:pPr>
        <w:ind w:left="3600" w:hanging="360"/>
      </w:pPr>
    </w:lvl>
    <w:lvl w:ilvl="5" w:tplc="81C62F1C">
      <w:start w:val="1"/>
      <w:numFmt w:val="lowerRoman"/>
      <w:lvlText w:val="%6."/>
      <w:lvlJc w:val="right"/>
      <w:pPr>
        <w:ind w:left="4320" w:hanging="180"/>
      </w:pPr>
    </w:lvl>
    <w:lvl w:ilvl="6" w:tplc="9D8A23F2">
      <w:start w:val="1"/>
      <w:numFmt w:val="decimal"/>
      <w:lvlText w:val="%7."/>
      <w:lvlJc w:val="left"/>
      <w:pPr>
        <w:ind w:left="5040" w:hanging="360"/>
      </w:pPr>
    </w:lvl>
    <w:lvl w:ilvl="7" w:tplc="6DBE8972">
      <w:start w:val="1"/>
      <w:numFmt w:val="lowerLetter"/>
      <w:lvlText w:val="%8."/>
      <w:lvlJc w:val="left"/>
      <w:pPr>
        <w:ind w:left="5760" w:hanging="360"/>
      </w:pPr>
    </w:lvl>
    <w:lvl w:ilvl="8" w:tplc="789A19A0">
      <w:start w:val="1"/>
      <w:numFmt w:val="lowerRoman"/>
      <w:lvlText w:val="%9."/>
      <w:lvlJc w:val="right"/>
      <w:pPr>
        <w:ind w:left="6480" w:hanging="180"/>
      </w:pPr>
    </w:lvl>
  </w:abstractNum>
  <w:abstractNum w:abstractNumId="153" w15:restartNumberingAfterBreak="0">
    <w:nsid w:val="4E682FAF"/>
    <w:multiLevelType w:val="hybridMultilevel"/>
    <w:tmpl w:val="18827CF4"/>
    <w:lvl w:ilvl="0" w:tplc="16E255B0">
      <w:start w:val="1"/>
      <w:numFmt w:val="decimal"/>
      <w:lvlText w:val="%1."/>
      <w:lvlJc w:val="left"/>
      <w:pPr>
        <w:ind w:left="720" w:hanging="360"/>
      </w:pPr>
    </w:lvl>
    <w:lvl w:ilvl="1" w:tplc="CA8CD326">
      <w:start w:val="1"/>
      <w:numFmt w:val="decimal"/>
      <w:lvlText w:val="%2."/>
      <w:lvlJc w:val="left"/>
      <w:pPr>
        <w:ind w:left="1440" w:hanging="360"/>
      </w:pPr>
    </w:lvl>
    <w:lvl w:ilvl="2" w:tplc="D2687AE6">
      <w:start w:val="1"/>
      <w:numFmt w:val="lowerRoman"/>
      <w:lvlText w:val="%3."/>
      <w:lvlJc w:val="right"/>
      <w:pPr>
        <w:ind w:left="2160" w:hanging="180"/>
      </w:pPr>
    </w:lvl>
    <w:lvl w:ilvl="3" w:tplc="68700AC8">
      <w:start w:val="1"/>
      <w:numFmt w:val="decimal"/>
      <w:lvlText w:val="%4."/>
      <w:lvlJc w:val="left"/>
      <w:pPr>
        <w:ind w:left="2880" w:hanging="360"/>
      </w:pPr>
    </w:lvl>
    <w:lvl w:ilvl="4" w:tplc="F0241D3C">
      <w:start w:val="1"/>
      <w:numFmt w:val="lowerLetter"/>
      <w:lvlText w:val="%5."/>
      <w:lvlJc w:val="left"/>
      <w:pPr>
        <w:ind w:left="3600" w:hanging="360"/>
      </w:pPr>
    </w:lvl>
    <w:lvl w:ilvl="5" w:tplc="E8861942">
      <w:start w:val="1"/>
      <w:numFmt w:val="lowerRoman"/>
      <w:lvlText w:val="%6."/>
      <w:lvlJc w:val="right"/>
      <w:pPr>
        <w:ind w:left="4320" w:hanging="180"/>
      </w:pPr>
    </w:lvl>
    <w:lvl w:ilvl="6" w:tplc="4C3871E4">
      <w:start w:val="1"/>
      <w:numFmt w:val="decimal"/>
      <w:lvlText w:val="%7."/>
      <w:lvlJc w:val="left"/>
      <w:pPr>
        <w:ind w:left="5040" w:hanging="360"/>
      </w:pPr>
    </w:lvl>
    <w:lvl w:ilvl="7" w:tplc="AC4C7490">
      <w:start w:val="1"/>
      <w:numFmt w:val="lowerLetter"/>
      <w:lvlText w:val="%8."/>
      <w:lvlJc w:val="left"/>
      <w:pPr>
        <w:ind w:left="5760" w:hanging="360"/>
      </w:pPr>
    </w:lvl>
    <w:lvl w:ilvl="8" w:tplc="437403A0">
      <w:start w:val="1"/>
      <w:numFmt w:val="lowerRoman"/>
      <w:lvlText w:val="%9."/>
      <w:lvlJc w:val="right"/>
      <w:pPr>
        <w:ind w:left="6480" w:hanging="180"/>
      </w:pPr>
    </w:lvl>
  </w:abstractNum>
  <w:abstractNum w:abstractNumId="154"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5" w15:restartNumberingAfterBreak="0">
    <w:nsid w:val="51863F82"/>
    <w:multiLevelType w:val="hybridMultilevel"/>
    <w:tmpl w:val="FFFFFFFF"/>
    <w:lvl w:ilvl="0" w:tplc="5886620E">
      <w:start w:val="1"/>
      <w:numFmt w:val="bullet"/>
      <w:lvlText w:val="·"/>
      <w:lvlJc w:val="left"/>
      <w:pPr>
        <w:ind w:left="720" w:hanging="360"/>
      </w:pPr>
      <w:rPr>
        <w:rFonts w:ascii="Symbol" w:hAnsi="Symbol" w:hint="default"/>
      </w:rPr>
    </w:lvl>
    <w:lvl w:ilvl="1" w:tplc="337A5E36">
      <w:start w:val="1"/>
      <w:numFmt w:val="decimal"/>
      <w:lvlText w:val="%2."/>
      <w:lvlJc w:val="left"/>
      <w:pPr>
        <w:ind w:left="1440" w:hanging="360"/>
      </w:pPr>
      <w:rPr>
        <w:rFonts w:hint="default"/>
      </w:rPr>
    </w:lvl>
    <w:lvl w:ilvl="2" w:tplc="A3BE1D6A">
      <w:start w:val="1"/>
      <w:numFmt w:val="bullet"/>
      <w:lvlText w:val=""/>
      <w:lvlJc w:val="left"/>
      <w:pPr>
        <w:ind w:left="2160" w:hanging="360"/>
      </w:pPr>
      <w:rPr>
        <w:rFonts w:ascii="Wingdings" w:hAnsi="Wingdings" w:hint="default"/>
      </w:rPr>
    </w:lvl>
    <w:lvl w:ilvl="3" w:tplc="E8A2134C">
      <w:start w:val="1"/>
      <w:numFmt w:val="bullet"/>
      <w:lvlText w:val=""/>
      <w:lvlJc w:val="left"/>
      <w:pPr>
        <w:ind w:left="2880" w:hanging="360"/>
      </w:pPr>
      <w:rPr>
        <w:rFonts w:ascii="Symbol" w:hAnsi="Symbol" w:hint="default"/>
      </w:rPr>
    </w:lvl>
    <w:lvl w:ilvl="4" w:tplc="C0261D4E">
      <w:start w:val="1"/>
      <w:numFmt w:val="bullet"/>
      <w:lvlText w:val="o"/>
      <w:lvlJc w:val="left"/>
      <w:pPr>
        <w:ind w:left="3600" w:hanging="360"/>
      </w:pPr>
      <w:rPr>
        <w:rFonts w:ascii="Courier New" w:hAnsi="Courier New" w:hint="default"/>
      </w:rPr>
    </w:lvl>
    <w:lvl w:ilvl="5" w:tplc="8D5814B6">
      <w:start w:val="1"/>
      <w:numFmt w:val="bullet"/>
      <w:lvlText w:val=""/>
      <w:lvlJc w:val="left"/>
      <w:pPr>
        <w:ind w:left="4320" w:hanging="360"/>
      </w:pPr>
      <w:rPr>
        <w:rFonts w:ascii="Wingdings" w:hAnsi="Wingdings" w:hint="default"/>
      </w:rPr>
    </w:lvl>
    <w:lvl w:ilvl="6" w:tplc="C860A228">
      <w:start w:val="1"/>
      <w:numFmt w:val="bullet"/>
      <w:lvlText w:val=""/>
      <w:lvlJc w:val="left"/>
      <w:pPr>
        <w:ind w:left="5040" w:hanging="360"/>
      </w:pPr>
      <w:rPr>
        <w:rFonts w:ascii="Symbol" w:hAnsi="Symbol" w:hint="default"/>
      </w:rPr>
    </w:lvl>
    <w:lvl w:ilvl="7" w:tplc="80C0C9B6">
      <w:start w:val="1"/>
      <w:numFmt w:val="bullet"/>
      <w:lvlText w:val="o"/>
      <w:lvlJc w:val="left"/>
      <w:pPr>
        <w:ind w:left="5760" w:hanging="360"/>
      </w:pPr>
      <w:rPr>
        <w:rFonts w:ascii="Courier New" w:hAnsi="Courier New" w:hint="default"/>
      </w:rPr>
    </w:lvl>
    <w:lvl w:ilvl="8" w:tplc="CDC20E0A">
      <w:start w:val="1"/>
      <w:numFmt w:val="bullet"/>
      <w:lvlText w:val=""/>
      <w:lvlJc w:val="left"/>
      <w:pPr>
        <w:ind w:left="6480" w:hanging="360"/>
      </w:pPr>
      <w:rPr>
        <w:rFonts w:ascii="Wingdings" w:hAnsi="Wingdings" w:hint="default"/>
      </w:rPr>
    </w:lvl>
  </w:abstractNum>
  <w:abstractNum w:abstractNumId="156" w15:restartNumberingAfterBreak="0">
    <w:nsid w:val="52B23B42"/>
    <w:multiLevelType w:val="hybridMultilevel"/>
    <w:tmpl w:val="30AA6C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53F95047"/>
    <w:multiLevelType w:val="hybridMultilevel"/>
    <w:tmpl w:val="FFFFFFFF"/>
    <w:lvl w:ilvl="0" w:tplc="F8FEE626">
      <w:start w:val="1"/>
      <w:numFmt w:val="decimal"/>
      <w:lvlText w:val="%1."/>
      <w:lvlJc w:val="left"/>
      <w:pPr>
        <w:ind w:left="720" w:hanging="360"/>
      </w:pPr>
    </w:lvl>
    <w:lvl w:ilvl="1" w:tplc="DD9079C0">
      <w:start w:val="1"/>
      <w:numFmt w:val="decimal"/>
      <w:lvlText w:val="%2."/>
      <w:lvlJc w:val="left"/>
      <w:pPr>
        <w:ind w:left="1440" w:hanging="360"/>
      </w:pPr>
    </w:lvl>
    <w:lvl w:ilvl="2" w:tplc="2E9EDF62">
      <w:start w:val="1"/>
      <w:numFmt w:val="lowerRoman"/>
      <w:lvlText w:val="%3."/>
      <w:lvlJc w:val="right"/>
      <w:pPr>
        <w:ind w:left="2160" w:hanging="180"/>
      </w:pPr>
    </w:lvl>
    <w:lvl w:ilvl="3" w:tplc="4E1AB8CA">
      <w:start w:val="1"/>
      <w:numFmt w:val="decimal"/>
      <w:lvlText w:val="%4."/>
      <w:lvlJc w:val="left"/>
      <w:pPr>
        <w:ind w:left="2880" w:hanging="360"/>
      </w:pPr>
    </w:lvl>
    <w:lvl w:ilvl="4" w:tplc="A55C23E6">
      <w:start w:val="1"/>
      <w:numFmt w:val="lowerLetter"/>
      <w:lvlText w:val="%5."/>
      <w:lvlJc w:val="left"/>
      <w:pPr>
        <w:ind w:left="3600" w:hanging="360"/>
      </w:pPr>
    </w:lvl>
    <w:lvl w:ilvl="5" w:tplc="A9CA267C">
      <w:start w:val="1"/>
      <w:numFmt w:val="lowerRoman"/>
      <w:lvlText w:val="%6."/>
      <w:lvlJc w:val="right"/>
      <w:pPr>
        <w:ind w:left="4320" w:hanging="180"/>
      </w:pPr>
    </w:lvl>
    <w:lvl w:ilvl="6" w:tplc="B2829E66">
      <w:start w:val="1"/>
      <w:numFmt w:val="decimal"/>
      <w:lvlText w:val="%7."/>
      <w:lvlJc w:val="left"/>
      <w:pPr>
        <w:ind w:left="5040" w:hanging="360"/>
      </w:pPr>
    </w:lvl>
    <w:lvl w:ilvl="7" w:tplc="2A10226A">
      <w:start w:val="1"/>
      <w:numFmt w:val="lowerLetter"/>
      <w:lvlText w:val="%8."/>
      <w:lvlJc w:val="left"/>
      <w:pPr>
        <w:ind w:left="5760" w:hanging="360"/>
      </w:pPr>
    </w:lvl>
    <w:lvl w:ilvl="8" w:tplc="B90C711A">
      <w:start w:val="1"/>
      <w:numFmt w:val="lowerRoman"/>
      <w:lvlText w:val="%9."/>
      <w:lvlJc w:val="right"/>
      <w:pPr>
        <w:ind w:left="6480" w:hanging="180"/>
      </w:pPr>
    </w:lvl>
  </w:abstractNum>
  <w:abstractNum w:abstractNumId="158" w15:restartNumberingAfterBreak="0">
    <w:nsid w:val="54656358"/>
    <w:multiLevelType w:val="multilevel"/>
    <w:tmpl w:val="D2C6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5B70622"/>
    <w:multiLevelType w:val="hybridMultilevel"/>
    <w:tmpl w:val="F00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6985AE2"/>
    <w:multiLevelType w:val="hybridMultilevel"/>
    <w:tmpl w:val="917CA5EE"/>
    <w:lvl w:ilvl="0" w:tplc="2B329774">
      <w:start w:val="1"/>
      <w:numFmt w:val="bullet"/>
      <w:lvlText w:val=""/>
      <w:lvlJc w:val="left"/>
      <w:pPr>
        <w:ind w:left="720" w:hanging="360"/>
      </w:pPr>
      <w:rPr>
        <w:rFonts w:ascii="Symbol" w:hAnsi="Symbol" w:hint="default"/>
      </w:rPr>
    </w:lvl>
    <w:lvl w:ilvl="1" w:tplc="E522C776">
      <w:start w:val="1"/>
      <w:numFmt w:val="bullet"/>
      <w:lvlText w:val="o"/>
      <w:lvlJc w:val="left"/>
      <w:pPr>
        <w:ind w:left="1440" w:hanging="360"/>
      </w:pPr>
      <w:rPr>
        <w:rFonts w:ascii="Courier New" w:hAnsi="Courier New" w:hint="default"/>
      </w:rPr>
    </w:lvl>
    <w:lvl w:ilvl="2" w:tplc="779035AC">
      <w:start w:val="1"/>
      <w:numFmt w:val="bullet"/>
      <w:lvlText w:val=""/>
      <w:lvlJc w:val="left"/>
      <w:pPr>
        <w:ind w:left="2160" w:hanging="360"/>
      </w:pPr>
      <w:rPr>
        <w:rFonts w:ascii="Wingdings" w:hAnsi="Wingdings" w:hint="default"/>
      </w:rPr>
    </w:lvl>
    <w:lvl w:ilvl="3" w:tplc="646AB0FA">
      <w:start w:val="1"/>
      <w:numFmt w:val="bullet"/>
      <w:lvlText w:val=""/>
      <w:lvlJc w:val="left"/>
      <w:pPr>
        <w:ind w:left="2880" w:hanging="360"/>
      </w:pPr>
      <w:rPr>
        <w:rFonts w:ascii="Symbol" w:hAnsi="Symbol" w:hint="default"/>
      </w:rPr>
    </w:lvl>
    <w:lvl w:ilvl="4" w:tplc="19D20F94">
      <w:start w:val="1"/>
      <w:numFmt w:val="bullet"/>
      <w:lvlText w:val="o"/>
      <w:lvlJc w:val="left"/>
      <w:pPr>
        <w:ind w:left="3600" w:hanging="360"/>
      </w:pPr>
      <w:rPr>
        <w:rFonts w:ascii="Courier New" w:hAnsi="Courier New" w:hint="default"/>
      </w:rPr>
    </w:lvl>
    <w:lvl w:ilvl="5" w:tplc="1CD2EE2A">
      <w:start w:val="1"/>
      <w:numFmt w:val="bullet"/>
      <w:lvlText w:val=""/>
      <w:lvlJc w:val="left"/>
      <w:pPr>
        <w:ind w:left="4320" w:hanging="360"/>
      </w:pPr>
      <w:rPr>
        <w:rFonts w:ascii="Wingdings" w:hAnsi="Wingdings" w:hint="default"/>
      </w:rPr>
    </w:lvl>
    <w:lvl w:ilvl="6" w:tplc="85BCF010">
      <w:start w:val="1"/>
      <w:numFmt w:val="bullet"/>
      <w:lvlText w:val=""/>
      <w:lvlJc w:val="left"/>
      <w:pPr>
        <w:ind w:left="5040" w:hanging="360"/>
      </w:pPr>
      <w:rPr>
        <w:rFonts w:ascii="Symbol" w:hAnsi="Symbol" w:hint="default"/>
      </w:rPr>
    </w:lvl>
    <w:lvl w:ilvl="7" w:tplc="4F142666">
      <w:start w:val="1"/>
      <w:numFmt w:val="bullet"/>
      <w:lvlText w:val="o"/>
      <w:lvlJc w:val="left"/>
      <w:pPr>
        <w:ind w:left="5760" w:hanging="360"/>
      </w:pPr>
      <w:rPr>
        <w:rFonts w:ascii="Courier New" w:hAnsi="Courier New" w:hint="default"/>
      </w:rPr>
    </w:lvl>
    <w:lvl w:ilvl="8" w:tplc="7BC49D68">
      <w:start w:val="1"/>
      <w:numFmt w:val="bullet"/>
      <w:lvlText w:val=""/>
      <w:lvlJc w:val="left"/>
      <w:pPr>
        <w:ind w:left="6480" w:hanging="360"/>
      </w:pPr>
      <w:rPr>
        <w:rFonts w:ascii="Wingdings" w:hAnsi="Wingdings" w:hint="default"/>
      </w:rPr>
    </w:lvl>
  </w:abstractNum>
  <w:abstractNum w:abstractNumId="161" w15:restartNumberingAfterBreak="0">
    <w:nsid w:val="582F3CBD"/>
    <w:multiLevelType w:val="hybridMultilevel"/>
    <w:tmpl w:val="E2F8FEC4"/>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59235E79"/>
    <w:multiLevelType w:val="hybridMultilevel"/>
    <w:tmpl w:val="2E96878E"/>
    <w:lvl w:ilvl="0" w:tplc="08160001">
      <w:start w:val="1"/>
      <w:numFmt w:val="bullet"/>
      <w:lvlText w:val=""/>
      <w:lvlJc w:val="left"/>
      <w:pPr>
        <w:ind w:left="805" w:hanging="360"/>
      </w:pPr>
      <w:rPr>
        <w:rFonts w:ascii="Symbol" w:hAnsi="Symbol"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63" w15:restartNumberingAfterBreak="0">
    <w:nsid w:val="59525D42"/>
    <w:multiLevelType w:val="hybridMultilevel"/>
    <w:tmpl w:val="FFFFFFFF"/>
    <w:lvl w:ilvl="0" w:tplc="E20096AA">
      <w:start w:val="1"/>
      <w:numFmt w:val="bullet"/>
      <w:lvlText w:val="-"/>
      <w:lvlJc w:val="left"/>
      <w:pPr>
        <w:ind w:left="720" w:hanging="360"/>
      </w:pPr>
      <w:rPr>
        <w:rFonts w:ascii="Calibri" w:hAnsi="Calibri" w:hint="default"/>
      </w:rPr>
    </w:lvl>
    <w:lvl w:ilvl="1" w:tplc="9BFCB794">
      <w:start w:val="1"/>
      <w:numFmt w:val="bullet"/>
      <w:lvlText w:val="o"/>
      <w:lvlJc w:val="left"/>
      <w:pPr>
        <w:ind w:left="1440" w:hanging="360"/>
      </w:pPr>
      <w:rPr>
        <w:rFonts w:ascii="Courier New" w:hAnsi="Courier New" w:hint="default"/>
      </w:rPr>
    </w:lvl>
    <w:lvl w:ilvl="2" w:tplc="50F8D120">
      <w:start w:val="1"/>
      <w:numFmt w:val="bullet"/>
      <w:lvlText w:val=""/>
      <w:lvlJc w:val="left"/>
      <w:pPr>
        <w:ind w:left="2160" w:hanging="360"/>
      </w:pPr>
      <w:rPr>
        <w:rFonts w:ascii="Wingdings" w:hAnsi="Wingdings" w:hint="default"/>
      </w:rPr>
    </w:lvl>
    <w:lvl w:ilvl="3" w:tplc="3D08CF90">
      <w:start w:val="1"/>
      <w:numFmt w:val="bullet"/>
      <w:lvlText w:val=""/>
      <w:lvlJc w:val="left"/>
      <w:pPr>
        <w:ind w:left="2880" w:hanging="360"/>
      </w:pPr>
      <w:rPr>
        <w:rFonts w:ascii="Symbol" w:hAnsi="Symbol" w:hint="default"/>
      </w:rPr>
    </w:lvl>
    <w:lvl w:ilvl="4" w:tplc="500A0032">
      <w:start w:val="1"/>
      <w:numFmt w:val="bullet"/>
      <w:lvlText w:val="o"/>
      <w:lvlJc w:val="left"/>
      <w:pPr>
        <w:ind w:left="3600" w:hanging="360"/>
      </w:pPr>
      <w:rPr>
        <w:rFonts w:ascii="Courier New" w:hAnsi="Courier New" w:hint="default"/>
      </w:rPr>
    </w:lvl>
    <w:lvl w:ilvl="5" w:tplc="D494BF2A">
      <w:start w:val="1"/>
      <w:numFmt w:val="bullet"/>
      <w:lvlText w:val=""/>
      <w:lvlJc w:val="left"/>
      <w:pPr>
        <w:ind w:left="4320" w:hanging="360"/>
      </w:pPr>
      <w:rPr>
        <w:rFonts w:ascii="Wingdings" w:hAnsi="Wingdings" w:hint="default"/>
      </w:rPr>
    </w:lvl>
    <w:lvl w:ilvl="6" w:tplc="2BE41F68">
      <w:start w:val="1"/>
      <w:numFmt w:val="bullet"/>
      <w:lvlText w:val=""/>
      <w:lvlJc w:val="left"/>
      <w:pPr>
        <w:ind w:left="5040" w:hanging="360"/>
      </w:pPr>
      <w:rPr>
        <w:rFonts w:ascii="Symbol" w:hAnsi="Symbol" w:hint="default"/>
      </w:rPr>
    </w:lvl>
    <w:lvl w:ilvl="7" w:tplc="43F0D1B4">
      <w:start w:val="1"/>
      <w:numFmt w:val="bullet"/>
      <w:lvlText w:val="o"/>
      <w:lvlJc w:val="left"/>
      <w:pPr>
        <w:ind w:left="5760" w:hanging="360"/>
      </w:pPr>
      <w:rPr>
        <w:rFonts w:ascii="Courier New" w:hAnsi="Courier New" w:hint="default"/>
      </w:rPr>
    </w:lvl>
    <w:lvl w:ilvl="8" w:tplc="86E8DE92">
      <w:start w:val="1"/>
      <w:numFmt w:val="bullet"/>
      <w:lvlText w:val=""/>
      <w:lvlJc w:val="left"/>
      <w:pPr>
        <w:ind w:left="6480" w:hanging="360"/>
      </w:pPr>
      <w:rPr>
        <w:rFonts w:ascii="Wingdings" w:hAnsi="Wingdings" w:hint="default"/>
      </w:rPr>
    </w:lvl>
  </w:abstractNum>
  <w:abstractNum w:abstractNumId="164" w15:restartNumberingAfterBreak="0">
    <w:nsid w:val="5A10544D"/>
    <w:multiLevelType w:val="hybridMultilevel"/>
    <w:tmpl w:val="AEF0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5"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6" w15:restartNumberingAfterBreak="0">
    <w:nsid w:val="5B9E0146"/>
    <w:multiLevelType w:val="hybridMultilevel"/>
    <w:tmpl w:val="3564CFFE"/>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7" w15:restartNumberingAfterBreak="0">
    <w:nsid w:val="5BB44229"/>
    <w:multiLevelType w:val="hybridMultilevel"/>
    <w:tmpl w:val="CBBEE3D4"/>
    <w:lvl w:ilvl="0" w:tplc="CCD23C1A">
      <w:start w:val="1"/>
      <w:numFmt w:val="bullet"/>
      <w:lvlText w:val="-"/>
      <w:lvlJc w:val="left"/>
      <w:pPr>
        <w:ind w:left="890" w:hanging="360"/>
      </w:pPr>
      <w:rPr>
        <w:rFonts w:ascii="Cambria" w:eastAsia="Cambria" w:hAnsi="Cambria" w:cs="Cambri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8" w15:restartNumberingAfterBreak="0">
    <w:nsid w:val="5C851747"/>
    <w:multiLevelType w:val="hybridMultilevel"/>
    <w:tmpl w:val="FFFFFFFF"/>
    <w:lvl w:ilvl="0" w:tplc="5302F9D4">
      <w:start w:val="1"/>
      <w:numFmt w:val="bullet"/>
      <w:lvlText w:val=""/>
      <w:lvlJc w:val="left"/>
      <w:pPr>
        <w:ind w:left="720" w:hanging="360"/>
      </w:pPr>
      <w:rPr>
        <w:rFonts w:ascii="Symbol" w:hAnsi="Symbol" w:hint="default"/>
      </w:rPr>
    </w:lvl>
    <w:lvl w:ilvl="1" w:tplc="DD4659C2">
      <w:start w:val="1"/>
      <w:numFmt w:val="bullet"/>
      <w:lvlText w:val="o"/>
      <w:lvlJc w:val="left"/>
      <w:pPr>
        <w:ind w:left="1440" w:hanging="360"/>
      </w:pPr>
      <w:rPr>
        <w:rFonts w:ascii="Courier New" w:hAnsi="Courier New" w:hint="default"/>
      </w:rPr>
    </w:lvl>
    <w:lvl w:ilvl="2" w:tplc="D9BA3428">
      <w:start w:val="1"/>
      <w:numFmt w:val="bullet"/>
      <w:lvlText w:val=""/>
      <w:lvlJc w:val="left"/>
      <w:pPr>
        <w:ind w:left="2160" w:hanging="360"/>
      </w:pPr>
      <w:rPr>
        <w:rFonts w:ascii="Wingdings" w:hAnsi="Wingdings" w:hint="default"/>
      </w:rPr>
    </w:lvl>
    <w:lvl w:ilvl="3" w:tplc="67049B74">
      <w:start w:val="1"/>
      <w:numFmt w:val="bullet"/>
      <w:lvlText w:val=""/>
      <w:lvlJc w:val="left"/>
      <w:pPr>
        <w:ind w:left="2880" w:hanging="360"/>
      </w:pPr>
      <w:rPr>
        <w:rFonts w:ascii="Symbol" w:hAnsi="Symbol" w:hint="default"/>
      </w:rPr>
    </w:lvl>
    <w:lvl w:ilvl="4" w:tplc="5C00F5D2">
      <w:start w:val="1"/>
      <w:numFmt w:val="bullet"/>
      <w:lvlText w:val="o"/>
      <w:lvlJc w:val="left"/>
      <w:pPr>
        <w:ind w:left="3600" w:hanging="360"/>
      </w:pPr>
      <w:rPr>
        <w:rFonts w:ascii="Courier New" w:hAnsi="Courier New" w:hint="default"/>
      </w:rPr>
    </w:lvl>
    <w:lvl w:ilvl="5" w:tplc="20E4343C">
      <w:start w:val="1"/>
      <w:numFmt w:val="bullet"/>
      <w:lvlText w:val=""/>
      <w:lvlJc w:val="left"/>
      <w:pPr>
        <w:ind w:left="4320" w:hanging="360"/>
      </w:pPr>
      <w:rPr>
        <w:rFonts w:ascii="Wingdings" w:hAnsi="Wingdings" w:hint="default"/>
      </w:rPr>
    </w:lvl>
    <w:lvl w:ilvl="6" w:tplc="4D8680CA">
      <w:start w:val="1"/>
      <w:numFmt w:val="bullet"/>
      <w:lvlText w:val=""/>
      <w:lvlJc w:val="left"/>
      <w:pPr>
        <w:ind w:left="5040" w:hanging="360"/>
      </w:pPr>
      <w:rPr>
        <w:rFonts w:ascii="Symbol" w:hAnsi="Symbol" w:hint="default"/>
      </w:rPr>
    </w:lvl>
    <w:lvl w:ilvl="7" w:tplc="2C16C8AA">
      <w:start w:val="1"/>
      <w:numFmt w:val="bullet"/>
      <w:lvlText w:val="o"/>
      <w:lvlJc w:val="left"/>
      <w:pPr>
        <w:ind w:left="5760" w:hanging="360"/>
      </w:pPr>
      <w:rPr>
        <w:rFonts w:ascii="Courier New" w:hAnsi="Courier New" w:hint="default"/>
      </w:rPr>
    </w:lvl>
    <w:lvl w:ilvl="8" w:tplc="9C6673B4">
      <w:start w:val="1"/>
      <w:numFmt w:val="bullet"/>
      <w:lvlText w:val=""/>
      <w:lvlJc w:val="left"/>
      <w:pPr>
        <w:ind w:left="6480" w:hanging="360"/>
      </w:pPr>
      <w:rPr>
        <w:rFonts w:ascii="Wingdings" w:hAnsi="Wingdings" w:hint="default"/>
      </w:rPr>
    </w:lvl>
  </w:abstractNum>
  <w:abstractNum w:abstractNumId="169" w15:restartNumberingAfterBreak="0">
    <w:nsid w:val="5D106B0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D332643"/>
    <w:multiLevelType w:val="hybridMultilevel"/>
    <w:tmpl w:val="4A46D1D8"/>
    <w:lvl w:ilvl="0" w:tplc="08160001">
      <w:start w:val="1"/>
      <w:numFmt w:val="bullet"/>
      <w:lvlText w:val=""/>
      <w:lvlJc w:val="left"/>
      <w:pPr>
        <w:ind w:left="753" w:hanging="360"/>
      </w:pPr>
      <w:rPr>
        <w:rFonts w:ascii="Symbol" w:hAnsi="Symbol" w:hint="default"/>
      </w:rPr>
    </w:lvl>
    <w:lvl w:ilvl="1" w:tplc="08160003" w:tentative="1">
      <w:start w:val="1"/>
      <w:numFmt w:val="bullet"/>
      <w:lvlText w:val="o"/>
      <w:lvlJc w:val="left"/>
      <w:pPr>
        <w:ind w:left="1473" w:hanging="360"/>
      </w:pPr>
      <w:rPr>
        <w:rFonts w:ascii="Courier New" w:hAnsi="Courier New" w:cs="Courier New" w:hint="default"/>
      </w:rPr>
    </w:lvl>
    <w:lvl w:ilvl="2" w:tplc="08160005" w:tentative="1">
      <w:start w:val="1"/>
      <w:numFmt w:val="bullet"/>
      <w:lvlText w:val=""/>
      <w:lvlJc w:val="left"/>
      <w:pPr>
        <w:ind w:left="2193" w:hanging="360"/>
      </w:pPr>
      <w:rPr>
        <w:rFonts w:ascii="Wingdings" w:hAnsi="Wingdings" w:hint="default"/>
      </w:rPr>
    </w:lvl>
    <w:lvl w:ilvl="3" w:tplc="08160001" w:tentative="1">
      <w:start w:val="1"/>
      <w:numFmt w:val="bullet"/>
      <w:lvlText w:val=""/>
      <w:lvlJc w:val="left"/>
      <w:pPr>
        <w:ind w:left="2913" w:hanging="360"/>
      </w:pPr>
      <w:rPr>
        <w:rFonts w:ascii="Symbol" w:hAnsi="Symbol" w:hint="default"/>
      </w:rPr>
    </w:lvl>
    <w:lvl w:ilvl="4" w:tplc="08160003" w:tentative="1">
      <w:start w:val="1"/>
      <w:numFmt w:val="bullet"/>
      <w:lvlText w:val="o"/>
      <w:lvlJc w:val="left"/>
      <w:pPr>
        <w:ind w:left="3633" w:hanging="360"/>
      </w:pPr>
      <w:rPr>
        <w:rFonts w:ascii="Courier New" w:hAnsi="Courier New" w:cs="Courier New" w:hint="default"/>
      </w:rPr>
    </w:lvl>
    <w:lvl w:ilvl="5" w:tplc="08160005" w:tentative="1">
      <w:start w:val="1"/>
      <w:numFmt w:val="bullet"/>
      <w:lvlText w:val=""/>
      <w:lvlJc w:val="left"/>
      <w:pPr>
        <w:ind w:left="4353" w:hanging="360"/>
      </w:pPr>
      <w:rPr>
        <w:rFonts w:ascii="Wingdings" w:hAnsi="Wingdings" w:hint="default"/>
      </w:rPr>
    </w:lvl>
    <w:lvl w:ilvl="6" w:tplc="08160001" w:tentative="1">
      <w:start w:val="1"/>
      <w:numFmt w:val="bullet"/>
      <w:lvlText w:val=""/>
      <w:lvlJc w:val="left"/>
      <w:pPr>
        <w:ind w:left="5073" w:hanging="360"/>
      </w:pPr>
      <w:rPr>
        <w:rFonts w:ascii="Symbol" w:hAnsi="Symbol" w:hint="default"/>
      </w:rPr>
    </w:lvl>
    <w:lvl w:ilvl="7" w:tplc="08160003" w:tentative="1">
      <w:start w:val="1"/>
      <w:numFmt w:val="bullet"/>
      <w:lvlText w:val="o"/>
      <w:lvlJc w:val="left"/>
      <w:pPr>
        <w:ind w:left="5793" w:hanging="360"/>
      </w:pPr>
      <w:rPr>
        <w:rFonts w:ascii="Courier New" w:hAnsi="Courier New" w:cs="Courier New" w:hint="default"/>
      </w:rPr>
    </w:lvl>
    <w:lvl w:ilvl="8" w:tplc="08160005" w:tentative="1">
      <w:start w:val="1"/>
      <w:numFmt w:val="bullet"/>
      <w:lvlText w:val=""/>
      <w:lvlJc w:val="left"/>
      <w:pPr>
        <w:ind w:left="6513" w:hanging="360"/>
      </w:pPr>
      <w:rPr>
        <w:rFonts w:ascii="Wingdings" w:hAnsi="Wingdings" w:hint="default"/>
      </w:rPr>
    </w:lvl>
  </w:abstractNum>
  <w:abstractNum w:abstractNumId="171" w15:restartNumberingAfterBreak="0">
    <w:nsid w:val="5D38774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E3F52BA"/>
    <w:multiLevelType w:val="hybridMultilevel"/>
    <w:tmpl w:val="2462250C"/>
    <w:lvl w:ilvl="0" w:tplc="895E822A">
      <w:start w:val="1"/>
      <w:numFmt w:val="decimal"/>
      <w:lvlText w:val="%1."/>
      <w:lvlJc w:val="left"/>
      <w:pPr>
        <w:ind w:left="530" w:hanging="445"/>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73" w15:restartNumberingAfterBreak="0">
    <w:nsid w:val="5EEF3CC7"/>
    <w:multiLevelType w:val="hybridMultilevel"/>
    <w:tmpl w:val="D3001D84"/>
    <w:lvl w:ilvl="0" w:tplc="BE2C372A">
      <w:start w:val="1"/>
      <w:numFmt w:val="bullet"/>
      <w:lvlText w:val="-"/>
      <w:lvlJc w:val="left"/>
      <w:pPr>
        <w:ind w:left="720" w:hanging="360"/>
      </w:pPr>
      <w:rPr>
        <w:rFonts w:ascii="&quot;Calibri&quot;,sans-serif" w:hAnsi="&quot;Calibri&quot;,sans-serif" w:hint="default"/>
      </w:rPr>
    </w:lvl>
    <w:lvl w:ilvl="1" w:tplc="BE7C4842">
      <w:start w:val="1"/>
      <w:numFmt w:val="bullet"/>
      <w:lvlText w:val="o"/>
      <w:lvlJc w:val="left"/>
      <w:pPr>
        <w:ind w:left="1440" w:hanging="360"/>
      </w:pPr>
      <w:rPr>
        <w:rFonts w:ascii="Courier New" w:hAnsi="Courier New" w:hint="default"/>
      </w:rPr>
    </w:lvl>
    <w:lvl w:ilvl="2" w:tplc="A0BE2BDA">
      <w:start w:val="1"/>
      <w:numFmt w:val="bullet"/>
      <w:lvlText w:val=""/>
      <w:lvlJc w:val="left"/>
      <w:pPr>
        <w:ind w:left="2160" w:hanging="360"/>
      </w:pPr>
      <w:rPr>
        <w:rFonts w:ascii="Wingdings" w:hAnsi="Wingdings" w:hint="default"/>
      </w:rPr>
    </w:lvl>
    <w:lvl w:ilvl="3" w:tplc="A7EECF48">
      <w:start w:val="1"/>
      <w:numFmt w:val="bullet"/>
      <w:lvlText w:val=""/>
      <w:lvlJc w:val="left"/>
      <w:pPr>
        <w:ind w:left="2880" w:hanging="360"/>
      </w:pPr>
      <w:rPr>
        <w:rFonts w:ascii="Symbol" w:hAnsi="Symbol" w:hint="default"/>
      </w:rPr>
    </w:lvl>
    <w:lvl w:ilvl="4" w:tplc="B8C041BE">
      <w:start w:val="1"/>
      <w:numFmt w:val="bullet"/>
      <w:lvlText w:val="o"/>
      <w:lvlJc w:val="left"/>
      <w:pPr>
        <w:ind w:left="3600" w:hanging="360"/>
      </w:pPr>
      <w:rPr>
        <w:rFonts w:ascii="Courier New" w:hAnsi="Courier New" w:hint="default"/>
      </w:rPr>
    </w:lvl>
    <w:lvl w:ilvl="5" w:tplc="6D688C50">
      <w:start w:val="1"/>
      <w:numFmt w:val="bullet"/>
      <w:lvlText w:val=""/>
      <w:lvlJc w:val="left"/>
      <w:pPr>
        <w:ind w:left="4320" w:hanging="360"/>
      </w:pPr>
      <w:rPr>
        <w:rFonts w:ascii="Wingdings" w:hAnsi="Wingdings" w:hint="default"/>
      </w:rPr>
    </w:lvl>
    <w:lvl w:ilvl="6" w:tplc="64602E00">
      <w:start w:val="1"/>
      <w:numFmt w:val="bullet"/>
      <w:lvlText w:val=""/>
      <w:lvlJc w:val="left"/>
      <w:pPr>
        <w:ind w:left="5040" w:hanging="360"/>
      </w:pPr>
      <w:rPr>
        <w:rFonts w:ascii="Symbol" w:hAnsi="Symbol" w:hint="default"/>
      </w:rPr>
    </w:lvl>
    <w:lvl w:ilvl="7" w:tplc="19B0B4E2">
      <w:start w:val="1"/>
      <w:numFmt w:val="bullet"/>
      <w:lvlText w:val="o"/>
      <w:lvlJc w:val="left"/>
      <w:pPr>
        <w:ind w:left="5760" w:hanging="360"/>
      </w:pPr>
      <w:rPr>
        <w:rFonts w:ascii="Courier New" w:hAnsi="Courier New" w:hint="default"/>
      </w:rPr>
    </w:lvl>
    <w:lvl w:ilvl="8" w:tplc="B8286664">
      <w:start w:val="1"/>
      <w:numFmt w:val="bullet"/>
      <w:lvlText w:val=""/>
      <w:lvlJc w:val="left"/>
      <w:pPr>
        <w:ind w:left="6480" w:hanging="360"/>
      </w:pPr>
      <w:rPr>
        <w:rFonts w:ascii="Wingdings" w:hAnsi="Wingdings" w:hint="default"/>
      </w:rPr>
    </w:lvl>
  </w:abstractNum>
  <w:abstractNum w:abstractNumId="174" w15:restartNumberingAfterBreak="0">
    <w:nsid w:val="5F406C4C"/>
    <w:multiLevelType w:val="hybridMultilevel"/>
    <w:tmpl w:val="DF5C70F0"/>
    <w:lvl w:ilvl="0" w:tplc="42900518">
      <w:start w:val="1"/>
      <w:numFmt w:val="bullet"/>
      <w:lvlText w:val="·"/>
      <w:lvlJc w:val="left"/>
      <w:pPr>
        <w:ind w:left="720" w:hanging="360"/>
      </w:pPr>
      <w:rPr>
        <w:rFonts w:ascii="Symbol" w:hAnsi="Symbol" w:hint="default"/>
      </w:rPr>
    </w:lvl>
    <w:lvl w:ilvl="1" w:tplc="CC5A2C74">
      <w:start w:val="1"/>
      <w:numFmt w:val="bullet"/>
      <w:lvlText w:val="o"/>
      <w:lvlJc w:val="left"/>
      <w:pPr>
        <w:ind w:left="1440" w:hanging="360"/>
      </w:pPr>
      <w:rPr>
        <w:rFonts w:ascii="Courier New" w:hAnsi="Courier New" w:hint="default"/>
      </w:rPr>
    </w:lvl>
    <w:lvl w:ilvl="2" w:tplc="C0F0541E">
      <w:start w:val="1"/>
      <w:numFmt w:val="bullet"/>
      <w:lvlText w:val=""/>
      <w:lvlJc w:val="left"/>
      <w:pPr>
        <w:ind w:left="2160" w:hanging="360"/>
      </w:pPr>
      <w:rPr>
        <w:rFonts w:ascii="Wingdings" w:hAnsi="Wingdings" w:hint="default"/>
      </w:rPr>
    </w:lvl>
    <w:lvl w:ilvl="3" w:tplc="5FC6AD28">
      <w:start w:val="1"/>
      <w:numFmt w:val="bullet"/>
      <w:lvlText w:val=""/>
      <w:lvlJc w:val="left"/>
      <w:pPr>
        <w:ind w:left="2880" w:hanging="360"/>
      </w:pPr>
      <w:rPr>
        <w:rFonts w:ascii="Symbol" w:hAnsi="Symbol" w:hint="default"/>
      </w:rPr>
    </w:lvl>
    <w:lvl w:ilvl="4" w:tplc="6D92DB8C">
      <w:start w:val="1"/>
      <w:numFmt w:val="bullet"/>
      <w:lvlText w:val="o"/>
      <w:lvlJc w:val="left"/>
      <w:pPr>
        <w:ind w:left="3600" w:hanging="360"/>
      </w:pPr>
      <w:rPr>
        <w:rFonts w:ascii="Courier New" w:hAnsi="Courier New" w:hint="default"/>
      </w:rPr>
    </w:lvl>
    <w:lvl w:ilvl="5" w:tplc="360499D4">
      <w:start w:val="1"/>
      <w:numFmt w:val="bullet"/>
      <w:lvlText w:val=""/>
      <w:lvlJc w:val="left"/>
      <w:pPr>
        <w:ind w:left="4320" w:hanging="360"/>
      </w:pPr>
      <w:rPr>
        <w:rFonts w:ascii="Wingdings" w:hAnsi="Wingdings" w:hint="default"/>
      </w:rPr>
    </w:lvl>
    <w:lvl w:ilvl="6" w:tplc="DB087B5A">
      <w:start w:val="1"/>
      <w:numFmt w:val="bullet"/>
      <w:lvlText w:val=""/>
      <w:lvlJc w:val="left"/>
      <w:pPr>
        <w:ind w:left="5040" w:hanging="360"/>
      </w:pPr>
      <w:rPr>
        <w:rFonts w:ascii="Symbol" w:hAnsi="Symbol" w:hint="default"/>
      </w:rPr>
    </w:lvl>
    <w:lvl w:ilvl="7" w:tplc="9894D160">
      <w:start w:val="1"/>
      <w:numFmt w:val="bullet"/>
      <w:lvlText w:val="o"/>
      <w:lvlJc w:val="left"/>
      <w:pPr>
        <w:ind w:left="5760" w:hanging="360"/>
      </w:pPr>
      <w:rPr>
        <w:rFonts w:ascii="Courier New" w:hAnsi="Courier New" w:hint="default"/>
      </w:rPr>
    </w:lvl>
    <w:lvl w:ilvl="8" w:tplc="D1264484">
      <w:start w:val="1"/>
      <w:numFmt w:val="bullet"/>
      <w:lvlText w:val=""/>
      <w:lvlJc w:val="left"/>
      <w:pPr>
        <w:ind w:left="6480" w:hanging="360"/>
      </w:pPr>
      <w:rPr>
        <w:rFonts w:ascii="Wingdings" w:hAnsi="Wingdings" w:hint="default"/>
      </w:rPr>
    </w:lvl>
  </w:abstractNum>
  <w:abstractNum w:abstractNumId="175" w15:restartNumberingAfterBreak="0">
    <w:nsid w:val="5FAD3D08"/>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6" w15:restartNumberingAfterBreak="0">
    <w:nsid w:val="605147A2"/>
    <w:multiLevelType w:val="hybridMultilevel"/>
    <w:tmpl w:val="AFF86D02"/>
    <w:lvl w:ilvl="0" w:tplc="41D287EE">
      <w:start w:val="1"/>
      <w:numFmt w:val="decimal"/>
      <w:lvlText w:val="%1."/>
      <w:lvlJc w:val="left"/>
      <w:pPr>
        <w:ind w:left="720" w:hanging="360"/>
      </w:pPr>
    </w:lvl>
    <w:lvl w:ilvl="1" w:tplc="40C64530">
      <w:start w:val="1"/>
      <w:numFmt w:val="decimal"/>
      <w:lvlText w:val="%2."/>
      <w:lvlJc w:val="left"/>
      <w:pPr>
        <w:ind w:left="1440" w:hanging="360"/>
      </w:pPr>
    </w:lvl>
    <w:lvl w:ilvl="2" w:tplc="A0206DEE">
      <w:start w:val="1"/>
      <w:numFmt w:val="lowerRoman"/>
      <w:lvlText w:val="%3."/>
      <w:lvlJc w:val="right"/>
      <w:pPr>
        <w:ind w:left="2160" w:hanging="180"/>
      </w:pPr>
    </w:lvl>
    <w:lvl w:ilvl="3" w:tplc="D2301244">
      <w:start w:val="1"/>
      <w:numFmt w:val="decimal"/>
      <w:lvlText w:val="%4."/>
      <w:lvlJc w:val="left"/>
      <w:pPr>
        <w:ind w:left="2880" w:hanging="360"/>
      </w:pPr>
    </w:lvl>
    <w:lvl w:ilvl="4" w:tplc="0D4679E8">
      <w:start w:val="1"/>
      <w:numFmt w:val="lowerLetter"/>
      <w:lvlText w:val="%5."/>
      <w:lvlJc w:val="left"/>
      <w:pPr>
        <w:ind w:left="3600" w:hanging="360"/>
      </w:pPr>
    </w:lvl>
    <w:lvl w:ilvl="5" w:tplc="485ED0D8">
      <w:start w:val="1"/>
      <w:numFmt w:val="lowerRoman"/>
      <w:lvlText w:val="%6."/>
      <w:lvlJc w:val="right"/>
      <w:pPr>
        <w:ind w:left="4320" w:hanging="180"/>
      </w:pPr>
    </w:lvl>
    <w:lvl w:ilvl="6" w:tplc="9CE0A61C">
      <w:start w:val="1"/>
      <w:numFmt w:val="decimal"/>
      <w:lvlText w:val="%7."/>
      <w:lvlJc w:val="left"/>
      <w:pPr>
        <w:ind w:left="5040" w:hanging="360"/>
      </w:pPr>
    </w:lvl>
    <w:lvl w:ilvl="7" w:tplc="EF92423A">
      <w:start w:val="1"/>
      <w:numFmt w:val="lowerLetter"/>
      <w:lvlText w:val="%8."/>
      <w:lvlJc w:val="left"/>
      <w:pPr>
        <w:ind w:left="5760" w:hanging="360"/>
      </w:pPr>
    </w:lvl>
    <w:lvl w:ilvl="8" w:tplc="1F0EAEDC">
      <w:start w:val="1"/>
      <w:numFmt w:val="lowerRoman"/>
      <w:lvlText w:val="%9."/>
      <w:lvlJc w:val="right"/>
      <w:pPr>
        <w:ind w:left="6480" w:hanging="180"/>
      </w:pPr>
    </w:lvl>
  </w:abstractNum>
  <w:abstractNum w:abstractNumId="177" w15:restartNumberingAfterBreak="0">
    <w:nsid w:val="606D78C4"/>
    <w:multiLevelType w:val="hybridMultilevel"/>
    <w:tmpl w:val="FFFFFFFF"/>
    <w:lvl w:ilvl="0" w:tplc="84762456">
      <w:start w:val="1"/>
      <w:numFmt w:val="decimal"/>
      <w:lvlText w:val="%1."/>
      <w:lvlJc w:val="left"/>
      <w:pPr>
        <w:ind w:left="720" w:hanging="360"/>
      </w:pPr>
    </w:lvl>
    <w:lvl w:ilvl="1" w:tplc="499E7F82">
      <w:start w:val="1"/>
      <w:numFmt w:val="lowerLetter"/>
      <w:lvlText w:val="%2."/>
      <w:lvlJc w:val="left"/>
      <w:pPr>
        <w:ind w:left="1440" w:hanging="360"/>
      </w:pPr>
    </w:lvl>
    <w:lvl w:ilvl="2" w:tplc="3B5E071A">
      <w:start w:val="1"/>
      <w:numFmt w:val="lowerRoman"/>
      <w:lvlText w:val="%3."/>
      <w:lvlJc w:val="right"/>
      <w:pPr>
        <w:ind w:left="2160" w:hanging="180"/>
      </w:pPr>
    </w:lvl>
    <w:lvl w:ilvl="3" w:tplc="B0763120">
      <w:start w:val="1"/>
      <w:numFmt w:val="decimal"/>
      <w:lvlText w:val="%4."/>
      <w:lvlJc w:val="left"/>
      <w:pPr>
        <w:ind w:left="2880" w:hanging="360"/>
      </w:pPr>
    </w:lvl>
    <w:lvl w:ilvl="4" w:tplc="EB9EABC2">
      <w:start w:val="1"/>
      <w:numFmt w:val="lowerLetter"/>
      <w:lvlText w:val="%5."/>
      <w:lvlJc w:val="left"/>
      <w:pPr>
        <w:ind w:left="3600" w:hanging="360"/>
      </w:pPr>
    </w:lvl>
    <w:lvl w:ilvl="5" w:tplc="D228C230">
      <w:start w:val="1"/>
      <w:numFmt w:val="lowerRoman"/>
      <w:lvlText w:val="%6."/>
      <w:lvlJc w:val="right"/>
      <w:pPr>
        <w:ind w:left="4320" w:hanging="180"/>
      </w:pPr>
    </w:lvl>
    <w:lvl w:ilvl="6" w:tplc="599ABA50">
      <w:start w:val="1"/>
      <w:numFmt w:val="decimal"/>
      <w:lvlText w:val="%7."/>
      <w:lvlJc w:val="left"/>
      <w:pPr>
        <w:ind w:left="5040" w:hanging="360"/>
      </w:pPr>
    </w:lvl>
    <w:lvl w:ilvl="7" w:tplc="1DA6DAC0">
      <w:start w:val="1"/>
      <w:numFmt w:val="lowerLetter"/>
      <w:lvlText w:val="%8."/>
      <w:lvlJc w:val="left"/>
      <w:pPr>
        <w:ind w:left="5760" w:hanging="360"/>
      </w:pPr>
    </w:lvl>
    <w:lvl w:ilvl="8" w:tplc="ACCEC848">
      <w:start w:val="1"/>
      <w:numFmt w:val="lowerRoman"/>
      <w:lvlText w:val="%9."/>
      <w:lvlJc w:val="right"/>
      <w:pPr>
        <w:ind w:left="6480" w:hanging="180"/>
      </w:pPr>
    </w:lvl>
  </w:abstractNum>
  <w:abstractNum w:abstractNumId="178" w15:restartNumberingAfterBreak="0">
    <w:nsid w:val="607415E9"/>
    <w:multiLevelType w:val="hybridMultilevel"/>
    <w:tmpl w:val="5E4E3CA0"/>
    <w:lvl w:ilvl="0" w:tplc="A7D4F840">
      <w:start w:val="4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60AE4036"/>
    <w:multiLevelType w:val="hybridMultilevel"/>
    <w:tmpl w:val="24A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24A7553"/>
    <w:multiLevelType w:val="hybridMultilevel"/>
    <w:tmpl w:val="7B54DAD4"/>
    <w:lvl w:ilvl="0" w:tplc="0972CC78">
      <w:start w:val="1"/>
      <w:numFmt w:val="lowerRoman"/>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81" w15:restartNumberingAfterBreak="0">
    <w:nsid w:val="62DE286D"/>
    <w:multiLevelType w:val="hybridMultilevel"/>
    <w:tmpl w:val="389AC0F2"/>
    <w:lvl w:ilvl="0" w:tplc="7BBAF134">
      <w:start w:val="3"/>
      <w:numFmt w:val="bullet"/>
      <w:lvlText w:val="-"/>
      <w:lvlJc w:val="left"/>
      <w:pPr>
        <w:ind w:left="717" w:hanging="360"/>
      </w:pPr>
      <w:rPr>
        <w:rFonts w:ascii="Calibri" w:eastAsiaTheme="minorEastAsia" w:hAnsi="Calibri" w:cs="Calibri" w:hint="default"/>
        <w:spacing w:val="0"/>
      </w:rPr>
    </w:lvl>
    <w:lvl w:ilvl="1" w:tplc="04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2" w15:restartNumberingAfterBreak="0">
    <w:nsid w:val="62FB77AD"/>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639A5964"/>
    <w:multiLevelType w:val="hybridMultilevel"/>
    <w:tmpl w:val="FFFFFFFF"/>
    <w:lvl w:ilvl="0" w:tplc="35D0D0A0">
      <w:start w:val="1"/>
      <w:numFmt w:val="decimal"/>
      <w:lvlText w:val="%1."/>
      <w:lvlJc w:val="left"/>
      <w:pPr>
        <w:ind w:left="720" w:hanging="360"/>
      </w:pPr>
    </w:lvl>
    <w:lvl w:ilvl="1" w:tplc="0340239E">
      <w:start w:val="1"/>
      <w:numFmt w:val="decimal"/>
      <w:lvlText w:val="%2."/>
      <w:lvlJc w:val="left"/>
      <w:pPr>
        <w:ind w:left="1440" w:hanging="360"/>
      </w:pPr>
    </w:lvl>
    <w:lvl w:ilvl="2" w:tplc="ADBCB3D6">
      <w:start w:val="1"/>
      <w:numFmt w:val="lowerRoman"/>
      <w:lvlText w:val="%3."/>
      <w:lvlJc w:val="right"/>
      <w:pPr>
        <w:ind w:left="2160" w:hanging="180"/>
      </w:pPr>
    </w:lvl>
    <w:lvl w:ilvl="3" w:tplc="CF2EB4F8">
      <w:start w:val="1"/>
      <w:numFmt w:val="decimal"/>
      <w:lvlText w:val="%4."/>
      <w:lvlJc w:val="left"/>
      <w:pPr>
        <w:ind w:left="2880" w:hanging="360"/>
      </w:pPr>
    </w:lvl>
    <w:lvl w:ilvl="4" w:tplc="FD20740A">
      <w:start w:val="1"/>
      <w:numFmt w:val="lowerLetter"/>
      <w:lvlText w:val="%5."/>
      <w:lvlJc w:val="left"/>
      <w:pPr>
        <w:ind w:left="3600" w:hanging="360"/>
      </w:pPr>
    </w:lvl>
    <w:lvl w:ilvl="5" w:tplc="3F143DEE">
      <w:start w:val="1"/>
      <w:numFmt w:val="lowerRoman"/>
      <w:lvlText w:val="%6."/>
      <w:lvlJc w:val="right"/>
      <w:pPr>
        <w:ind w:left="4320" w:hanging="180"/>
      </w:pPr>
    </w:lvl>
    <w:lvl w:ilvl="6" w:tplc="4F1C5B8C">
      <w:start w:val="1"/>
      <w:numFmt w:val="decimal"/>
      <w:lvlText w:val="%7."/>
      <w:lvlJc w:val="left"/>
      <w:pPr>
        <w:ind w:left="5040" w:hanging="360"/>
      </w:pPr>
    </w:lvl>
    <w:lvl w:ilvl="7" w:tplc="81AC4C5C">
      <w:start w:val="1"/>
      <w:numFmt w:val="lowerLetter"/>
      <w:lvlText w:val="%8."/>
      <w:lvlJc w:val="left"/>
      <w:pPr>
        <w:ind w:left="5760" w:hanging="360"/>
      </w:pPr>
    </w:lvl>
    <w:lvl w:ilvl="8" w:tplc="E3328D54">
      <w:start w:val="1"/>
      <w:numFmt w:val="lowerRoman"/>
      <w:lvlText w:val="%9."/>
      <w:lvlJc w:val="right"/>
      <w:pPr>
        <w:ind w:left="6480" w:hanging="180"/>
      </w:pPr>
    </w:lvl>
  </w:abstractNum>
  <w:abstractNum w:abstractNumId="184" w15:restartNumberingAfterBreak="0">
    <w:nsid w:val="63C9723A"/>
    <w:multiLevelType w:val="hybridMultilevel"/>
    <w:tmpl w:val="E7289BFA"/>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5" w15:restartNumberingAfterBreak="0">
    <w:nsid w:val="64293F29"/>
    <w:multiLevelType w:val="hybridMultilevel"/>
    <w:tmpl w:val="799A8CC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6" w15:restartNumberingAfterBreak="0">
    <w:nsid w:val="65D310CE"/>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7" w15:restartNumberingAfterBreak="0">
    <w:nsid w:val="65DF7145"/>
    <w:multiLevelType w:val="hybridMultilevel"/>
    <w:tmpl w:val="51B886C4"/>
    <w:lvl w:ilvl="0" w:tplc="A7BA0830">
      <w:start w:val="1"/>
      <w:numFmt w:val="bullet"/>
      <w:lvlText w:val="·"/>
      <w:lvlJc w:val="left"/>
      <w:pPr>
        <w:ind w:left="720" w:hanging="360"/>
      </w:pPr>
      <w:rPr>
        <w:rFonts w:ascii="Symbol" w:hAnsi="Symbol" w:hint="default"/>
      </w:rPr>
    </w:lvl>
    <w:lvl w:ilvl="1" w:tplc="841A7C6C">
      <w:start w:val="1"/>
      <w:numFmt w:val="bullet"/>
      <w:lvlText w:val="o"/>
      <w:lvlJc w:val="left"/>
      <w:pPr>
        <w:ind w:left="1440" w:hanging="360"/>
      </w:pPr>
      <w:rPr>
        <w:rFonts w:ascii="Courier New" w:hAnsi="Courier New" w:hint="default"/>
      </w:rPr>
    </w:lvl>
    <w:lvl w:ilvl="2" w:tplc="C1485DFA">
      <w:start w:val="1"/>
      <w:numFmt w:val="bullet"/>
      <w:lvlText w:val=""/>
      <w:lvlJc w:val="left"/>
      <w:pPr>
        <w:ind w:left="2160" w:hanging="360"/>
      </w:pPr>
      <w:rPr>
        <w:rFonts w:ascii="Wingdings" w:hAnsi="Wingdings" w:hint="default"/>
      </w:rPr>
    </w:lvl>
    <w:lvl w:ilvl="3" w:tplc="CFD016BC">
      <w:start w:val="1"/>
      <w:numFmt w:val="bullet"/>
      <w:lvlText w:val=""/>
      <w:lvlJc w:val="left"/>
      <w:pPr>
        <w:ind w:left="2880" w:hanging="360"/>
      </w:pPr>
      <w:rPr>
        <w:rFonts w:ascii="Symbol" w:hAnsi="Symbol" w:hint="default"/>
      </w:rPr>
    </w:lvl>
    <w:lvl w:ilvl="4" w:tplc="7452F5DE">
      <w:start w:val="1"/>
      <w:numFmt w:val="bullet"/>
      <w:lvlText w:val="o"/>
      <w:lvlJc w:val="left"/>
      <w:pPr>
        <w:ind w:left="3600" w:hanging="360"/>
      </w:pPr>
      <w:rPr>
        <w:rFonts w:ascii="Courier New" w:hAnsi="Courier New" w:hint="default"/>
      </w:rPr>
    </w:lvl>
    <w:lvl w:ilvl="5" w:tplc="D090D416">
      <w:start w:val="1"/>
      <w:numFmt w:val="bullet"/>
      <w:lvlText w:val=""/>
      <w:lvlJc w:val="left"/>
      <w:pPr>
        <w:ind w:left="4320" w:hanging="360"/>
      </w:pPr>
      <w:rPr>
        <w:rFonts w:ascii="Wingdings" w:hAnsi="Wingdings" w:hint="default"/>
      </w:rPr>
    </w:lvl>
    <w:lvl w:ilvl="6" w:tplc="C6F64E60">
      <w:start w:val="1"/>
      <w:numFmt w:val="bullet"/>
      <w:lvlText w:val=""/>
      <w:lvlJc w:val="left"/>
      <w:pPr>
        <w:ind w:left="5040" w:hanging="360"/>
      </w:pPr>
      <w:rPr>
        <w:rFonts w:ascii="Symbol" w:hAnsi="Symbol" w:hint="default"/>
      </w:rPr>
    </w:lvl>
    <w:lvl w:ilvl="7" w:tplc="40F66C10">
      <w:start w:val="1"/>
      <w:numFmt w:val="bullet"/>
      <w:lvlText w:val="o"/>
      <w:lvlJc w:val="left"/>
      <w:pPr>
        <w:ind w:left="5760" w:hanging="360"/>
      </w:pPr>
      <w:rPr>
        <w:rFonts w:ascii="Courier New" w:hAnsi="Courier New" w:hint="default"/>
      </w:rPr>
    </w:lvl>
    <w:lvl w:ilvl="8" w:tplc="3EB05E98">
      <w:start w:val="1"/>
      <w:numFmt w:val="bullet"/>
      <w:lvlText w:val=""/>
      <w:lvlJc w:val="left"/>
      <w:pPr>
        <w:ind w:left="6480" w:hanging="360"/>
      </w:pPr>
      <w:rPr>
        <w:rFonts w:ascii="Wingdings" w:hAnsi="Wingdings" w:hint="default"/>
      </w:rPr>
    </w:lvl>
  </w:abstractNum>
  <w:abstractNum w:abstractNumId="188" w15:restartNumberingAfterBreak="0">
    <w:nsid w:val="67045AA4"/>
    <w:multiLevelType w:val="hybridMultilevel"/>
    <w:tmpl w:val="FE32659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672C3D90"/>
    <w:multiLevelType w:val="hybridMultilevel"/>
    <w:tmpl w:val="FA5074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0" w15:restartNumberingAfterBreak="0">
    <w:nsid w:val="67A85384"/>
    <w:multiLevelType w:val="hybridMultilevel"/>
    <w:tmpl w:val="FFFFFFFF"/>
    <w:lvl w:ilvl="0" w:tplc="7F426448">
      <w:start w:val="1"/>
      <w:numFmt w:val="bullet"/>
      <w:lvlText w:val="·"/>
      <w:lvlJc w:val="left"/>
      <w:pPr>
        <w:ind w:left="720" w:hanging="360"/>
      </w:pPr>
      <w:rPr>
        <w:rFonts w:ascii="Symbol" w:hAnsi="Symbol" w:hint="default"/>
      </w:rPr>
    </w:lvl>
    <w:lvl w:ilvl="1" w:tplc="ABE06104">
      <w:start w:val="1"/>
      <w:numFmt w:val="bullet"/>
      <w:lvlText w:val="o"/>
      <w:lvlJc w:val="left"/>
      <w:pPr>
        <w:ind w:left="1440" w:hanging="360"/>
      </w:pPr>
      <w:rPr>
        <w:rFonts w:ascii="Courier New" w:hAnsi="Courier New" w:hint="default"/>
      </w:rPr>
    </w:lvl>
    <w:lvl w:ilvl="2" w:tplc="2E9A1BB2">
      <w:start w:val="1"/>
      <w:numFmt w:val="bullet"/>
      <w:lvlText w:val=""/>
      <w:lvlJc w:val="left"/>
      <w:pPr>
        <w:ind w:left="2160" w:hanging="360"/>
      </w:pPr>
      <w:rPr>
        <w:rFonts w:ascii="Wingdings" w:hAnsi="Wingdings" w:hint="default"/>
      </w:rPr>
    </w:lvl>
    <w:lvl w:ilvl="3" w:tplc="D674A232">
      <w:start w:val="1"/>
      <w:numFmt w:val="bullet"/>
      <w:lvlText w:val=""/>
      <w:lvlJc w:val="left"/>
      <w:pPr>
        <w:ind w:left="2880" w:hanging="360"/>
      </w:pPr>
      <w:rPr>
        <w:rFonts w:ascii="Symbol" w:hAnsi="Symbol" w:hint="default"/>
      </w:rPr>
    </w:lvl>
    <w:lvl w:ilvl="4" w:tplc="C832CA3A">
      <w:start w:val="1"/>
      <w:numFmt w:val="bullet"/>
      <w:lvlText w:val="o"/>
      <w:lvlJc w:val="left"/>
      <w:pPr>
        <w:ind w:left="3600" w:hanging="360"/>
      </w:pPr>
      <w:rPr>
        <w:rFonts w:ascii="Courier New" w:hAnsi="Courier New" w:hint="default"/>
      </w:rPr>
    </w:lvl>
    <w:lvl w:ilvl="5" w:tplc="C6842834">
      <w:start w:val="1"/>
      <w:numFmt w:val="bullet"/>
      <w:lvlText w:val=""/>
      <w:lvlJc w:val="left"/>
      <w:pPr>
        <w:ind w:left="4320" w:hanging="360"/>
      </w:pPr>
      <w:rPr>
        <w:rFonts w:ascii="Wingdings" w:hAnsi="Wingdings" w:hint="default"/>
      </w:rPr>
    </w:lvl>
    <w:lvl w:ilvl="6" w:tplc="CD54CCD4">
      <w:start w:val="1"/>
      <w:numFmt w:val="bullet"/>
      <w:lvlText w:val=""/>
      <w:lvlJc w:val="left"/>
      <w:pPr>
        <w:ind w:left="5040" w:hanging="360"/>
      </w:pPr>
      <w:rPr>
        <w:rFonts w:ascii="Symbol" w:hAnsi="Symbol" w:hint="default"/>
      </w:rPr>
    </w:lvl>
    <w:lvl w:ilvl="7" w:tplc="8D44EEBE">
      <w:start w:val="1"/>
      <w:numFmt w:val="bullet"/>
      <w:lvlText w:val="o"/>
      <w:lvlJc w:val="left"/>
      <w:pPr>
        <w:ind w:left="5760" w:hanging="360"/>
      </w:pPr>
      <w:rPr>
        <w:rFonts w:ascii="Courier New" w:hAnsi="Courier New" w:hint="default"/>
      </w:rPr>
    </w:lvl>
    <w:lvl w:ilvl="8" w:tplc="A0A09D2A">
      <w:start w:val="1"/>
      <w:numFmt w:val="bullet"/>
      <w:lvlText w:val=""/>
      <w:lvlJc w:val="left"/>
      <w:pPr>
        <w:ind w:left="6480" w:hanging="360"/>
      </w:pPr>
      <w:rPr>
        <w:rFonts w:ascii="Wingdings" w:hAnsi="Wingdings" w:hint="default"/>
      </w:rPr>
    </w:lvl>
  </w:abstractNum>
  <w:abstractNum w:abstractNumId="191" w15:restartNumberingAfterBreak="0">
    <w:nsid w:val="67C006A5"/>
    <w:multiLevelType w:val="hybridMultilevel"/>
    <w:tmpl w:val="B73053C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805CBA54">
      <w:start w:val="45"/>
      <w:numFmt w:val="decimal"/>
      <w:lvlText w:val="%3)"/>
      <w:lvlJc w:val="left"/>
      <w:pPr>
        <w:ind w:left="2694" w:hanging="360"/>
      </w:pPr>
      <w:rPr>
        <w:rFonts w:eastAsia="MS Mincho" w:hint="default"/>
        <w:color w:val="auto"/>
      </w:rPr>
    </w:lvl>
    <w:lvl w:ilvl="3" w:tplc="343C732C">
      <w:start w:val="1"/>
      <w:numFmt w:val="lowerRoman"/>
      <w:lvlText w:val="(%4)"/>
      <w:lvlJc w:val="left"/>
      <w:pPr>
        <w:ind w:left="3594" w:hanging="720"/>
      </w:pPr>
      <w:rPr>
        <w:rFonts w:hint="default"/>
      </w:rPr>
    </w:lvl>
    <w:lvl w:ilvl="4" w:tplc="08090019">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2" w15:restartNumberingAfterBreak="0">
    <w:nsid w:val="68042957"/>
    <w:multiLevelType w:val="hybridMultilevel"/>
    <w:tmpl w:val="E064F45E"/>
    <w:lvl w:ilvl="0" w:tplc="5DE487A8">
      <w:start w:val="57"/>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68E30A57"/>
    <w:multiLevelType w:val="hybridMultilevel"/>
    <w:tmpl w:val="951021D0"/>
    <w:lvl w:ilvl="0" w:tplc="08AAAA54">
      <w:start w:val="1"/>
      <w:numFmt w:val="bullet"/>
      <w:lvlText w:val="·"/>
      <w:lvlJc w:val="left"/>
      <w:pPr>
        <w:ind w:left="720" w:hanging="360"/>
      </w:pPr>
    </w:lvl>
    <w:lvl w:ilvl="1" w:tplc="08090001">
      <w:start w:val="1"/>
      <w:numFmt w:val="bullet"/>
      <w:lvlText w:val=""/>
      <w:lvlJc w:val="left"/>
      <w:pPr>
        <w:ind w:left="1440" w:hanging="360"/>
      </w:pPr>
      <w:rPr>
        <w:rFonts w:ascii="Symbol" w:hAnsi="Symbol" w:hint="default"/>
      </w:r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194" w15:restartNumberingAfterBreak="0">
    <w:nsid w:val="690A652A"/>
    <w:multiLevelType w:val="hybridMultilevel"/>
    <w:tmpl w:val="FFFFFFFF"/>
    <w:lvl w:ilvl="0" w:tplc="B594A394">
      <w:start w:val="1"/>
      <w:numFmt w:val="decimal"/>
      <w:lvlText w:val="%1."/>
      <w:lvlJc w:val="left"/>
      <w:pPr>
        <w:ind w:left="720" w:hanging="360"/>
      </w:pPr>
    </w:lvl>
    <w:lvl w:ilvl="1" w:tplc="D9A4EDE4">
      <w:start w:val="1"/>
      <w:numFmt w:val="lowerLetter"/>
      <w:lvlText w:val="%2."/>
      <w:lvlJc w:val="left"/>
      <w:pPr>
        <w:ind w:left="1440" w:hanging="360"/>
      </w:pPr>
    </w:lvl>
    <w:lvl w:ilvl="2" w:tplc="069831A2">
      <w:start w:val="1"/>
      <w:numFmt w:val="lowerRoman"/>
      <w:lvlText w:val="%3."/>
      <w:lvlJc w:val="right"/>
      <w:pPr>
        <w:ind w:left="2160" w:hanging="180"/>
      </w:pPr>
    </w:lvl>
    <w:lvl w:ilvl="3" w:tplc="90F20FF4">
      <w:start w:val="1"/>
      <w:numFmt w:val="decimal"/>
      <w:lvlText w:val="%4."/>
      <w:lvlJc w:val="left"/>
      <w:pPr>
        <w:ind w:left="2880" w:hanging="360"/>
      </w:pPr>
    </w:lvl>
    <w:lvl w:ilvl="4" w:tplc="4418DAA4">
      <w:start w:val="1"/>
      <w:numFmt w:val="lowerLetter"/>
      <w:lvlText w:val="%5."/>
      <w:lvlJc w:val="left"/>
      <w:pPr>
        <w:ind w:left="3600" w:hanging="360"/>
      </w:pPr>
    </w:lvl>
    <w:lvl w:ilvl="5" w:tplc="7D968528">
      <w:start w:val="1"/>
      <w:numFmt w:val="lowerRoman"/>
      <w:lvlText w:val="%6."/>
      <w:lvlJc w:val="right"/>
      <w:pPr>
        <w:ind w:left="4320" w:hanging="180"/>
      </w:pPr>
    </w:lvl>
    <w:lvl w:ilvl="6" w:tplc="D980AA92">
      <w:start w:val="1"/>
      <w:numFmt w:val="decimal"/>
      <w:lvlText w:val="%7."/>
      <w:lvlJc w:val="left"/>
      <w:pPr>
        <w:ind w:left="5040" w:hanging="360"/>
      </w:pPr>
    </w:lvl>
    <w:lvl w:ilvl="7" w:tplc="438807A2">
      <w:start w:val="1"/>
      <w:numFmt w:val="lowerLetter"/>
      <w:lvlText w:val="%8."/>
      <w:lvlJc w:val="left"/>
      <w:pPr>
        <w:ind w:left="5760" w:hanging="360"/>
      </w:pPr>
    </w:lvl>
    <w:lvl w:ilvl="8" w:tplc="5052F44C">
      <w:start w:val="1"/>
      <w:numFmt w:val="lowerRoman"/>
      <w:lvlText w:val="%9."/>
      <w:lvlJc w:val="right"/>
      <w:pPr>
        <w:ind w:left="6480" w:hanging="180"/>
      </w:pPr>
    </w:lvl>
  </w:abstractNum>
  <w:abstractNum w:abstractNumId="195" w15:restartNumberingAfterBreak="0">
    <w:nsid w:val="6A9A58EE"/>
    <w:multiLevelType w:val="hybridMultilevel"/>
    <w:tmpl w:val="E332AB5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96" w15:restartNumberingAfterBreak="0">
    <w:nsid w:val="6B416C67"/>
    <w:multiLevelType w:val="hybridMultilevel"/>
    <w:tmpl w:val="FFFFFFFF"/>
    <w:lvl w:ilvl="0" w:tplc="D0B09374">
      <w:start w:val="1"/>
      <w:numFmt w:val="bullet"/>
      <w:lvlText w:val="·"/>
      <w:lvlJc w:val="left"/>
      <w:pPr>
        <w:ind w:left="720" w:hanging="360"/>
      </w:pPr>
      <w:rPr>
        <w:rFonts w:ascii="Symbol" w:hAnsi="Symbol" w:hint="default"/>
      </w:rPr>
    </w:lvl>
    <w:lvl w:ilvl="1" w:tplc="3E2ED156">
      <w:start w:val="1"/>
      <w:numFmt w:val="decimal"/>
      <w:lvlText w:val="%2."/>
      <w:lvlJc w:val="left"/>
      <w:pPr>
        <w:ind w:left="1440" w:hanging="360"/>
      </w:pPr>
      <w:rPr>
        <w:rFonts w:hint="default"/>
      </w:rPr>
    </w:lvl>
    <w:lvl w:ilvl="2" w:tplc="7B90A510">
      <w:start w:val="1"/>
      <w:numFmt w:val="bullet"/>
      <w:lvlText w:val=""/>
      <w:lvlJc w:val="left"/>
      <w:pPr>
        <w:ind w:left="2160" w:hanging="360"/>
      </w:pPr>
      <w:rPr>
        <w:rFonts w:ascii="Wingdings" w:hAnsi="Wingdings" w:hint="default"/>
      </w:rPr>
    </w:lvl>
    <w:lvl w:ilvl="3" w:tplc="E6D61F0A">
      <w:start w:val="1"/>
      <w:numFmt w:val="bullet"/>
      <w:lvlText w:val=""/>
      <w:lvlJc w:val="left"/>
      <w:pPr>
        <w:ind w:left="2880" w:hanging="360"/>
      </w:pPr>
      <w:rPr>
        <w:rFonts w:ascii="Symbol" w:hAnsi="Symbol" w:hint="default"/>
      </w:rPr>
    </w:lvl>
    <w:lvl w:ilvl="4" w:tplc="3CA4BAEA">
      <w:start w:val="1"/>
      <w:numFmt w:val="bullet"/>
      <w:lvlText w:val="o"/>
      <w:lvlJc w:val="left"/>
      <w:pPr>
        <w:ind w:left="3600" w:hanging="360"/>
      </w:pPr>
      <w:rPr>
        <w:rFonts w:ascii="Courier New" w:hAnsi="Courier New" w:hint="default"/>
      </w:rPr>
    </w:lvl>
    <w:lvl w:ilvl="5" w:tplc="332A4AF8">
      <w:start w:val="1"/>
      <w:numFmt w:val="bullet"/>
      <w:lvlText w:val=""/>
      <w:lvlJc w:val="left"/>
      <w:pPr>
        <w:ind w:left="4320" w:hanging="360"/>
      </w:pPr>
      <w:rPr>
        <w:rFonts w:ascii="Wingdings" w:hAnsi="Wingdings" w:hint="default"/>
      </w:rPr>
    </w:lvl>
    <w:lvl w:ilvl="6" w:tplc="94004B88">
      <w:start w:val="1"/>
      <w:numFmt w:val="bullet"/>
      <w:lvlText w:val=""/>
      <w:lvlJc w:val="left"/>
      <w:pPr>
        <w:ind w:left="5040" w:hanging="360"/>
      </w:pPr>
      <w:rPr>
        <w:rFonts w:ascii="Symbol" w:hAnsi="Symbol" w:hint="default"/>
      </w:rPr>
    </w:lvl>
    <w:lvl w:ilvl="7" w:tplc="2D822F44">
      <w:start w:val="1"/>
      <w:numFmt w:val="bullet"/>
      <w:lvlText w:val="o"/>
      <w:lvlJc w:val="left"/>
      <w:pPr>
        <w:ind w:left="5760" w:hanging="360"/>
      </w:pPr>
      <w:rPr>
        <w:rFonts w:ascii="Courier New" w:hAnsi="Courier New" w:hint="default"/>
      </w:rPr>
    </w:lvl>
    <w:lvl w:ilvl="8" w:tplc="CE0ACBF2">
      <w:start w:val="1"/>
      <w:numFmt w:val="bullet"/>
      <w:lvlText w:val=""/>
      <w:lvlJc w:val="left"/>
      <w:pPr>
        <w:ind w:left="6480" w:hanging="360"/>
      </w:pPr>
      <w:rPr>
        <w:rFonts w:ascii="Wingdings" w:hAnsi="Wingdings" w:hint="default"/>
      </w:rPr>
    </w:lvl>
  </w:abstractNum>
  <w:abstractNum w:abstractNumId="197"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8" w15:restartNumberingAfterBreak="0">
    <w:nsid w:val="6BCD57BB"/>
    <w:multiLevelType w:val="multilevel"/>
    <w:tmpl w:val="6FBE688C"/>
    <w:lvl w:ilvl="0">
      <w:start w:val="1"/>
      <w:numFmt w:val="upperRoman"/>
      <w:lvlText w:val="%1."/>
      <w:lvlJc w:val="left"/>
      <w:pPr>
        <w:ind w:left="0" w:firstLine="0"/>
      </w:pPr>
    </w:lvl>
    <w:lvl w:ilvl="1">
      <w:start w:val="1"/>
      <w:numFmt w:val="decimal"/>
      <w:lvlText w:val="%1.%2"/>
      <w:lvlJc w:val="left"/>
      <w:pPr>
        <w:ind w:left="0" w:firstLine="0"/>
      </w:pPr>
    </w:lvl>
    <w:lvl w:ilvl="2">
      <w:start w:val="1"/>
      <w:numFmt w:val="decimal"/>
      <w:pStyle w:val="Instructionsberschrift3"/>
      <w:lvlText w:val="%1.%2.%3"/>
      <w:lvlJc w:val="left"/>
      <w:pPr>
        <w:ind w:left="720" w:hanging="432"/>
      </w:pPr>
      <w:rPr>
        <w:b w:val="0"/>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9" w15:restartNumberingAfterBreak="0">
    <w:nsid w:val="6C026693"/>
    <w:multiLevelType w:val="hybridMultilevel"/>
    <w:tmpl w:val="BC685418"/>
    <w:lvl w:ilvl="0" w:tplc="A978104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6CB8133D"/>
    <w:multiLevelType w:val="hybridMultilevel"/>
    <w:tmpl w:val="9AFC1E6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1" w15:restartNumberingAfterBreak="0">
    <w:nsid w:val="6CCB754A"/>
    <w:multiLevelType w:val="multilevel"/>
    <w:tmpl w:val="BC04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DB451DC"/>
    <w:multiLevelType w:val="multilevel"/>
    <w:tmpl w:val="649A00FE"/>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3" w15:restartNumberingAfterBreak="0">
    <w:nsid w:val="6E157C41"/>
    <w:multiLevelType w:val="hybridMultilevel"/>
    <w:tmpl w:val="375075FE"/>
    <w:lvl w:ilvl="0" w:tplc="357AFF7A">
      <w:start w:val="1"/>
      <w:numFmt w:val="bullet"/>
      <w:lvlText w:val="·"/>
      <w:lvlJc w:val="left"/>
      <w:pPr>
        <w:ind w:left="720" w:hanging="360"/>
      </w:pPr>
      <w:rPr>
        <w:rFonts w:ascii="Symbol" w:hAnsi="Symbol" w:hint="default"/>
      </w:rPr>
    </w:lvl>
    <w:lvl w:ilvl="1" w:tplc="AEF20F6A">
      <w:start w:val="1"/>
      <w:numFmt w:val="decimal"/>
      <w:lvlText w:val="%2."/>
      <w:lvlJc w:val="left"/>
      <w:pPr>
        <w:ind w:left="1440" w:hanging="360"/>
      </w:pPr>
      <w:rPr>
        <w:rFonts w:hint="default"/>
      </w:rPr>
    </w:lvl>
    <w:lvl w:ilvl="2" w:tplc="D376CE86">
      <w:start w:val="1"/>
      <w:numFmt w:val="bullet"/>
      <w:lvlText w:val=""/>
      <w:lvlJc w:val="left"/>
      <w:pPr>
        <w:ind w:left="2160" w:hanging="360"/>
      </w:pPr>
      <w:rPr>
        <w:rFonts w:ascii="Wingdings" w:hAnsi="Wingdings" w:hint="default"/>
      </w:rPr>
    </w:lvl>
    <w:lvl w:ilvl="3" w:tplc="A7ECB72C">
      <w:start w:val="1"/>
      <w:numFmt w:val="bullet"/>
      <w:lvlText w:val=""/>
      <w:lvlJc w:val="left"/>
      <w:pPr>
        <w:ind w:left="2880" w:hanging="360"/>
      </w:pPr>
      <w:rPr>
        <w:rFonts w:ascii="Symbol" w:hAnsi="Symbol" w:hint="default"/>
      </w:rPr>
    </w:lvl>
    <w:lvl w:ilvl="4" w:tplc="96DCEDCC">
      <w:start w:val="1"/>
      <w:numFmt w:val="bullet"/>
      <w:lvlText w:val="o"/>
      <w:lvlJc w:val="left"/>
      <w:pPr>
        <w:ind w:left="3600" w:hanging="360"/>
      </w:pPr>
      <w:rPr>
        <w:rFonts w:ascii="Courier New" w:hAnsi="Courier New" w:hint="default"/>
      </w:rPr>
    </w:lvl>
    <w:lvl w:ilvl="5" w:tplc="2BFE3416">
      <w:start w:val="1"/>
      <w:numFmt w:val="bullet"/>
      <w:lvlText w:val=""/>
      <w:lvlJc w:val="left"/>
      <w:pPr>
        <w:ind w:left="4320" w:hanging="360"/>
      </w:pPr>
      <w:rPr>
        <w:rFonts w:ascii="Wingdings" w:hAnsi="Wingdings" w:hint="default"/>
      </w:rPr>
    </w:lvl>
    <w:lvl w:ilvl="6" w:tplc="8BAE30FC">
      <w:start w:val="1"/>
      <w:numFmt w:val="bullet"/>
      <w:lvlText w:val=""/>
      <w:lvlJc w:val="left"/>
      <w:pPr>
        <w:ind w:left="5040" w:hanging="360"/>
      </w:pPr>
      <w:rPr>
        <w:rFonts w:ascii="Symbol" w:hAnsi="Symbol" w:hint="default"/>
      </w:rPr>
    </w:lvl>
    <w:lvl w:ilvl="7" w:tplc="BF8ABDC8">
      <w:start w:val="1"/>
      <w:numFmt w:val="bullet"/>
      <w:lvlText w:val="o"/>
      <w:lvlJc w:val="left"/>
      <w:pPr>
        <w:ind w:left="5760" w:hanging="360"/>
      </w:pPr>
      <w:rPr>
        <w:rFonts w:ascii="Courier New" w:hAnsi="Courier New" w:hint="default"/>
      </w:rPr>
    </w:lvl>
    <w:lvl w:ilvl="8" w:tplc="5C5CAECC">
      <w:start w:val="1"/>
      <w:numFmt w:val="bullet"/>
      <w:lvlText w:val=""/>
      <w:lvlJc w:val="left"/>
      <w:pPr>
        <w:ind w:left="6480" w:hanging="360"/>
      </w:pPr>
      <w:rPr>
        <w:rFonts w:ascii="Wingdings" w:hAnsi="Wingdings" w:hint="default"/>
      </w:rPr>
    </w:lvl>
  </w:abstractNum>
  <w:abstractNum w:abstractNumId="204" w15:restartNumberingAfterBreak="0">
    <w:nsid w:val="6EE0541B"/>
    <w:multiLevelType w:val="hybridMultilevel"/>
    <w:tmpl w:val="C3B6CA8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5" w15:restartNumberingAfterBreak="0">
    <w:nsid w:val="6F167A56"/>
    <w:multiLevelType w:val="hybridMultilevel"/>
    <w:tmpl w:val="28BAD89C"/>
    <w:lvl w:ilvl="0" w:tplc="88F8117C">
      <w:start w:val="1"/>
      <w:numFmt w:val="bullet"/>
      <w:lvlText w:val="·"/>
      <w:lvlJc w:val="left"/>
      <w:pPr>
        <w:ind w:left="720" w:hanging="360"/>
      </w:pPr>
      <w:rPr>
        <w:rFonts w:ascii="Symbol" w:hAnsi="Symbol" w:hint="default"/>
      </w:rPr>
    </w:lvl>
    <w:lvl w:ilvl="1" w:tplc="0EEE4636">
      <w:start w:val="1"/>
      <w:numFmt w:val="bullet"/>
      <w:lvlText w:val="o"/>
      <w:lvlJc w:val="left"/>
      <w:pPr>
        <w:ind w:left="1440" w:hanging="360"/>
      </w:pPr>
      <w:rPr>
        <w:rFonts w:ascii="Courier New" w:hAnsi="Courier New" w:hint="default"/>
      </w:rPr>
    </w:lvl>
    <w:lvl w:ilvl="2" w:tplc="041E5F9E">
      <w:start w:val="1"/>
      <w:numFmt w:val="bullet"/>
      <w:lvlText w:val=""/>
      <w:lvlJc w:val="left"/>
      <w:pPr>
        <w:ind w:left="2160" w:hanging="360"/>
      </w:pPr>
      <w:rPr>
        <w:rFonts w:ascii="Wingdings" w:hAnsi="Wingdings" w:hint="default"/>
      </w:rPr>
    </w:lvl>
    <w:lvl w:ilvl="3" w:tplc="89D42A5A">
      <w:start w:val="1"/>
      <w:numFmt w:val="bullet"/>
      <w:lvlText w:val=""/>
      <w:lvlJc w:val="left"/>
      <w:pPr>
        <w:ind w:left="2880" w:hanging="360"/>
      </w:pPr>
      <w:rPr>
        <w:rFonts w:ascii="Symbol" w:hAnsi="Symbol" w:hint="default"/>
      </w:rPr>
    </w:lvl>
    <w:lvl w:ilvl="4" w:tplc="40849A20">
      <w:start w:val="1"/>
      <w:numFmt w:val="bullet"/>
      <w:lvlText w:val="o"/>
      <w:lvlJc w:val="left"/>
      <w:pPr>
        <w:ind w:left="3600" w:hanging="360"/>
      </w:pPr>
      <w:rPr>
        <w:rFonts w:ascii="Courier New" w:hAnsi="Courier New" w:hint="default"/>
      </w:rPr>
    </w:lvl>
    <w:lvl w:ilvl="5" w:tplc="290C1BE6">
      <w:start w:val="1"/>
      <w:numFmt w:val="bullet"/>
      <w:lvlText w:val=""/>
      <w:lvlJc w:val="left"/>
      <w:pPr>
        <w:ind w:left="4320" w:hanging="360"/>
      </w:pPr>
      <w:rPr>
        <w:rFonts w:ascii="Wingdings" w:hAnsi="Wingdings" w:hint="default"/>
      </w:rPr>
    </w:lvl>
    <w:lvl w:ilvl="6" w:tplc="B75A9084">
      <w:start w:val="1"/>
      <w:numFmt w:val="bullet"/>
      <w:lvlText w:val=""/>
      <w:lvlJc w:val="left"/>
      <w:pPr>
        <w:ind w:left="5040" w:hanging="360"/>
      </w:pPr>
      <w:rPr>
        <w:rFonts w:ascii="Symbol" w:hAnsi="Symbol" w:hint="default"/>
      </w:rPr>
    </w:lvl>
    <w:lvl w:ilvl="7" w:tplc="99F25084">
      <w:start w:val="1"/>
      <w:numFmt w:val="bullet"/>
      <w:lvlText w:val="o"/>
      <w:lvlJc w:val="left"/>
      <w:pPr>
        <w:ind w:left="5760" w:hanging="360"/>
      </w:pPr>
      <w:rPr>
        <w:rFonts w:ascii="Courier New" w:hAnsi="Courier New" w:hint="default"/>
      </w:rPr>
    </w:lvl>
    <w:lvl w:ilvl="8" w:tplc="39DAAA14">
      <w:start w:val="1"/>
      <w:numFmt w:val="bullet"/>
      <w:lvlText w:val=""/>
      <w:lvlJc w:val="left"/>
      <w:pPr>
        <w:ind w:left="6480" w:hanging="360"/>
      </w:pPr>
      <w:rPr>
        <w:rFonts w:ascii="Wingdings" w:hAnsi="Wingdings" w:hint="default"/>
      </w:rPr>
    </w:lvl>
  </w:abstractNum>
  <w:abstractNum w:abstractNumId="206" w15:restartNumberingAfterBreak="0">
    <w:nsid w:val="6F2A6E34"/>
    <w:multiLevelType w:val="multilevel"/>
    <w:tmpl w:val="1D4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F4F7920"/>
    <w:multiLevelType w:val="hybridMultilevel"/>
    <w:tmpl w:val="FFFFFFFF"/>
    <w:lvl w:ilvl="0" w:tplc="18EEAD7E">
      <w:start w:val="1"/>
      <w:numFmt w:val="bullet"/>
      <w:lvlText w:val="·"/>
      <w:lvlJc w:val="left"/>
      <w:pPr>
        <w:ind w:left="720" w:hanging="360"/>
      </w:pPr>
      <w:rPr>
        <w:rFonts w:ascii="Symbol" w:hAnsi="Symbol" w:hint="default"/>
      </w:rPr>
    </w:lvl>
    <w:lvl w:ilvl="1" w:tplc="3A94C39A">
      <w:start w:val="1"/>
      <w:numFmt w:val="bullet"/>
      <w:lvlText w:val="o"/>
      <w:lvlJc w:val="left"/>
      <w:pPr>
        <w:ind w:left="1440" w:hanging="360"/>
      </w:pPr>
      <w:rPr>
        <w:rFonts w:ascii="Courier New" w:hAnsi="Courier New" w:hint="default"/>
      </w:rPr>
    </w:lvl>
    <w:lvl w:ilvl="2" w:tplc="903A93DE">
      <w:start w:val="1"/>
      <w:numFmt w:val="bullet"/>
      <w:lvlText w:val=""/>
      <w:lvlJc w:val="left"/>
      <w:pPr>
        <w:ind w:left="2160" w:hanging="360"/>
      </w:pPr>
      <w:rPr>
        <w:rFonts w:ascii="Wingdings" w:hAnsi="Wingdings" w:hint="default"/>
      </w:rPr>
    </w:lvl>
    <w:lvl w:ilvl="3" w:tplc="42A8A9BA">
      <w:start w:val="1"/>
      <w:numFmt w:val="bullet"/>
      <w:lvlText w:val=""/>
      <w:lvlJc w:val="left"/>
      <w:pPr>
        <w:ind w:left="2880" w:hanging="360"/>
      </w:pPr>
      <w:rPr>
        <w:rFonts w:ascii="Symbol" w:hAnsi="Symbol" w:hint="default"/>
      </w:rPr>
    </w:lvl>
    <w:lvl w:ilvl="4" w:tplc="B5A8677A">
      <w:start w:val="1"/>
      <w:numFmt w:val="bullet"/>
      <w:lvlText w:val="o"/>
      <w:lvlJc w:val="left"/>
      <w:pPr>
        <w:ind w:left="3600" w:hanging="360"/>
      </w:pPr>
      <w:rPr>
        <w:rFonts w:ascii="Courier New" w:hAnsi="Courier New" w:hint="default"/>
      </w:rPr>
    </w:lvl>
    <w:lvl w:ilvl="5" w:tplc="1FC2A36C">
      <w:start w:val="1"/>
      <w:numFmt w:val="bullet"/>
      <w:lvlText w:val=""/>
      <w:lvlJc w:val="left"/>
      <w:pPr>
        <w:ind w:left="4320" w:hanging="360"/>
      </w:pPr>
      <w:rPr>
        <w:rFonts w:ascii="Wingdings" w:hAnsi="Wingdings" w:hint="default"/>
      </w:rPr>
    </w:lvl>
    <w:lvl w:ilvl="6" w:tplc="080CF9F6">
      <w:start w:val="1"/>
      <w:numFmt w:val="bullet"/>
      <w:lvlText w:val=""/>
      <w:lvlJc w:val="left"/>
      <w:pPr>
        <w:ind w:left="5040" w:hanging="360"/>
      </w:pPr>
      <w:rPr>
        <w:rFonts w:ascii="Symbol" w:hAnsi="Symbol" w:hint="default"/>
      </w:rPr>
    </w:lvl>
    <w:lvl w:ilvl="7" w:tplc="EF647294">
      <w:start w:val="1"/>
      <w:numFmt w:val="bullet"/>
      <w:lvlText w:val="o"/>
      <w:lvlJc w:val="left"/>
      <w:pPr>
        <w:ind w:left="5760" w:hanging="360"/>
      </w:pPr>
      <w:rPr>
        <w:rFonts w:ascii="Courier New" w:hAnsi="Courier New" w:hint="default"/>
      </w:rPr>
    </w:lvl>
    <w:lvl w:ilvl="8" w:tplc="1C2C4494">
      <w:start w:val="1"/>
      <w:numFmt w:val="bullet"/>
      <w:lvlText w:val=""/>
      <w:lvlJc w:val="left"/>
      <w:pPr>
        <w:ind w:left="6480" w:hanging="360"/>
      </w:pPr>
      <w:rPr>
        <w:rFonts w:ascii="Wingdings" w:hAnsi="Wingdings" w:hint="default"/>
      </w:rPr>
    </w:lvl>
  </w:abstractNum>
  <w:abstractNum w:abstractNumId="208" w15:restartNumberingAfterBreak="0">
    <w:nsid w:val="6FB95973"/>
    <w:multiLevelType w:val="hybridMultilevel"/>
    <w:tmpl w:val="AA8E90FC"/>
    <w:lvl w:ilvl="0" w:tplc="8302529E">
      <w:start w:val="1"/>
      <w:numFmt w:val="bullet"/>
      <w:lvlText w:val="·"/>
      <w:lvlJc w:val="left"/>
      <w:pPr>
        <w:ind w:left="720" w:hanging="360"/>
      </w:pPr>
      <w:rPr>
        <w:rFonts w:ascii="Symbol" w:hAnsi="Symbol" w:hint="default"/>
      </w:rPr>
    </w:lvl>
    <w:lvl w:ilvl="1" w:tplc="C6A2EA7C">
      <w:start w:val="1"/>
      <w:numFmt w:val="decimal"/>
      <w:lvlText w:val="%2."/>
      <w:lvlJc w:val="left"/>
      <w:pPr>
        <w:ind w:left="1440" w:hanging="360"/>
      </w:pPr>
      <w:rPr>
        <w:rFonts w:hint="default"/>
      </w:rPr>
    </w:lvl>
    <w:lvl w:ilvl="2" w:tplc="2A823F48">
      <w:start w:val="1"/>
      <w:numFmt w:val="bullet"/>
      <w:lvlText w:val=""/>
      <w:lvlJc w:val="left"/>
      <w:pPr>
        <w:ind w:left="2160" w:hanging="360"/>
      </w:pPr>
      <w:rPr>
        <w:rFonts w:ascii="Wingdings" w:hAnsi="Wingdings" w:hint="default"/>
      </w:rPr>
    </w:lvl>
    <w:lvl w:ilvl="3" w:tplc="30C69E2C">
      <w:start w:val="1"/>
      <w:numFmt w:val="bullet"/>
      <w:lvlText w:val=""/>
      <w:lvlJc w:val="left"/>
      <w:pPr>
        <w:ind w:left="2880" w:hanging="360"/>
      </w:pPr>
      <w:rPr>
        <w:rFonts w:ascii="Symbol" w:hAnsi="Symbol" w:hint="default"/>
      </w:rPr>
    </w:lvl>
    <w:lvl w:ilvl="4" w:tplc="A346624C">
      <w:start w:val="1"/>
      <w:numFmt w:val="bullet"/>
      <w:lvlText w:val="o"/>
      <w:lvlJc w:val="left"/>
      <w:pPr>
        <w:ind w:left="3600" w:hanging="360"/>
      </w:pPr>
      <w:rPr>
        <w:rFonts w:ascii="Courier New" w:hAnsi="Courier New" w:hint="default"/>
      </w:rPr>
    </w:lvl>
    <w:lvl w:ilvl="5" w:tplc="8E1AF08A">
      <w:start w:val="1"/>
      <w:numFmt w:val="bullet"/>
      <w:lvlText w:val=""/>
      <w:lvlJc w:val="left"/>
      <w:pPr>
        <w:ind w:left="4320" w:hanging="360"/>
      </w:pPr>
      <w:rPr>
        <w:rFonts w:ascii="Wingdings" w:hAnsi="Wingdings" w:hint="default"/>
      </w:rPr>
    </w:lvl>
    <w:lvl w:ilvl="6" w:tplc="9EB2AC54">
      <w:start w:val="1"/>
      <w:numFmt w:val="bullet"/>
      <w:lvlText w:val=""/>
      <w:lvlJc w:val="left"/>
      <w:pPr>
        <w:ind w:left="5040" w:hanging="360"/>
      </w:pPr>
      <w:rPr>
        <w:rFonts w:ascii="Symbol" w:hAnsi="Symbol" w:hint="default"/>
      </w:rPr>
    </w:lvl>
    <w:lvl w:ilvl="7" w:tplc="7D106C60">
      <w:start w:val="1"/>
      <w:numFmt w:val="bullet"/>
      <w:lvlText w:val="o"/>
      <w:lvlJc w:val="left"/>
      <w:pPr>
        <w:ind w:left="5760" w:hanging="360"/>
      </w:pPr>
      <w:rPr>
        <w:rFonts w:ascii="Courier New" w:hAnsi="Courier New" w:hint="default"/>
      </w:rPr>
    </w:lvl>
    <w:lvl w:ilvl="8" w:tplc="39002528">
      <w:start w:val="1"/>
      <w:numFmt w:val="bullet"/>
      <w:lvlText w:val=""/>
      <w:lvlJc w:val="left"/>
      <w:pPr>
        <w:ind w:left="6480" w:hanging="360"/>
      </w:pPr>
      <w:rPr>
        <w:rFonts w:ascii="Wingdings" w:hAnsi="Wingdings" w:hint="default"/>
      </w:rPr>
    </w:lvl>
  </w:abstractNum>
  <w:abstractNum w:abstractNumId="209" w15:restartNumberingAfterBreak="0">
    <w:nsid w:val="70084534"/>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210" w15:restartNumberingAfterBreak="0">
    <w:nsid w:val="701D4702"/>
    <w:multiLevelType w:val="hybridMultilevel"/>
    <w:tmpl w:val="C00402D4"/>
    <w:lvl w:ilvl="0" w:tplc="D92AABF8">
      <w:start w:val="1"/>
      <w:numFmt w:val="bullet"/>
      <w:lvlText w:val="·"/>
      <w:lvlJc w:val="left"/>
      <w:pPr>
        <w:ind w:left="720" w:hanging="360"/>
      </w:pPr>
      <w:rPr>
        <w:rFonts w:ascii="Symbol" w:hAnsi="Symbol" w:hint="default"/>
      </w:rPr>
    </w:lvl>
    <w:lvl w:ilvl="1" w:tplc="EE02857A">
      <w:start w:val="1"/>
      <w:numFmt w:val="decimal"/>
      <w:lvlText w:val="%2."/>
      <w:lvlJc w:val="left"/>
      <w:pPr>
        <w:ind w:left="1440" w:hanging="360"/>
      </w:pPr>
      <w:rPr>
        <w:rFonts w:hint="default"/>
      </w:rPr>
    </w:lvl>
    <w:lvl w:ilvl="2" w:tplc="16DEA1FC">
      <w:start w:val="1"/>
      <w:numFmt w:val="bullet"/>
      <w:lvlText w:val=""/>
      <w:lvlJc w:val="left"/>
      <w:pPr>
        <w:ind w:left="2160" w:hanging="360"/>
      </w:pPr>
      <w:rPr>
        <w:rFonts w:ascii="Wingdings" w:hAnsi="Wingdings" w:hint="default"/>
      </w:rPr>
    </w:lvl>
    <w:lvl w:ilvl="3" w:tplc="C024BD78">
      <w:start w:val="1"/>
      <w:numFmt w:val="bullet"/>
      <w:lvlText w:val=""/>
      <w:lvlJc w:val="left"/>
      <w:pPr>
        <w:ind w:left="2880" w:hanging="360"/>
      </w:pPr>
      <w:rPr>
        <w:rFonts w:ascii="Symbol" w:hAnsi="Symbol" w:hint="default"/>
      </w:rPr>
    </w:lvl>
    <w:lvl w:ilvl="4" w:tplc="37D08E38">
      <w:start w:val="1"/>
      <w:numFmt w:val="bullet"/>
      <w:lvlText w:val="o"/>
      <w:lvlJc w:val="left"/>
      <w:pPr>
        <w:ind w:left="3600" w:hanging="360"/>
      </w:pPr>
      <w:rPr>
        <w:rFonts w:ascii="Courier New" w:hAnsi="Courier New" w:hint="default"/>
      </w:rPr>
    </w:lvl>
    <w:lvl w:ilvl="5" w:tplc="98C41290">
      <w:start w:val="1"/>
      <w:numFmt w:val="bullet"/>
      <w:lvlText w:val=""/>
      <w:lvlJc w:val="left"/>
      <w:pPr>
        <w:ind w:left="4320" w:hanging="360"/>
      </w:pPr>
      <w:rPr>
        <w:rFonts w:ascii="Wingdings" w:hAnsi="Wingdings" w:hint="default"/>
      </w:rPr>
    </w:lvl>
    <w:lvl w:ilvl="6" w:tplc="81A05BA6">
      <w:start w:val="1"/>
      <w:numFmt w:val="bullet"/>
      <w:lvlText w:val=""/>
      <w:lvlJc w:val="left"/>
      <w:pPr>
        <w:ind w:left="5040" w:hanging="360"/>
      </w:pPr>
      <w:rPr>
        <w:rFonts w:ascii="Symbol" w:hAnsi="Symbol" w:hint="default"/>
      </w:rPr>
    </w:lvl>
    <w:lvl w:ilvl="7" w:tplc="732C0420">
      <w:start w:val="1"/>
      <w:numFmt w:val="bullet"/>
      <w:lvlText w:val="o"/>
      <w:lvlJc w:val="left"/>
      <w:pPr>
        <w:ind w:left="5760" w:hanging="360"/>
      </w:pPr>
      <w:rPr>
        <w:rFonts w:ascii="Courier New" w:hAnsi="Courier New" w:hint="default"/>
      </w:rPr>
    </w:lvl>
    <w:lvl w:ilvl="8" w:tplc="B3AC786A">
      <w:start w:val="1"/>
      <w:numFmt w:val="bullet"/>
      <w:lvlText w:val=""/>
      <w:lvlJc w:val="left"/>
      <w:pPr>
        <w:ind w:left="6480" w:hanging="360"/>
      </w:pPr>
      <w:rPr>
        <w:rFonts w:ascii="Wingdings" w:hAnsi="Wingdings" w:hint="default"/>
      </w:rPr>
    </w:lvl>
  </w:abstractNum>
  <w:abstractNum w:abstractNumId="211" w15:restartNumberingAfterBreak="0">
    <w:nsid w:val="706A6883"/>
    <w:multiLevelType w:val="hybridMultilevel"/>
    <w:tmpl w:val="84981EA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2" w15:restartNumberingAfterBreak="0">
    <w:nsid w:val="71064D88"/>
    <w:multiLevelType w:val="hybridMultilevel"/>
    <w:tmpl w:val="F79473BE"/>
    <w:lvl w:ilvl="0" w:tplc="98F68450">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1117267"/>
    <w:multiLevelType w:val="hybridMultilevel"/>
    <w:tmpl w:val="4654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719E18D2"/>
    <w:multiLevelType w:val="hybridMultilevel"/>
    <w:tmpl w:val="1F3C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2282870"/>
    <w:multiLevelType w:val="hybridMultilevel"/>
    <w:tmpl w:val="FFFFFFFF"/>
    <w:lvl w:ilvl="0" w:tplc="08AAAA54">
      <w:start w:val="1"/>
      <w:numFmt w:val="bullet"/>
      <w:lvlText w:val="·"/>
      <w:lvlJc w:val="left"/>
      <w:pPr>
        <w:ind w:left="720" w:hanging="360"/>
      </w:pPr>
    </w:lvl>
    <w:lvl w:ilvl="1" w:tplc="F4B45504">
      <w:start w:val="1"/>
      <w:numFmt w:val="decimal"/>
      <w:lvlText w:val="%2."/>
      <w:lvlJc w:val="left"/>
      <w:pPr>
        <w:ind w:left="1440" w:hanging="360"/>
      </w:p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216" w15:restartNumberingAfterBreak="0">
    <w:nsid w:val="72E62938"/>
    <w:multiLevelType w:val="hybridMultilevel"/>
    <w:tmpl w:val="FFFFFFFF"/>
    <w:lvl w:ilvl="0" w:tplc="2862BA10">
      <w:start w:val="1"/>
      <w:numFmt w:val="bullet"/>
      <w:lvlText w:val="·"/>
      <w:lvlJc w:val="left"/>
      <w:pPr>
        <w:ind w:left="720" w:hanging="360"/>
      </w:pPr>
      <w:rPr>
        <w:rFonts w:ascii="Symbol" w:hAnsi="Symbol" w:hint="default"/>
      </w:rPr>
    </w:lvl>
    <w:lvl w:ilvl="1" w:tplc="A9E8D7D8">
      <w:start w:val="1"/>
      <w:numFmt w:val="bullet"/>
      <w:lvlText w:val="o"/>
      <w:lvlJc w:val="left"/>
      <w:pPr>
        <w:ind w:left="1440" w:hanging="360"/>
      </w:pPr>
      <w:rPr>
        <w:rFonts w:ascii="Courier New" w:hAnsi="Courier New" w:hint="default"/>
      </w:rPr>
    </w:lvl>
    <w:lvl w:ilvl="2" w:tplc="198A1E3A">
      <w:start w:val="1"/>
      <w:numFmt w:val="bullet"/>
      <w:lvlText w:val=""/>
      <w:lvlJc w:val="left"/>
      <w:pPr>
        <w:ind w:left="2160" w:hanging="360"/>
      </w:pPr>
      <w:rPr>
        <w:rFonts w:ascii="Wingdings" w:hAnsi="Wingdings" w:hint="default"/>
      </w:rPr>
    </w:lvl>
    <w:lvl w:ilvl="3" w:tplc="10B8BFB8">
      <w:start w:val="1"/>
      <w:numFmt w:val="bullet"/>
      <w:lvlText w:val=""/>
      <w:lvlJc w:val="left"/>
      <w:pPr>
        <w:ind w:left="2880" w:hanging="360"/>
      </w:pPr>
      <w:rPr>
        <w:rFonts w:ascii="Symbol" w:hAnsi="Symbol" w:hint="default"/>
      </w:rPr>
    </w:lvl>
    <w:lvl w:ilvl="4" w:tplc="981E2B80">
      <w:start w:val="1"/>
      <w:numFmt w:val="bullet"/>
      <w:lvlText w:val="o"/>
      <w:lvlJc w:val="left"/>
      <w:pPr>
        <w:ind w:left="3600" w:hanging="360"/>
      </w:pPr>
      <w:rPr>
        <w:rFonts w:ascii="Courier New" w:hAnsi="Courier New" w:hint="default"/>
      </w:rPr>
    </w:lvl>
    <w:lvl w:ilvl="5" w:tplc="262E0562">
      <w:start w:val="1"/>
      <w:numFmt w:val="bullet"/>
      <w:lvlText w:val=""/>
      <w:lvlJc w:val="left"/>
      <w:pPr>
        <w:ind w:left="4320" w:hanging="360"/>
      </w:pPr>
      <w:rPr>
        <w:rFonts w:ascii="Wingdings" w:hAnsi="Wingdings" w:hint="default"/>
      </w:rPr>
    </w:lvl>
    <w:lvl w:ilvl="6" w:tplc="F7202BDE">
      <w:start w:val="1"/>
      <w:numFmt w:val="bullet"/>
      <w:lvlText w:val=""/>
      <w:lvlJc w:val="left"/>
      <w:pPr>
        <w:ind w:left="5040" w:hanging="360"/>
      </w:pPr>
      <w:rPr>
        <w:rFonts w:ascii="Symbol" w:hAnsi="Symbol" w:hint="default"/>
      </w:rPr>
    </w:lvl>
    <w:lvl w:ilvl="7" w:tplc="3AC2A384">
      <w:start w:val="1"/>
      <w:numFmt w:val="bullet"/>
      <w:lvlText w:val="o"/>
      <w:lvlJc w:val="left"/>
      <w:pPr>
        <w:ind w:left="5760" w:hanging="360"/>
      </w:pPr>
      <w:rPr>
        <w:rFonts w:ascii="Courier New" w:hAnsi="Courier New" w:hint="default"/>
      </w:rPr>
    </w:lvl>
    <w:lvl w:ilvl="8" w:tplc="797877BE">
      <w:start w:val="1"/>
      <w:numFmt w:val="bullet"/>
      <w:lvlText w:val=""/>
      <w:lvlJc w:val="left"/>
      <w:pPr>
        <w:ind w:left="6480" w:hanging="360"/>
      </w:pPr>
      <w:rPr>
        <w:rFonts w:ascii="Wingdings" w:hAnsi="Wingdings" w:hint="default"/>
      </w:rPr>
    </w:lvl>
  </w:abstractNum>
  <w:abstractNum w:abstractNumId="217" w15:restartNumberingAfterBreak="0">
    <w:nsid w:val="748C5DC5"/>
    <w:multiLevelType w:val="hybridMultilevel"/>
    <w:tmpl w:val="6628A65E"/>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07ACA20E">
      <w:start w:val="49"/>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18" w15:restartNumberingAfterBreak="0">
    <w:nsid w:val="75F9197C"/>
    <w:multiLevelType w:val="hybridMultilevel"/>
    <w:tmpl w:val="B34AA6B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76421E92"/>
    <w:multiLevelType w:val="hybridMultilevel"/>
    <w:tmpl w:val="E50EF50E"/>
    <w:lvl w:ilvl="0" w:tplc="7BBAF134">
      <w:start w:val="3"/>
      <w:numFmt w:val="bullet"/>
      <w:lvlText w:val="-"/>
      <w:lvlJc w:val="left"/>
      <w:pPr>
        <w:ind w:left="717" w:hanging="360"/>
      </w:pPr>
      <w:rPr>
        <w:rFonts w:ascii="Calibri" w:eastAsiaTheme="minorEastAsia" w:hAnsi="Calibri" w:cs="Calibri" w:hint="default"/>
        <w:spacing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0" w15:restartNumberingAfterBreak="0">
    <w:nsid w:val="769800E2"/>
    <w:multiLevelType w:val="multilevel"/>
    <w:tmpl w:val="60228A3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776E0D5E"/>
    <w:multiLevelType w:val="hybridMultilevel"/>
    <w:tmpl w:val="1450BE3C"/>
    <w:lvl w:ilvl="0" w:tplc="6E3E9BC8">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2" w15:restartNumberingAfterBreak="0">
    <w:nsid w:val="77751EC2"/>
    <w:multiLevelType w:val="hybridMultilevel"/>
    <w:tmpl w:val="1C84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84C5B2C"/>
    <w:multiLevelType w:val="hybridMultilevel"/>
    <w:tmpl w:val="FE86E734"/>
    <w:lvl w:ilvl="0" w:tplc="8D5EDCB0">
      <w:start w:val="7"/>
      <w:numFmt w:val="decimal"/>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78B342BF"/>
    <w:multiLevelType w:val="hybridMultilevel"/>
    <w:tmpl w:val="D138C750"/>
    <w:lvl w:ilvl="0" w:tplc="E08E51BC">
      <w:start w:val="1"/>
      <w:numFmt w:val="decimal"/>
      <w:lvlText w:val="%1."/>
      <w:lvlJc w:val="left"/>
      <w:pPr>
        <w:ind w:left="720" w:hanging="360"/>
      </w:pPr>
    </w:lvl>
    <w:lvl w:ilvl="1" w:tplc="2146E71E">
      <w:start w:val="1"/>
      <w:numFmt w:val="lowerLetter"/>
      <w:lvlText w:val="%2."/>
      <w:lvlJc w:val="left"/>
      <w:pPr>
        <w:ind w:left="1440" w:hanging="360"/>
      </w:pPr>
    </w:lvl>
    <w:lvl w:ilvl="2" w:tplc="E92E1150">
      <w:start w:val="1"/>
      <w:numFmt w:val="lowerRoman"/>
      <w:lvlText w:val="%3."/>
      <w:lvlJc w:val="right"/>
      <w:pPr>
        <w:ind w:left="2160" w:hanging="180"/>
      </w:pPr>
    </w:lvl>
    <w:lvl w:ilvl="3" w:tplc="6A42ECD8">
      <w:start w:val="1"/>
      <w:numFmt w:val="decimal"/>
      <w:lvlText w:val="%4."/>
      <w:lvlJc w:val="left"/>
      <w:pPr>
        <w:ind w:left="2880" w:hanging="360"/>
      </w:pPr>
    </w:lvl>
    <w:lvl w:ilvl="4" w:tplc="C83E71FA">
      <w:start w:val="1"/>
      <w:numFmt w:val="lowerLetter"/>
      <w:lvlText w:val="%5."/>
      <w:lvlJc w:val="left"/>
      <w:pPr>
        <w:ind w:left="3600" w:hanging="360"/>
      </w:pPr>
    </w:lvl>
    <w:lvl w:ilvl="5" w:tplc="ED12556C">
      <w:start w:val="1"/>
      <w:numFmt w:val="lowerRoman"/>
      <w:lvlText w:val="%6."/>
      <w:lvlJc w:val="right"/>
      <w:pPr>
        <w:ind w:left="4320" w:hanging="180"/>
      </w:pPr>
    </w:lvl>
    <w:lvl w:ilvl="6" w:tplc="A7202864">
      <w:start w:val="1"/>
      <w:numFmt w:val="decimal"/>
      <w:lvlText w:val="%7."/>
      <w:lvlJc w:val="left"/>
      <w:pPr>
        <w:ind w:left="5040" w:hanging="360"/>
      </w:pPr>
    </w:lvl>
    <w:lvl w:ilvl="7" w:tplc="F20A0F82">
      <w:start w:val="1"/>
      <w:numFmt w:val="lowerLetter"/>
      <w:lvlText w:val="%8."/>
      <w:lvlJc w:val="left"/>
      <w:pPr>
        <w:ind w:left="5760" w:hanging="360"/>
      </w:pPr>
    </w:lvl>
    <w:lvl w:ilvl="8" w:tplc="47E8F52C">
      <w:start w:val="1"/>
      <w:numFmt w:val="lowerRoman"/>
      <w:lvlText w:val="%9."/>
      <w:lvlJc w:val="right"/>
      <w:pPr>
        <w:ind w:left="6480" w:hanging="180"/>
      </w:pPr>
    </w:lvl>
  </w:abstractNum>
  <w:abstractNum w:abstractNumId="225" w15:restartNumberingAfterBreak="0">
    <w:nsid w:val="78FD639B"/>
    <w:multiLevelType w:val="hybridMultilevel"/>
    <w:tmpl w:val="1488EB0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796603CE"/>
    <w:multiLevelType w:val="hybridMultilevel"/>
    <w:tmpl w:val="480A2296"/>
    <w:lvl w:ilvl="0" w:tplc="3B9C276A">
      <w:start w:val="1"/>
      <w:numFmt w:val="bullet"/>
      <w:lvlText w:val="·"/>
      <w:lvlJc w:val="left"/>
      <w:pPr>
        <w:ind w:left="720" w:hanging="360"/>
      </w:pPr>
      <w:rPr>
        <w:rFonts w:ascii="Symbol" w:hAnsi="Symbol" w:hint="default"/>
      </w:rPr>
    </w:lvl>
    <w:lvl w:ilvl="1" w:tplc="53D46DD8">
      <w:start w:val="1"/>
      <w:numFmt w:val="bullet"/>
      <w:lvlText w:val="o"/>
      <w:lvlJc w:val="left"/>
      <w:pPr>
        <w:ind w:left="1440" w:hanging="360"/>
      </w:pPr>
      <w:rPr>
        <w:rFonts w:ascii="Courier New" w:hAnsi="Courier New" w:hint="default"/>
      </w:rPr>
    </w:lvl>
    <w:lvl w:ilvl="2" w:tplc="669268E0">
      <w:start w:val="1"/>
      <w:numFmt w:val="bullet"/>
      <w:lvlText w:val=""/>
      <w:lvlJc w:val="left"/>
      <w:pPr>
        <w:ind w:left="2160" w:hanging="360"/>
      </w:pPr>
      <w:rPr>
        <w:rFonts w:ascii="Wingdings" w:hAnsi="Wingdings" w:hint="default"/>
      </w:rPr>
    </w:lvl>
    <w:lvl w:ilvl="3" w:tplc="DA72C43E">
      <w:start w:val="1"/>
      <w:numFmt w:val="bullet"/>
      <w:lvlText w:val=""/>
      <w:lvlJc w:val="left"/>
      <w:pPr>
        <w:ind w:left="2880" w:hanging="360"/>
      </w:pPr>
      <w:rPr>
        <w:rFonts w:ascii="Symbol" w:hAnsi="Symbol" w:hint="default"/>
      </w:rPr>
    </w:lvl>
    <w:lvl w:ilvl="4" w:tplc="F76A5DB8">
      <w:start w:val="1"/>
      <w:numFmt w:val="bullet"/>
      <w:lvlText w:val="o"/>
      <w:lvlJc w:val="left"/>
      <w:pPr>
        <w:ind w:left="3600" w:hanging="360"/>
      </w:pPr>
      <w:rPr>
        <w:rFonts w:ascii="Courier New" w:hAnsi="Courier New" w:hint="default"/>
      </w:rPr>
    </w:lvl>
    <w:lvl w:ilvl="5" w:tplc="DC8209F2">
      <w:start w:val="1"/>
      <w:numFmt w:val="bullet"/>
      <w:lvlText w:val=""/>
      <w:lvlJc w:val="left"/>
      <w:pPr>
        <w:ind w:left="4320" w:hanging="360"/>
      </w:pPr>
      <w:rPr>
        <w:rFonts w:ascii="Wingdings" w:hAnsi="Wingdings" w:hint="default"/>
      </w:rPr>
    </w:lvl>
    <w:lvl w:ilvl="6" w:tplc="FA16E598">
      <w:start w:val="1"/>
      <w:numFmt w:val="bullet"/>
      <w:lvlText w:val=""/>
      <w:lvlJc w:val="left"/>
      <w:pPr>
        <w:ind w:left="5040" w:hanging="360"/>
      </w:pPr>
      <w:rPr>
        <w:rFonts w:ascii="Symbol" w:hAnsi="Symbol" w:hint="default"/>
      </w:rPr>
    </w:lvl>
    <w:lvl w:ilvl="7" w:tplc="81DEC4DA">
      <w:start w:val="1"/>
      <w:numFmt w:val="bullet"/>
      <w:lvlText w:val="o"/>
      <w:lvlJc w:val="left"/>
      <w:pPr>
        <w:ind w:left="5760" w:hanging="360"/>
      </w:pPr>
      <w:rPr>
        <w:rFonts w:ascii="Courier New" w:hAnsi="Courier New" w:hint="default"/>
      </w:rPr>
    </w:lvl>
    <w:lvl w:ilvl="8" w:tplc="57A6DF18">
      <w:start w:val="1"/>
      <w:numFmt w:val="bullet"/>
      <w:lvlText w:val=""/>
      <w:lvlJc w:val="left"/>
      <w:pPr>
        <w:ind w:left="6480" w:hanging="360"/>
      </w:pPr>
      <w:rPr>
        <w:rFonts w:ascii="Wingdings" w:hAnsi="Wingdings" w:hint="default"/>
      </w:rPr>
    </w:lvl>
  </w:abstractNum>
  <w:abstractNum w:abstractNumId="227" w15:restartNumberingAfterBreak="0">
    <w:nsid w:val="7BE95C91"/>
    <w:multiLevelType w:val="hybridMultilevel"/>
    <w:tmpl w:val="EEBE78CC"/>
    <w:lvl w:ilvl="0" w:tplc="9112CD98">
      <w:start w:val="1"/>
      <w:numFmt w:val="bullet"/>
      <w:lvlText w:val="·"/>
      <w:lvlJc w:val="left"/>
      <w:pPr>
        <w:ind w:left="720" w:hanging="360"/>
      </w:pPr>
      <w:rPr>
        <w:rFonts w:ascii="Symbol" w:hAnsi="Symbol" w:hint="default"/>
      </w:rPr>
    </w:lvl>
    <w:lvl w:ilvl="1" w:tplc="E7CE7B2C">
      <w:start w:val="1"/>
      <w:numFmt w:val="bullet"/>
      <w:lvlText w:val="o"/>
      <w:lvlJc w:val="left"/>
      <w:pPr>
        <w:ind w:left="1440" w:hanging="360"/>
      </w:pPr>
      <w:rPr>
        <w:rFonts w:ascii="Courier New" w:hAnsi="Courier New" w:hint="default"/>
      </w:rPr>
    </w:lvl>
    <w:lvl w:ilvl="2" w:tplc="DF7AEEB0">
      <w:start w:val="1"/>
      <w:numFmt w:val="bullet"/>
      <w:lvlText w:val=""/>
      <w:lvlJc w:val="left"/>
      <w:pPr>
        <w:ind w:left="2160" w:hanging="360"/>
      </w:pPr>
      <w:rPr>
        <w:rFonts w:ascii="Wingdings" w:hAnsi="Wingdings" w:hint="default"/>
      </w:rPr>
    </w:lvl>
    <w:lvl w:ilvl="3" w:tplc="567079B8">
      <w:start w:val="1"/>
      <w:numFmt w:val="bullet"/>
      <w:lvlText w:val=""/>
      <w:lvlJc w:val="left"/>
      <w:pPr>
        <w:ind w:left="2880" w:hanging="360"/>
      </w:pPr>
      <w:rPr>
        <w:rFonts w:ascii="Symbol" w:hAnsi="Symbol" w:hint="default"/>
      </w:rPr>
    </w:lvl>
    <w:lvl w:ilvl="4" w:tplc="117E7A42">
      <w:start w:val="1"/>
      <w:numFmt w:val="bullet"/>
      <w:lvlText w:val="o"/>
      <w:lvlJc w:val="left"/>
      <w:pPr>
        <w:ind w:left="3600" w:hanging="360"/>
      </w:pPr>
      <w:rPr>
        <w:rFonts w:ascii="Courier New" w:hAnsi="Courier New" w:hint="default"/>
      </w:rPr>
    </w:lvl>
    <w:lvl w:ilvl="5" w:tplc="CB6EE380">
      <w:start w:val="1"/>
      <w:numFmt w:val="bullet"/>
      <w:lvlText w:val=""/>
      <w:lvlJc w:val="left"/>
      <w:pPr>
        <w:ind w:left="4320" w:hanging="360"/>
      </w:pPr>
      <w:rPr>
        <w:rFonts w:ascii="Wingdings" w:hAnsi="Wingdings" w:hint="default"/>
      </w:rPr>
    </w:lvl>
    <w:lvl w:ilvl="6" w:tplc="59767F2C">
      <w:start w:val="1"/>
      <w:numFmt w:val="bullet"/>
      <w:lvlText w:val=""/>
      <w:lvlJc w:val="left"/>
      <w:pPr>
        <w:ind w:left="5040" w:hanging="360"/>
      </w:pPr>
      <w:rPr>
        <w:rFonts w:ascii="Symbol" w:hAnsi="Symbol" w:hint="default"/>
      </w:rPr>
    </w:lvl>
    <w:lvl w:ilvl="7" w:tplc="5C42EC84">
      <w:start w:val="1"/>
      <w:numFmt w:val="bullet"/>
      <w:lvlText w:val="o"/>
      <w:lvlJc w:val="left"/>
      <w:pPr>
        <w:ind w:left="5760" w:hanging="360"/>
      </w:pPr>
      <w:rPr>
        <w:rFonts w:ascii="Courier New" w:hAnsi="Courier New" w:hint="default"/>
      </w:rPr>
    </w:lvl>
    <w:lvl w:ilvl="8" w:tplc="3EBE8B9C">
      <w:start w:val="1"/>
      <w:numFmt w:val="bullet"/>
      <w:lvlText w:val=""/>
      <w:lvlJc w:val="left"/>
      <w:pPr>
        <w:ind w:left="6480" w:hanging="360"/>
      </w:pPr>
      <w:rPr>
        <w:rFonts w:ascii="Wingdings" w:hAnsi="Wingdings" w:hint="default"/>
      </w:rPr>
    </w:lvl>
  </w:abstractNum>
  <w:abstractNum w:abstractNumId="228" w15:restartNumberingAfterBreak="0">
    <w:nsid w:val="7C257D43"/>
    <w:multiLevelType w:val="hybridMultilevel"/>
    <w:tmpl w:val="5C8A7378"/>
    <w:lvl w:ilvl="0" w:tplc="FFFFFFFF">
      <w:start w:val="1"/>
      <w:numFmt w:val="lowerLetter"/>
      <w:lvlText w:val="%1)"/>
      <w:lvlJc w:val="left"/>
      <w:pPr>
        <w:ind w:left="445" w:hanging="360"/>
      </w:p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229" w15:restartNumberingAfterBreak="0">
    <w:nsid w:val="7F6C167D"/>
    <w:multiLevelType w:val="hybridMultilevel"/>
    <w:tmpl w:val="FD787130"/>
    <w:lvl w:ilvl="0" w:tplc="A9EA0F4C">
      <w:start w:val="1"/>
      <w:numFmt w:val="bullet"/>
      <w:lvlText w:val="·"/>
      <w:lvlJc w:val="left"/>
      <w:pPr>
        <w:ind w:left="720" w:hanging="360"/>
      </w:pPr>
      <w:rPr>
        <w:rFonts w:ascii="Symbol" w:hAnsi="Symbol" w:hint="default"/>
      </w:rPr>
    </w:lvl>
    <w:lvl w:ilvl="1" w:tplc="50567486">
      <w:start w:val="1"/>
      <w:numFmt w:val="bullet"/>
      <w:lvlText w:val="o"/>
      <w:lvlJc w:val="left"/>
      <w:pPr>
        <w:ind w:left="1440" w:hanging="360"/>
      </w:pPr>
      <w:rPr>
        <w:rFonts w:ascii="Courier New" w:hAnsi="Courier New" w:hint="default"/>
      </w:rPr>
    </w:lvl>
    <w:lvl w:ilvl="2" w:tplc="B8205350">
      <w:start w:val="1"/>
      <w:numFmt w:val="bullet"/>
      <w:lvlText w:val=""/>
      <w:lvlJc w:val="left"/>
      <w:pPr>
        <w:ind w:left="2160" w:hanging="360"/>
      </w:pPr>
      <w:rPr>
        <w:rFonts w:ascii="Wingdings" w:hAnsi="Wingdings" w:hint="default"/>
      </w:rPr>
    </w:lvl>
    <w:lvl w:ilvl="3" w:tplc="B8CC0EFA">
      <w:start w:val="1"/>
      <w:numFmt w:val="bullet"/>
      <w:lvlText w:val=""/>
      <w:lvlJc w:val="left"/>
      <w:pPr>
        <w:ind w:left="2880" w:hanging="360"/>
      </w:pPr>
      <w:rPr>
        <w:rFonts w:ascii="Symbol" w:hAnsi="Symbol" w:hint="default"/>
      </w:rPr>
    </w:lvl>
    <w:lvl w:ilvl="4" w:tplc="073008D4">
      <w:start w:val="1"/>
      <w:numFmt w:val="bullet"/>
      <w:lvlText w:val="o"/>
      <w:lvlJc w:val="left"/>
      <w:pPr>
        <w:ind w:left="3600" w:hanging="360"/>
      </w:pPr>
      <w:rPr>
        <w:rFonts w:ascii="Courier New" w:hAnsi="Courier New" w:hint="default"/>
      </w:rPr>
    </w:lvl>
    <w:lvl w:ilvl="5" w:tplc="256C21A4">
      <w:start w:val="1"/>
      <w:numFmt w:val="bullet"/>
      <w:lvlText w:val=""/>
      <w:lvlJc w:val="left"/>
      <w:pPr>
        <w:ind w:left="4320" w:hanging="360"/>
      </w:pPr>
      <w:rPr>
        <w:rFonts w:ascii="Wingdings" w:hAnsi="Wingdings" w:hint="default"/>
      </w:rPr>
    </w:lvl>
    <w:lvl w:ilvl="6" w:tplc="F8463EDC">
      <w:start w:val="1"/>
      <w:numFmt w:val="bullet"/>
      <w:lvlText w:val=""/>
      <w:lvlJc w:val="left"/>
      <w:pPr>
        <w:ind w:left="5040" w:hanging="360"/>
      </w:pPr>
      <w:rPr>
        <w:rFonts w:ascii="Symbol" w:hAnsi="Symbol" w:hint="default"/>
      </w:rPr>
    </w:lvl>
    <w:lvl w:ilvl="7" w:tplc="D2B87EBA">
      <w:start w:val="1"/>
      <w:numFmt w:val="bullet"/>
      <w:lvlText w:val="o"/>
      <w:lvlJc w:val="left"/>
      <w:pPr>
        <w:ind w:left="5760" w:hanging="360"/>
      </w:pPr>
      <w:rPr>
        <w:rFonts w:ascii="Courier New" w:hAnsi="Courier New" w:hint="default"/>
      </w:rPr>
    </w:lvl>
    <w:lvl w:ilvl="8" w:tplc="3BC43D70">
      <w:start w:val="1"/>
      <w:numFmt w:val="bullet"/>
      <w:lvlText w:val=""/>
      <w:lvlJc w:val="left"/>
      <w:pPr>
        <w:ind w:left="6480" w:hanging="360"/>
      </w:pPr>
      <w:rPr>
        <w:rFonts w:ascii="Wingdings" w:hAnsi="Wingdings" w:hint="default"/>
      </w:rPr>
    </w:lvl>
  </w:abstractNum>
  <w:abstractNum w:abstractNumId="230" w15:restartNumberingAfterBreak="0">
    <w:nsid w:val="7F8D17A9"/>
    <w:multiLevelType w:val="hybridMultilevel"/>
    <w:tmpl w:val="E9A02EF4"/>
    <w:lvl w:ilvl="0" w:tplc="9728763A">
      <w:start w:val="1"/>
      <w:numFmt w:val="decimal"/>
      <w:lvlText w:val="%1."/>
      <w:lvlJc w:val="left"/>
      <w:pPr>
        <w:ind w:left="720" w:hanging="360"/>
      </w:pPr>
    </w:lvl>
    <w:lvl w:ilvl="1" w:tplc="225C9C58">
      <w:start w:val="1"/>
      <w:numFmt w:val="lowerLetter"/>
      <w:lvlText w:val="%2."/>
      <w:lvlJc w:val="left"/>
      <w:pPr>
        <w:ind w:left="1440" w:hanging="360"/>
      </w:pPr>
    </w:lvl>
    <w:lvl w:ilvl="2" w:tplc="46D011E6">
      <w:start w:val="1"/>
      <w:numFmt w:val="lowerRoman"/>
      <w:lvlText w:val="%3."/>
      <w:lvlJc w:val="right"/>
      <w:pPr>
        <w:ind w:left="2160" w:hanging="180"/>
      </w:pPr>
    </w:lvl>
    <w:lvl w:ilvl="3" w:tplc="21E242DC">
      <w:start w:val="1"/>
      <w:numFmt w:val="decimal"/>
      <w:lvlText w:val="%4."/>
      <w:lvlJc w:val="left"/>
      <w:pPr>
        <w:ind w:left="2880" w:hanging="360"/>
      </w:pPr>
    </w:lvl>
    <w:lvl w:ilvl="4" w:tplc="429A8DFA">
      <w:start w:val="1"/>
      <w:numFmt w:val="lowerLetter"/>
      <w:lvlText w:val="%5."/>
      <w:lvlJc w:val="left"/>
      <w:pPr>
        <w:ind w:left="3600" w:hanging="360"/>
      </w:pPr>
    </w:lvl>
    <w:lvl w:ilvl="5" w:tplc="150003FC">
      <w:start w:val="1"/>
      <w:numFmt w:val="lowerRoman"/>
      <w:lvlText w:val="%6."/>
      <w:lvlJc w:val="right"/>
      <w:pPr>
        <w:ind w:left="4320" w:hanging="180"/>
      </w:pPr>
    </w:lvl>
    <w:lvl w:ilvl="6" w:tplc="5DC6F0D2">
      <w:start w:val="1"/>
      <w:numFmt w:val="decimal"/>
      <w:lvlText w:val="%7."/>
      <w:lvlJc w:val="left"/>
      <w:pPr>
        <w:ind w:left="5040" w:hanging="360"/>
      </w:pPr>
    </w:lvl>
    <w:lvl w:ilvl="7" w:tplc="2C6C74FC">
      <w:start w:val="1"/>
      <w:numFmt w:val="lowerLetter"/>
      <w:lvlText w:val="%8."/>
      <w:lvlJc w:val="left"/>
      <w:pPr>
        <w:ind w:left="5760" w:hanging="360"/>
      </w:pPr>
    </w:lvl>
    <w:lvl w:ilvl="8" w:tplc="81BA3E1A">
      <w:start w:val="1"/>
      <w:numFmt w:val="lowerRoman"/>
      <w:lvlText w:val="%9."/>
      <w:lvlJc w:val="right"/>
      <w:pPr>
        <w:ind w:left="6480" w:hanging="180"/>
      </w:pPr>
    </w:lvl>
  </w:abstractNum>
  <w:abstractNum w:abstractNumId="231" w15:restartNumberingAfterBreak="0">
    <w:nsid w:val="7FC8025A"/>
    <w:multiLevelType w:val="hybridMultilevel"/>
    <w:tmpl w:val="B372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985600">
    <w:abstractNumId w:val="4"/>
  </w:num>
  <w:num w:numId="2" w16cid:durableId="527183814">
    <w:abstractNumId w:val="47"/>
  </w:num>
  <w:num w:numId="3" w16cid:durableId="1176921029">
    <w:abstractNumId w:val="148"/>
  </w:num>
  <w:num w:numId="4" w16cid:durableId="366102755">
    <w:abstractNumId w:val="227"/>
  </w:num>
  <w:num w:numId="5" w16cid:durableId="1847790544">
    <w:abstractNumId w:val="83"/>
  </w:num>
  <w:num w:numId="6" w16cid:durableId="1877808404">
    <w:abstractNumId w:val="139"/>
  </w:num>
  <w:num w:numId="7" w16cid:durableId="1912109604">
    <w:abstractNumId w:val="226"/>
  </w:num>
  <w:num w:numId="8" w16cid:durableId="2146923796">
    <w:abstractNumId w:val="63"/>
  </w:num>
  <w:num w:numId="9" w16cid:durableId="708603050">
    <w:abstractNumId w:val="100"/>
  </w:num>
  <w:num w:numId="10" w16cid:durableId="1213611544">
    <w:abstractNumId w:val="37"/>
  </w:num>
  <w:num w:numId="11" w16cid:durableId="1552838689">
    <w:abstractNumId w:val="111"/>
  </w:num>
  <w:num w:numId="12" w16cid:durableId="645168093">
    <w:abstractNumId w:val="230"/>
  </w:num>
  <w:num w:numId="13" w16cid:durableId="256014536">
    <w:abstractNumId w:val="224"/>
  </w:num>
  <w:num w:numId="14" w16cid:durableId="2076660622">
    <w:abstractNumId w:val="95"/>
  </w:num>
  <w:num w:numId="15" w16cid:durableId="289938605">
    <w:abstractNumId w:val="174"/>
  </w:num>
  <w:num w:numId="16" w16cid:durableId="1936287175">
    <w:abstractNumId w:val="205"/>
  </w:num>
  <w:num w:numId="17" w16cid:durableId="1788112967">
    <w:abstractNumId w:val="56"/>
  </w:num>
  <w:num w:numId="18" w16cid:durableId="84351531">
    <w:abstractNumId w:val="187"/>
  </w:num>
  <w:num w:numId="19" w16cid:durableId="253317903">
    <w:abstractNumId w:val="127"/>
  </w:num>
  <w:num w:numId="20" w16cid:durableId="277218497">
    <w:abstractNumId w:val="38"/>
  </w:num>
  <w:num w:numId="21" w16cid:durableId="1887376714">
    <w:abstractNumId w:val="229"/>
  </w:num>
  <w:num w:numId="22" w16cid:durableId="401222900">
    <w:abstractNumId w:val="101"/>
  </w:num>
  <w:num w:numId="23" w16cid:durableId="468590720">
    <w:abstractNumId w:val="13"/>
  </w:num>
  <w:num w:numId="24" w16cid:durableId="1926568356">
    <w:abstractNumId w:val="97"/>
  </w:num>
  <w:num w:numId="25" w16cid:durableId="329334524">
    <w:abstractNumId w:val="15"/>
  </w:num>
  <w:num w:numId="26" w16cid:durableId="1853107545">
    <w:abstractNumId w:val="176"/>
  </w:num>
  <w:num w:numId="27" w16cid:durableId="1118640088">
    <w:abstractNumId w:val="208"/>
  </w:num>
  <w:num w:numId="28" w16cid:durableId="972979768">
    <w:abstractNumId w:val="210"/>
  </w:num>
  <w:num w:numId="29" w16cid:durableId="205682563">
    <w:abstractNumId w:val="203"/>
  </w:num>
  <w:num w:numId="30" w16cid:durableId="1010182092">
    <w:abstractNumId w:val="75"/>
  </w:num>
  <w:num w:numId="31" w16cid:durableId="149029496">
    <w:abstractNumId w:val="54"/>
  </w:num>
  <w:num w:numId="32" w16cid:durableId="744305848">
    <w:abstractNumId w:val="153"/>
  </w:num>
  <w:num w:numId="33" w16cid:durableId="1888567417">
    <w:abstractNumId w:val="116"/>
  </w:num>
  <w:num w:numId="34" w16cid:durableId="1052117220">
    <w:abstractNumId w:val="24"/>
  </w:num>
  <w:num w:numId="35" w16cid:durableId="707410361">
    <w:abstractNumId w:val="93"/>
  </w:num>
  <w:num w:numId="36" w16cid:durableId="144979335">
    <w:abstractNumId w:val="160"/>
  </w:num>
  <w:num w:numId="37" w16cid:durableId="678703454">
    <w:abstractNumId w:val="36"/>
  </w:num>
  <w:num w:numId="38" w16cid:durableId="805317060">
    <w:abstractNumId w:val="42"/>
  </w:num>
  <w:num w:numId="39" w16cid:durableId="117651569">
    <w:abstractNumId w:val="64"/>
  </w:num>
  <w:num w:numId="40" w16cid:durableId="202249377">
    <w:abstractNumId w:val="173"/>
  </w:num>
  <w:num w:numId="41" w16cid:durableId="818965037">
    <w:abstractNumId w:val="135"/>
  </w:num>
  <w:num w:numId="42" w16cid:durableId="1828856784">
    <w:abstractNumId w:val="29"/>
  </w:num>
  <w:num w:numId="43" w16cid:durableId="835001156">
    <w:abstractNumId w:val="133"/>
  </w:num>
  <w:num w:numId="44" w16cid:durableId="1312055482">
    <w:abstractNumId w:val="11"/>
  </w:num>
  <w:num w:numId="45" w16cid:durableId="403188701">
    <w:abstractNumId w:val="92"/>
  </w:num>
  <w:num w:numId="46" w16cid:durableId="1549105683">
    <w:abstractNumId w:val="112"/>
  </w:num>
  <w:num w:numId="47" w16cid:durableId="767892507">
    <w:abstractNumId w:val="212"/>
  </w:num>
  <w:num w:numId="48" w16cid:durableId="87462">
    <w:abstractNumId w:val="3"/>
  </w:num>
  <w:num w:numId="49" w16cid:durableId="2045594300">
    <w:abstractNumId w:val="198"/>
  </w:num>
  <w:num w:numId="50" w16cid:durableId="1370227096">
    <w:abstractNumId w:val="0"/>
  </w:num>
  <w:num w:numId="51" w16cid:durableId="1647659091">
    <w:abstractNumId w:val="87"/>
  </w:num>
  <w:num w:numId="52" w16cid:durableId="1164472401">
    <w:abstractNumId w:val="52"/>
  </w:num>
  <w:num w:numId="53" w16cid:durableId="761488709">
    <w:abstractNumId w:val="59"/>
  </w:num>
  <w:num w:numId="54" w16cid:durableId="497693710">
    <w:abstractNumId w:val="209"/>
  </w:num>
  <w:num w:numId="55" w16cid:durableId="64689614">
    <w:abstractNumId w:val="106"/>
  </w:num>
  <w:num w:numId="56" w16cid:durableId="592478094">
    <w:abstractNumId w:val="202"/>
  </w:num>
  <w:num w:numId="57" w16cid:durableId="1352609795">
    <w:abstractNumId w:val="198"/>
  </w:num>
  <w:num w:numId="58" w16cid:durableId="1072581428">
    <w:abstractNumId w:val="198"/>
  </w:num>
  <w:num w:numId="59" w16cid:durableId="1358234269">
    <w:abstractNumId w:val="44"/>
  </w:num>
  <w:num w:numId="60" w16cid:durableId="781537126">
    <w:abstractNumId w:val="188"/>
  </w:num>
  <w:num w:numId="61" w16cid:durableId="784151408">
    <w:abstractNumId w:val="81"/>
  </w:num>
  <w:num w:numId="62" w16cid:durableId="801340820">
    <w:abstractNumId w:val="164"/>
  </w:num>
  <w:num w:numId="63" w16cid:durableId="1563255870">
    <w:abstractNumId w:val="35"/>
  </w:num>
  <w:num w:numId="64" w16cid:durableId="1396779229">
    <w:abstractNumId w:val="143"/>
  </w:num>
  <w:num w:numId="65" w16cid:durableId="1235823542">
    <w:abstractNumId w:val="172"/>
  </w:num>
  <w:num w:numId="66" w16cid:durableId="235286886">
    <w:abstractNumId w:val="67"/>
  </w:num>
  <w:num w:numId="67" w16cid:durableId="149686508">
    <w:abstractNumId w:val="228"/>
  </w:num>
  <w:num w:numId="68" w16cid:durableId="1436560144">
    <w:abstractNumId w:val="21"/>
  </w:num>
  <w:num w:numId="69" w16cid:durableId="224266330">
    <w:abstractNumId w:val="140"/>
  </w:num>
  <w:num w:numId="70" w16cid:durableId="1759985851">
    <w:abstractNumId w:val="96"/>
  </w:num>
  <w:num w:numId="71" w16cid:durableId="655305740">
    <w:abstractNumId w:val="138"/>
  </w:num>
  <w:num w:numId="72" w16cid:durableId="1953784815">
    <w:abstractNumId w:val="58"/>
  </w:num>
  <w:num w:numId="73" w16cid:durableId="1063060502">
    <w:abstractNumId w:val="136"/>
  </w:num>
  <w:num w:numId="74" w16cid:durableId="887687055">
    <w:abstractNumId w:val="165"/>
  </w:num>
  <w:num w:numId="75" w16cid:durableId="1328098960">
    <w:abstractNumId w:val="197"/>
  </w:num>
  <w:num w:numId="76" w16cid:durableId="340662204">
    <w:abstractNumId w:val="62"/>
  </w:num>
  <w:num w:numId="77" w16cid:durableId="200751241">
    <w:abstractNumId w:val="128"/>
  </w:num>
  <w:num w:numId="78" w16cid:durableId="1912307058">
    <w:abstractNumId w:val="154"/>
  </w:num>
  <w:num w:numId="79" w16cid:durableId="280771655">
    <w:abstractNumId w:val="45"/>
  </w:num>
  <w:num w:numId="80" w16cid:durableId="600913025">
    <w:abstractNumId w:val="68"/>
  </w:num>
  <w:num w:numId="81" w16cid:durableId="66196267">
    <w:abstractNumId w:val="161"/>
  </w:num>
  <w:num w:numId="82" w16cid:durableId="1252815622">
    <w:abstractNumId w:val="198"/>
  </w:num>
  <w:num w:numId="83" w16cid:durableId="306472255">
    <w:abstractNumId w:val="198"/>
  </w:num>
  <w:num w:numId="84" w16cid:durableId="1815218691">
    <w:abstractNumId w:val="198"/>
  </w:num>
  <w:num w:numId="85" w16cid:durableId="1972401314">
    <w:abstractNumId w:val="198"/>
  </w:num>
  <w:num w:numId="86" w16cid:durableId="524178791">
    <w:abstractNumId w:val="198"/>
  </w:num>
  <w:num w:numId="87" w16cid:durableId="1394809415">
    <w:abstractNumId w:val="198"/>
  </w:num>
  <w:num w:numId="88" w16cid:durableId="753670502">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54659514">
    <w:abstractNumId w:val="104"/>
  </w:num>
  <w:num w:numId="90" w16cid:durableId="1586307904">
    <w:abstractNumId w:val="58"/>
  </w:num>
  <w:num w:numId="91" w16cid:durableId="1022121934">
    <w:abstractNumId w:val="198"/>
  </w:num>
  <w:num w:numId="92" w16cid:durableId="164445837">
    <w:abstractNumId w:val="198"/>
  </w:num>
  <w:num w:numId="93" w16cid:durableId="1712150731">
    <w:abstractNumId w:val="58"/>
  </w:num>
  <w:num w:numId="94" w16cid:durableId="1521890392">
    <w:abstractNumId w:val="58"/>
  </w:num>
  <w:num w:numId="95" w16cid:durableId="1666978741">
    <w:abstractNumId w:val="58"/>
  </w:num>
  <w:num w:numId="96" w16cid:durableId="504445378">
    <w:abstractNumId w:val="58"/>
  </w:num>
  <w:num w:numId="97" w16cid:durableId="1401756105">
    <w:abstractNumId w:val="58"/>
  </w:num>
  <w:num w:numId="98" w16cid:durableId="1089352793">
    <w:abstractNumId w:val="58"/>
  </w:num>
  <w:num w:numId="99" w16cid:durableId="512038859">
    <w:abstractNumId w:val="138"/>
  </w:num>
  <w:num w:numId="100" w16cid:durableId="1002976506">
    <w:abstractNumId w:val="58"/>
  </w:num>
  <w:num w:numId="101" w16cid:durableId="1737118690">
    <w:abstractNumId w:val="216"/>
  </w:num>
  <w:num w:numId="102" w16cid:durableId="965963957">
    <w:abstractNumId w:val="79"/>
  </w:num>
  <w:num w:numId="103" w16cid:durableId="1045981385">
    <w:abstractNumId w:val="190"/>
  </w:num>
  <w:num w:numId="104" w16cid:durableId="235239412">
    <w:abstractNumId w:val="207"/>
  </w:num>
  <w:num w:numId="105" w16cid:durableId="27612252">
    <w:abstractNumId w:val="86"/>
  </w:num>
  <w:num w:numId="106" w16cid:durableId="1885869034">
    <w:abstractNumId w:val="17"/>
  </w:num>
  <w:num w:numId="107" w16cid:durableId="437411876">
    <w:abstractNumId w:val="129"/>
  </w:num>
  <w:num w:numId="108" w16cid:durableId="932779888">
    <w:abstractNumId w:val="43"/>
  </w:num>
  <w:num w:numId="109" w16cid:durableId="918908825">
    <w:abstractNumId w:val="194"/>
  </w:num>
  <w:num w:numId="110" w16cid:durableId="1228952286">
    <w:abstractNumId w:val="177"/>
  </w:num>
  <w:num w:numId="111" w16cid:durableId="709190413">
    <w:abstractNumId w:val="48"/>
  </w:num>
  <w:num w:numId="112" w16cid:durableId="1702245047">
    <w:abstractNumId w:val="84"/>
  </w:num>
  <w:num w:numId="113" w16cid:durableId="1720395296">
    <w:abstractNumId w:val="34"/>
  </w:num>
  <w:num w:numId="114" w16cid:durableId="255598172">
    <w:abstractNumId w:val="23"/>
  </w:num>
  <w:num w:numId="115" w16cid:durableId="1856189694">
    <w:abstractNumId w:val="131"/>
  </w:num>
  <w:num w:numId="116" w16cid:durableId="1230920324">
    <w:abstractNumId w:val="25"/>
  </w:num>
  <w:num w:numId="117" w16cid:durableId="1769497626">
    <w:abstractNumId w:val="117"/>
  </w:num>
  <w:num w:numId="118" w16cid:durableId="480923836">
    <w:abstractNumId w:val="73"/>
  </w:num>
  <w:num w:numId="119" w16cid:durableId="1403065333">
    <w:abstractNumId w:val="155"/>
  </w:num>
  <w:num w:numId="120" w16cid:durableId="1856848352">
    <w:abstractNumId w:val="9"/>
  </w:num>
  <w:num w:numId="121" w16cid:durableId="1077825549">
    <w:abstractNumId w:val="215"/>
  </w:num>
  <w:num w:numId="122" w16cid:durableId="754127533">
    <w:abstractNumId w:val="157"/>
  </w:num>
  <w:num w:numId="123" w16cid:durableId="634141794">
    <w:abstractNumId w:val="88"/>
  </w:num>
  <w:num w:numId="124" w16cid:durableId="280458799">
    <w:abstractNumId w:val="20"/>
  </w:num>
  <w:num w:numId="125" w16cid:durableId="1778941127">
    <w:abstractNumId w:val="196"/>
  </w:num>
  <w:num w:numId="126" w16cid:durableId="486750128">
    <w:abstractNumId w:val="150"/>
  </w:num>
  <w:num w:numId="127" w16cid:durableId="2073966515">
    <w:abstractNumId w:val="6"/>
  </w:num>
  <w:num w:numId="128" w16cid:durableId="1942299963">
    <w:abstractNumId w:val="183"/>
  </w:num>
  <w:num w:numId="129" w16cid:durableId="1965842760">
    <w:abstractNumId w:val="94"/>
  </w:num>
  <w:num w:numId="130" w16cid:durableId="1286539998">
    <w:abstractNumId w:val="1"/>
  </w:num>
  <w:num w:numId="131" w16cid:durableId="1847818378">
    <w:abstractNumId w:val="137"/>
  </w:num>
  <w:num w:numId="132" w16cid:durableId="93130671">
    <w:abstractNumId w:val="168"/>
  </w:num>
  <w:num w:numId="133" w16cid:durableId="1810706904">
    <w:abstractNumId w:val="69"/>
  </w:num>
  <w:num w:numId="134" w16cid:durableId="1320308819">
    <w:abstractNumId w:val="74"/>
  </w:num>
  <w:num w:numId="135" w16cid:durableId="1261641079">
    <w:abstractNumId w:val="151"/>
  </w:num>
  <w:num w:numId="136" w16cid:durableId="1700887817">
    <w:abstractNumId w:val="152"/>
  </w:num>
  <w:num w:numId="137" w16cid:durableId="14426047">
    <w:abstractNumId w:val="149"/>
  </w:num>
  <w:num w:numId="138" w16cid:durableId="584920117">
    <w:abstractNumId w:val="2"/>
  </w:num>
  <w:num w:numId="139" w16cid:durableId="2032606189">
    <w:abstractNumId w:val="130"/>
  </w:num>
  <w:num w:numId="140" w16cid:durableId="1257058450">
    <w:abstractNumId w:val="58"/>
  </w:num>
  <w:num w:numId="141" w16cid:durableId="952127267">
    <w:abstractNumId w:val="122"/>
  </w:num>
  <w:num w:numId="142" w16cid:durableId="691996445">
    <w:abstractNumId w:val="58"/>
  </w:num>
  <w:num w:numId="143" w16cid:durableId="1760442225">
    <w:abstractNumId w:val="58"/>
  </w:num>
  <w:num w:numId="144" w16cid:durableId="1903832017">
    <w:abstractNumId w:val="58"/>
  </w:num>
  <w:num w:numId="145" w16cid:durableId="564801983">
    <w:abstractNumId w:val="58"/>
  </w:num>
  <w:num w:numId="146" w16cid:durableId="1844121258">
    <w:abstractNumId w:val="58"/>
  </w:num>
  <w:num w:numId="147" w16cid:durableId="1482310904">
    <w:abstractNumId w:val="58"/>
  </w:num>
  <w:num w:numId="148" w16cid:durableId="757558005">
    <w:abstractNumId w:val="58"/>
  </w:num>
  <w:num w:numId="149" w16cid:durableId="995300664">
    <w:abstractNumId w:val="138"/>
  </w:num>
  <w:num w:numId="150" w16cid:durableId="83499984">
    <w:abstractNumId w:val="138"/>
  </w:num>
  <w:num w:numId="151" w16cid:durableId="1616525727">
    <w:abstractNumId w:val="138"/>
  </w:num>
  <w:num w:numId="152" w16cid:durableId="74016568">
    <w:abstractNumId w:val="58"/>
  </w:num>
  <w:num w:numId="153" w16cid:durableId="390471733">
    <w:abstractNumId w:val="181"/>
  </w:num>
  <w:num w:numId="154" w16cid:durableId="1970817398">
    <w:abstractNumId w:val="219"/>
  </w:num>
  <w:num w:numId="155" w16cid:durableId="1823228135">
    <w:abstractNumId w:val="58"/>
  </w:num>
  <w:num w:numId="156" w16cid:durableId="450588583">
    <w:abstractNumId w:val="58"/>
  </w:num>
  <w:num w:numId="157" w16cid:durableId="1237089920">
    <w:abstractNumId w:val="58"/>
  </w:num>
  <w:num w:numId="158" w16cid:durableId="1138035733">
    <w:abstractNumId w:val="198"/>
  </w:num>
  <w:num w:numId="159" w16cid:durableId="1692684714">
    <w:abstractNumId w:val="58"/>
  </w:num>
  <w:num w:numId="160" w16cid:durableId="1392385747">
    <w:abstractNumId w:val="198"/>
  </w:num>
  <w:num w:numId="161" w16cid:durableId="1796867793">
    <w:abstractNumId w:val="138"/>
  </w:num>
  <w:num w:numId="162" w16cid:durableId="57166585">
    <w:abstractNumId w:val="58"/>
  </w:num>
  <w:num w:numId="163" w16cid:durableId="1527212293">
    <w:abstractNumId w:val="58"/>
  </w:num>
  <w:num w:numId="164" w16cid:durableId="778525876">
    <w:abstractNumId w:val="145"/>
  </w:num>
  <w:num w:numId="165" w16cid:durableId="44569457">
    <w:abstractNumId w:val="40"/>
  </w:num>
  <w:num w:numId="166" w16cid:durableId="132911494">
    <w:abstractNumId w:val="55"/>
  </w:num>
  <w:num w:numId="167" w16cid:durableId="608243112">
    <w:abstractNumId w:val="163"/>
  </w:num>
  <w:num w:numId="168" w16cid:durableId="1370954214">
    <w:abstractNumId w:val="76"/>
  </w:num>
  <w:num w:numId="169" w16cid:durableId="53628031">
    <w:abstractNumId w:val="115"/>
  </w:num>
  <w:num w:numId="170" w16cid:durableId="306907268">
    <w:abstractNumId w:val="211"/>
  </w:num>
  <w:num w:numId="171" w16cid:durableId="1820416327">
    <w:abstractNumId w:val="58"/>
  </w:num>
  <w:num w:numId="172" w16cid:durableId="1412696025">
    <w:abstractNumId w:val="58"/>
  </w:num>
  <w:num w:numId="173" w16cid:durableId="643004259">
    <w:abstractNumId w:val="198"/>
  </w:num>
  <w:num w:numId="174" w16cid:durableId="1220022310">
    <w:abstractNumId w:val="162"/>
  </w:num>
  <w:num w:numId="175" w16cid:durableId="1912503136">
    <w:abstractNumId w:val="27"/>
  </w:num>
  <w:num w:numId="176" w16cid:durableId="812791560">
    <w:abstractNumId w:val="58"/>
  </w:num>
  <w:num w:numId="177" w16cid:durableId="336225810">
    <w:abstractNumId w:val="58"/>
  </w:num>
  <w:num w:numId="178" w16cid:durableId="1421368290">
    <w:abstractNumId w:val="198"/>
  </w:num>
  <w:num w:numId="179" w16cid:durableId="928388474">
    <w:abstractNumId w:val="198"/>
  </w:num>
  <w:num w:numId="180" w16cid:durableId="1365902821">
    <w:abstractNumId w:val="61"/>
  </w:num>
  <w:num w:numId="181" w16cid:durableId="1554345429">
    <w:abstractNumId w:val="18"/>
  </w:num>
  <w:num w:numId="182" w16cid:durableId="1936670609">
    <w:abstractNumId w:val="12"/>
  </w:num>
  <w:num w:numId="183" w16cid:durableId="310141272">
    <w:abstractNumId w:val="16"/>
  </w:num>
  <w:num w:numId="184" w16cid:durableId="36585631">
    <w:abstractNumId w:val="72"/>
  </w:num>
  <w:num w:numId="185" w16cid:durableId="563685124">
    <w:abstractNumId w:val="170"/>
  </w:num>
  <w:num w:numId="186" w16cid:durableId="2108885988">
    <w:abstractNumId w:val="58"/>
  </w:num>
  <w:num w:numId="187" w16cid:durableId="1410885784">
    <w:abstractNumId w:val="206"/>
  </w:num>
  <w:num w:numId="188" w16cid:durableId="1687245458">
    <w:abstractNumId w:val="50"/>
  </w:num>
  <w:num w:numId="189" w16cid:durableId="818839511">
    <w:abstractNumId w:val="201"/>
  </w:num>
  <w:num w:numId="190" w16cid:durableId="1306662340">
    <w:abstractNumId w:val="158"/>
  </w:num>
  <w:num w:numId="191" w16cid:durableId="1763408331">
    <w:abstractNumId w:val="58"/>
  </w:num>
  <w:num w:numId="192" w16cid:durableId="1037462015">
    <w:abstractNumId w:val="70"/>
  </w:num>
  <w:num w:numId="193" w16cid:durableId="931665203">
    <w:abstractNumId w:val="110"/>
  </w:num>
  <w:num w:numId="194" w16cid:durableId="32774021">
    <w:abstractNumId w:val="180"/>
  </w:num>
  <w:num w:numId="195" w16cid:durableId="1331980600">
    <w:abstractNumId w:val="58"/>
  </w:num>
  <w:num w:numId="196" w16cid:durableId="1711613578">
    <w:abstractNumId w:val="58"/>
  </w:num>
  <w:num w:numId="197" w16cid:durableId="626010350">
    <w:abstractNumId w:val="58"/>
  </w:num>
  <w:num w:numId="198" w16cid:durableId="786513058">
    <w:abstractNumId w:val="58"/>
  </w:num>
  <w:num w:numId="199" w16cid:durableId="1887989977">
    <w:abstractNumId w:val="58"/>
  </w:num>
  <w:num w:numId="200" w16cid:durableId="1870528583">
    <w:abstractNumId w:val="220"/>
  </w:num>
  <w:num w:numId="201" w16cid:durableId="615019939">
    <w:abstractNumId w:val="113"/>
  </w:num>
  <w:num w:numId="202" w16cid:durableId="333073689">
    <w:abstractNumId w:val="31"/>
  </w:num>
  <w:num w:numId="203" w16cid:durableId="1609310789">
    <w:abstractNumId w:val="58"/>
  </w:num>
  <w:num w:numId="204" w16cid:durableId="899369615">
    <w:abstractNumId w:val="58"/>
  </w:num>
  <w:num w:numId="205" w16cid:durableId="745417072">
    <w:abstractNumId w:val="58"/>
  </w:num>
  <w:num w:numId="206" w16cid:durableId="657269407">
    <w:abstractNumId w:val="89"/>
  </w:num>
  <w:num w:numId="207" w16cid:durableId="1846246453">
    <w:abstractNumId w:val="14"/>
  </w:num>
  <w:num w:numId="208" w16cid:durableId="802043788">
    <w:abstractNumId w:val="123"/>
  </w:num>
  <w:num w:numId="209" w16cid:durableId="1913924776">
    <w:abstractNumId w:val="142"/>
  </w:num>
  <w:num w:numId="210" w16cid:durableId="1783068803">
    <w:abstractNumId w:val="217"/>
  </w:num>
  <w:num w:numId="211" w16cid:durableId="1431584483">
    <w:abstractNumId w:val="191"/>
  </w:num>
  <w:num w:numId="212" w16cid:durableId="22707032">
    <w:abstractNumId w:val="184"/>
  </w:num>
  <w:num w:numId="213" w16cid:durableId="611322235">
    <w:abstractNumId w:val="156"/>
  </w:num>
  <w:num w:numId="214" w16cid:durableId="1141073981">
    <w:abstractNumId w:val="98"/>
  </w:num>
  <w:num w:numId="215" w16cid:durableId="2110736803">
    <w:abstractNumId w:val="103"/>
  </w:num>
  <w:num w:numId="216" w16cid:durableId="1312516491">
    <w:abstractNumId w:val="103"/>
    <w:lvlOverride w:ilvl="0">
      <w:lvl w:ilvl="0" w:tplc="0809001B">
        <w:start w:val="1"/>
        <w:numFmt w:val="lowerRoman"/>
        <w:lvlText w:val="%1."/>
        <w:lvlJc w:val="right"/>
        <w:pPr>
          <w:ind w:left="180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7" w16cid:durableId="1506751699">
    <w:abstractNumId w:val="5"/>
  </w:num>
  <w:num w:numId="218" w16cid:durableId="233586123">
    <w:abstractNumId w:val="119"/>
  </w:num>
  <w:num w:numId="219" w16cid:durableId="916287734">
    <w:abstractNumId w:val="218"/>
  </w:num>
  <w:num w:numId="220" w16cid:durableId="53551785">
    <w:abstractNumId w:val="19"/>
  </w:num>
  <w:num w:numId="221" w16cid:durableId="595789817">
    <w:abstractNumId w:val="221"/>
  </w:num>
  <w:num w:numId="222" w16cid:durableId="1862275999">
    <w:abstractNumId w:val="223"/>
  </w:num>
  <w:num w:numId="223" w16cid:durableId="42339731">
    <w:abstractNumId w:val="39"/>
  </w:num>
  <w:num w:numId="224" w16cid:durableId="608901995">
    <w:abstractNumId w:val="182"/>
  </w:num>
  <w:num w:numId="225" w16cid:durableId="162933906">
    <w:abstractNumId w:val="65"/>
  </w:num>
  <w:num w:numId="226" w16cid:durableId="2122214931">
    <w:abstractNumId w:val="58"/>
  </w:num>
  <w:num w:numId="227" w16cid:durableId="1038552460">
    <w:abstractNumId w:val="77"/>
  </w:num>
  <w:num w:numId="228" w16cid:durableId="185993983">
    <w:abstractNumId w:val="80"/>
  </w:num>
  <w:num w:numId="229" w16cid:durableId="518082519">
    <w:abstractNumId w:val="109"/>
  </w:num>
  <w:num w:numId="230" w16cid:durableId="972557401">
    <w:abstractNumId w:val="107"/>
  </w:num>
  <w:num w:numId="231" w16cid:durableId="2038385990">
    <w:abstractNumId w:val="82"/>
  </w:num>
  <w:num w:numId="232" w16cid:durableId="1064373314">
    <w:abstractNumId w:val="102"/>
  </w:num>
  <w:num w:numId="233" w16cid:durableId="1110861397">
    <w:abstractNumId w:val="171"/>
  </w:num>
  <w:num w:numId="234" w16cid:durableId="133527564">
    <w:abstractNumId w:val="32"/>
  </w:num>
  <w:num w:numId="235" w16cid:durableId="1757903338">
    <w:abstractNumId w:val="118"/>
  </w:num>
  <w:num w:numId="236" w16cid:durableId="714041211">
    <w:abstractNumId w:val="199"/>
  </w:num>
  <w:num w:numId="237" w16cid:durableId="2009864590">
    <w:abstractNumId w:val="66"/>
  </w:num>
  <w:num w:numId="238" w16cid:durableId="1319967322">
    <w:abstractNumId w:val="146"/>
  </w:num>
  <w:num w:numId="239" w16cid:durableId="1876768559">
    <w:abstractNumId w:val="178"/>
  </w:num>
  <w:num w:numId="240" w16cid:durableId="598757408">
    <w:abstractNumId w:val="22"/>
  </w:num>
  <w:num w:numId="241" w16cid:durableId="979310245">
    <w:abstractNumId w:val="175"/>
  </w:num>
  <w:num w:numId="242" w16cid:durableId="1426070389">
    <w:abstractNumId w:val="91"/>
  </w:num>
  <w:num w:numId="243" w16cid:durableId="1398168769">
    <w:abstractNumId w:val="186"/>
  </w:num>
  <w:num w:numId="244" w16cid:durableId="811606327">
    <w:abstractNumId w:val="192"/>
  </w:num>
  <w:num w:numId="245" w16cid:durableId="353269314">
    <w:abstractNumId w:val="85"/>
  </w:num>
  <w:num w:numId="246" w16cid:durableId="1935627958">
    <w:abstractNumId w:val="121"/>
  </w:num>
  <w:num w:numId="247" w16cid:durableId="1530751473">
    <w:abstractNumId w:val="78"/>
  </w:num>
  <w:num w:numId="248" w16cid:durableId="1642150198">
    <w:abstractNumId w:val="167"/>
  </w:num>
  <w:num w:numId="249" w16cid:durableId="2146581200">
    <w:abstractNumId w:val="166"/>
  </w:num>
  <w:num w:numId="250" w16cid:durableId="215745799">
    <w:abstractNumId w:val="144"/>
  </w:num>
  <w:num w:numId="251" w16cid:durableId="1144587840">
    <w:abstractNumId w:val="33"/>
  </w:num>
  <w:num w:numId="252" w16cid:durableId="1922831250">
    <w:abstractNumId w:val="92"/>
  </w:num>
  <w:num w:numId="253" w16cid:durableId="2064525055">
    <w:abstractNumId w:val="92"/>
  </w:num>
  <w:num w:numId="254" w16cid:durableId="652561952">
    <w:abstractNumId w:val="92"/>
  </w:num>
  <w:num w:numId="255" w16cid:durableId="1510951242">
    <w:abstractNumId w:val="132"/>
  </w:num>
  <w:num w:numId="256" w16cid:durableId="1201895172">
    <w:abstractNumId w:val="179"/>
  </w:num>
  <w:num w:numId="257" w16cid:durableId="109864429">
    <w:abstractNumId w:val="169"/>
  </w:num>
  <w:num w:numId="258" w16cid:durableId="1309939234">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59" w16cid:durableId="502473448">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60" w16cid:durableId="1679846067">
    <w:abstractNumId w:val="198"/>
  </w:num>
  <w:num w:numId="261" w16cid:durableId="160638046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59004348">
    <w:abstractNumId w:val="225"/>
  </w:num>
  <w:num w:numId="263" w16cid:durableId="298649542">
    <w:abstractNumId w:val="28"/>
  </w:num>
  <w:num w:numId="264" w16cid:durableId="1995836472">
    <w:abstractNumId w:val="46"/>
  </w:num>
  <w:num w:numId="265" w16cid:durableId="418798377">
    <w:abstractNumId w:val="26"/>
  </w:num>
  <w:num w:numId="266" w16cid:durableId="174926766">
    <w:abstractNumId w:val="90"/>
  </w:num>
  <w:num w:numId="267" w16cid:durableId="954945208">
    <w:abstractNumId w:val="124"/>
  </w:num>
  <w:num w:numId="268" w16cid:durableId="888614222">
    <w:abstractNumId w:val="10"/>
  </w:num>
  <w:num w:numId="269" w16cid:durableId="1366440764">
    <w:abstractNumId w:val="30"/>
  </w:num>
  <w:num w:numId="270" w16cid:durableId="512961180">
    <w:abstractNumId w:val="7"/>
  </w:num>
  <w:num w:numId="271" w16cid:durableId="591281226">
    <w:abstractNumId w:val="141"/>
  </w:num>
  <w:num w:numId="272" w16cid:durableId="848713473">
    <w:abstractNumId w:val="159"/>
  </w:num>
  <w:num w:numId="273" w16cid:durableId="499660560">
    <w:abstractNumId w:val="214"/>
  </w:num>
  <w:num w:numId="274" w16cid:durableId="1930578262">
    <w:abstractNumId w:val="49"/>
  </w:num>
  <w:num w:numId="275" w16cid:durableId="894269104">
    <w:abstractNumId w:val="147"/>
  </w:num>
  <w:num w:numId="276" w16cid:durableId="1284577574">
    <w:abstractNumId w:val="125"/>
  </w:num>
  <w:num w:numId="277" w16cid:durableId="589656717">
    <w:abstractNumId w:val="231"/>
  </w:num>
  <w:num w:numId="278" w16cid:durableId="616373926">
    <w:abstractNumId w:val="51"/>
  </w:num>
  <w:num w:numId="279" w16cid:durableId="436829786">
    <w:abstractNumId w:val="193"/>
  </w:num>
  <w:num w:numId="280" w16cid:durableId="987976900">
    <w:abstractNumId w:val="41"/>
  </w:num>
  <w:num w:numId="281" w16cid:durableId="488133779">
    <w:abstractNumId w:val="8"/>
  </w:num>
  <w:num w:numId="282" w16cid:durableId="540676342">
    <w:abstractNumId w:val="222"/>
  </w:num>
  <w:num w:numId="283" w16cid:durableId="1813522530">
    <w:abstractNumId w:val="213"/>
  </w:num>
  <w:num w:numId="284" w16cid:durableId="1195339387">
    <w:abstractNumId w:val="105"/>
  </w:num>
  <w:num w:numId="285" w16cid:durableId="690423601">
    <w:abstractNumId w:val="53"/>
  </w:num>
  <w:num w:numId="286" w16cid:durableId="2027827043">
    <w:abstractNumId w:val="57"/>
  </w:num>
  <w:num w:numId="287" w16cid:durableId="566575354">
    <w:abstractNumId w:val="120"/>
  </w:num>
  <w:num w:numId="288" w16cid:durableId="1383408846">
    <w:abstractNumId w:val="114"/>
  </w:num>
  <w:num w:numId="289" w16cid:durableId="411659411">
    <w:abstractNumId w:val="108"/>
  </w:num>
  <w:num w:numId="290" w16cid:durableId="1957977638">
    <w:abstractNumId w:val="60"/>
  </w:num>
  <w:num w:numId="291" w16cid:durableId="1751386735">
    <w:abstractNumId w:val="134"/>
  </w:num>
  <w:num w:numId="292" w16cid:durableId="1396663314">
    <w:abstractNumId w:val="200"/>
  </w:num>
  <w:num w:numId="293" w16cid:durableId="252319778">
    <w:abstractNumId w:val="185"/>
  </w:num>
  <w:num w:numId="294" w16cid:durableId="1437795604">
    <w:abstractNumId w:val="189"/>
  </w:num>
  <w:num w:numId="295" w16cid:durableId="679085209">
    <w:abstractNumId w:val="71"/>
  </w:num>
  <w:num w:numId="296" w16cid:durableId="2112118546">
    <w:abstractNumId w:val="204"/>
  </w:num>
  <w:num w:numId="297" w16cid:durableId="2036809290">
    <w:abstractNumId w:val="99"/>
  </w:num>
  <w:num w:numId="298" w16cid:durableId="1135216362">
    <w:abstractNumId w:val="195"/>
  </w:num>
  <w:num w:numId="299" w16cid:durableId="1685211058">
    <w:abstractNumId w:val="126"/>
  </w:num>
  <w:num w:numId="300" w16cid:durableId="789476050">
    <w:abstractNumId w:val="150"/>
    <w:lvlOverride w:ilvl="0"/>
    <w:lvlOverride w:ilvl="1">
      <w:startOverride w:val="1"/>
    </w:lvlOverride>
    <w:lvlOverride w:ilvl="2"/>
    <w:lvlOverride w:ilvl="3"/>
    <w:lvlOverride w:ilvl="4"/>
    <w:lvlOverride w:ilvl="5"/>
    <w:lvlOverride w:ilvl="6"/>
    <w:lvlOverride w:ilvl="7"/>
    <w:lvlOverride w:ilvl="8"/>
  </w:num>
  <w:num w:numId="301" w16cid:durableId="906502484">
    <w:abstractNumId w:val="9"/>
    <w:lvlOverride w:ilvl="0"/>
    <w:lvlOverride w:ilvl="1">
      <w:startOverride w:val="1"/>
    </w:lvlOverride>
    <w:lvlOverride w:ilvl="2"/>
    <w:lvlOverride w:ilvl="3"/>
    <w:lvlOverride w:ilvl="4"/>
    <w:lvlOverride w:ilvl="5"/>
    <w:lvlOverride w:ilvl="6"/>
    <w:lvlOverride w:ilvl="7"/>
    <w:lvlOverride w:ilvl="8"/>
  </w:num>
  <w:numIdMacAtCleanup w:val="2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F75025F"/>
  </w:docVars>
  <w:rsids>
    <w:rsidRoot w:val="00CC0A94"/>
    <w:rsid w:val="00002E32"/>
    <w:rsid w:val="00012EF3"/>
    <w:rsid w:val="0003338C"/>
    <w:rsid w:val="00052532"/>
    <w:rsid w:val="0007729C"/>
    <w:rsid w:val="00081A0B"/>
    <w:rsid w:val="00086C16"/>
    <w:rsid w:val="00095408"/>
    <w:rsid w:val="00096E2F"/>
    <w:rsid w:val="000B3ECD"/>
    <w:rsid w:val="000B45B0"/>
    <w:rsid w:val="000C0E67"/>
    <w:rsid w:val="000C51EB"/>
    <w:rsid w:val="000D2CC5"/>
    <w:rsid w:val="000E083F"/>
    <w:rsid w:val="000E50C4"/>
    <w:rsid w:val="00124735"/>
    <w:rsid w:val="001310BC"/>
    <w:rsid w:val="00151BE4"/>
    <w:rsid w:val="0016454D"/>
    <w:rsid w:val="00164AB4"/>
    <w:rsid w:val="001767FA"/>
    <w:rsid w:val="00181496"/>
    <w:rsid w:val="00191356"/>
    <w:rsid w:val="001B0D4C"/>
    <w:rsid w:val="001B542E"/>
    <w:rsid w:val="001D45AF"/>
    <w:rsid w:val="001E11D9"/>
    <w:rsid w:val="001F0302"/>
    <w:rsid w:val="00200EED"/>
    <w:rsid w:val="00202CEF"/>
    <w:rsid w:val="00202F1E"/>
    <w:rsid w:val="00204A18"/>
    <w:rsid w:val="00231332"/>
    <w:rsid w:val="00235437"/>
    <w:rsid w:val="00235542"/>
    <w:rsid w:val="002415F5"/>
    <w:rsid w:val="002421B0"/>
    <w:rsid w:val="00247EF6"/>
    <w:rsid w:val="002519F3"/>
    <w:rsid w:val="00283DC8"/>
    <w:rsid w:val="002857B4"/>
    <w:rsid w:val="00295C4A"/>
    <w:rsid w:val="002A1DEF"/>
    <w:rsid w:val="002B3A04"/>
    <w:rsid w:val="002B58C1"/>
    <w:rsid w:val="002C351F"/>
    <w:rsid w:val="002C5CD1"/>
    <w:rsid w:val="002D6061"/>
    <w:rsid w:val="002F61BB"/>
    <w:rsid w:val="00304D62"/>
    <w:rsid w:val="0032366B"/>
    <w:rsid w:val="0032589B"/>
    <w:rsid w:val="0036700A"/>
    <w:rsid w:val="00376C55"/>
    <w:rsid w:val="003932C1"/>
    <w:rsid w:val="00393D7F"/>
    <w:rsid w:val="003A172A"/>
    <w:rsid w:val="003E102B"/>
    <w:rsid w:val="003E4C28"/>
    <w:rsid w:val="003F79E6"/>
    <w:rsid w:val="00417791"/>
    <w:rsid w:val="00425EF9"/>
    <w:rsid w:val="00434529"/>
    <w:rsid w:val="0046145A"/>
    <w:rsid w:val="00474B54"/>
    <w:rsid w:val="00475F09"/>
    <w:rsid w:val="00483AA9"/>
    <w:rsid w:val="004949AC"/>
    <w:rsid w:val="00496767"/>
    <w:rsid w:val="004B5F95"/>
    <w:rsid w:val="004B735F"/>
    <w:rsid w:val="004C3C09"/>
    <w:rsid w:val="004E1A73"/>
    <w:rsid w:val="004E372E"/>
    <w:rsid w:val="005020C0"/>
    <w:rsid w:val="0050242D"/>
    <w:rsid w:val="00531F46"/>
    <w:rsid w:val="005327AD"/>
    <w:rsid w:val="00541BD5"/>
    <w:rsid w:val="00555315"/>
    <w:rsid w:val="00577491"/>
    <w:rsid w:val="00584116"/>
    <w:rsid w:val="00591328"/>
    <w:rsid w:val="005A126D"/>
    <w:rsid w:val="005B2566"/>
    <w:rsid w:val="005D3243"/>
    <w:rsid w:val="005E4C5E"/>
    <w:rsid w:val="005F7477"/>
    <w:rsid w:val="006277CC"/>
    <w:rsid w:val="00632077"/>
    <w:rsid w:val="00642CE2"/>
    <w:rsid w:val="00681B11"/>
    <w:rsid w:val="006827D4"/>
    <w:rsid w:val="00695A00"/>
    <w:rsid w:val="006A352F"/>
    <w:rsid w:val="006C1571"/>
    <w:rsid w:val="006C57D3"/>
    <w:rsid w:val="006C5E0F"/>
    <w:rsid w:val="006C5EF9"/>
    <w:rsid w:val="006E1646"/>
    <w:rsid w:val="006F00E1"/>
    <w:rsid w:val="00725BF8"/>
    <w:rsid w:val="00730DE1"/>
    <w:rsid w:val="00737DF9"/>
    <w:rsid w:val="00783C45"/>
    <w:rsid w:val="00785F50"/>
    <w:rsid w:val="00793939"/>
    <w:rsid w:val="007956E0"/>
    <w:rsid w:val="007B0136"/>
    <w:rsid w:val="007C03B1"/>
    <w:rsid w:val="007C64F6"/>
    <w:rsid w:val="00821FB1"/>
    <w:rsid w:val="00875E09"/>
    <w:rsid w:val="008827A2"/>
    <w:rsid w:val="00884A0A"/>
    <w:rsid w:val="00887021"/>
    <w:rsid w:val="008959FF"/>
    <w:rsid w:val="008A017A"/>
    <w:rsid w:val="008A0CAD"/>
    <w:rsid w:val="008A683F"/>
    <w:rsid w:val="008B0FBE"/>
    <w:rsid w:val="008B4771"/>
    <w:rsid w:val="008C6287"/>
    <w:rsid w:val="008D2A6E"/>
    <w:rsid w:val="00904640"/>
    <w:rsid w:val="00911BEF"/>
    <w:rsid w:val="0092703F"/>
    <w:rsid w:val="00942CB0"/>
    <w:rsid w:val="00956AFD"/>
    <w:rsid w:val="009825D6"/>
    <w:rsid w:val="00990404"/>
    <w:rsid w:val="009A5C0C"/>
    <w:rsid w:val="009B5BE4"/>
    <w:rsid w:val="009E5123"/>
    <w:rsid w:val="009F3EBB"/>
    <w:rsid w:val="009F5B93"/>
    <w:rsid w:val="00A22012"/>
    <w:rsid w:val="00A23095"/>
    <w:rsid w:val="00A23AD2"/>
    <w:rsid w:val="00A23F4B"/>
    <w:rsid w:val="00A4142A"/>
    <w:rsid w:val="00A5354C"/>
    <w:rsid w:val="00A953AC"/>
    <w:rsid w:val="00A968A9"/>
    <w:rsid w:val="00AB3A47"/>
    <w:rsid w:val="00AB7545"/>
    <w:rsid w:val="00AD694F"/>
    <w:rsid w:val="00AE4741"/>
    <w:rsid w:val="00AE75AC"/>
    <w:rsid w:val="00AE774B"/>
    <w:rsid w:val="00B11DF8"/>
    <w:rsid w:val="00B549AA"/>
    <w:rsid w:val="00B72EA2"/>
    <w:rsid w:val="00B81226"/>
    <w:rsid w:val="00B82609"/>
    <w:rsid w:val="00B82AC2"/>
    <w:rsid w:val="00B9253F"/>
    <w:rsid w:val="00BB7638"/>
    <w:rsid w:val="00BC4FE7"/>
    <w:rsid w:val="00BDE510"/>
    <w:rsid w:val="00C16DB1"/>
    <w:rsid w:val="00C175F1"/>
    <w:rsid w:val="00C22F1A"/>
    <w:rsid w:val="00C27BAD"/>
    <w:rsid w:val="00C37F49"/>
    <w:rsid w:val="00C718D3"/>
    <w:rsid w:val="00C937F1"/>
    <w:rsid w:val="00C94070"/>
    <w:rsid w:val="00CA03F1"/>
    <w:rsid w:val="00CC0A94"/>
    <w:rsid w:val="00CC359C"/>
    <w:rsid w:val="00CE06F0"/>
    <w:rsid w:val="00CE3C84"/>
    <w:rsid w:val="00CE7459"/>
    <w:rsid w:val="00CF774B"/>
    <w:rsid w:val="00D31247"/>
    <w:rsid w:val="00D34E5E"/>
    <w:rsid w:val="00D609F8"/>
    <w:rsid w:val="00D614E0"/>
    <w:rsid w:val="00D641C3"/>
    <w:rsid w:val="00D86983"/>
    <w:rsid w:val="00D87DFB"/>
    <w:rsid w:val="00D91C51"/>
    <w:rsid w:val="00DB167B"/>
    <w:rsid w:val="00DB2112"/>
    <w:rsid w:val="00DD34EA"/>
    <w:rsid w:val="00DE5715"/>
    <w:rsid w:val="00E03DC5"/>
    <w:rsid w:val="00E0411D"/>
    <w:rsid w:val="00E11B70"/>
    <w:rsid w:val="00E1268F"/>
    <w:rsid w:val="00E12A97"/>
    <w:rsid w:val="00E15E6E"/>
    <w:rsid w:val="00E22C47"/>
    <w:rsid w:val="00E376B0"/>
    <w:rsid w:val="00ED6B02"/>
    <w:rsid w:val="00EE30B2"/>
    <w:rsid w:val="00EF5B83"/>
    <w:rsid w:val="00F04D9A"/>
    <w:rsid w:val="00F406E1"/>
    <w:rsid w:val="00F61ED3"/>
    <w:rsid w:val="00F70BE6"/>
    <w:rsid w:val="00F8598D"/>
    <w:rsid w:val="00F86B79"/>
    <w:rsid w:val="00F87AA6"/>
    <w:rsid w:val="00FB1DE9"/>
    <w:rsid w:val="00FB425E"/>
    <w:rsid w:val="00FB6BAE"/>
    <w:rsid w:val="00FD00F2"/>
    <w:rsid w:val="00FD0421"/>
    <w:rsid w:val="00FD67E1"/>
    <w:rsid w:val="029F4E13"/>
    <w:rsid w:val="03359521"/>
    <w:rsid w:val="042579BD"/>
    <w:rsid w:val="0433F022"/>
    <w:rsid w:val="056E2A99"/>
    <w:rsid w:val="05B3D9B8"/>
    <w:rsid w:val="0718AA92"/>
    <w:rsid w:val="09EC9C66"/>
    <w:rsid w:val="0A0D63C1"/>
    <w:rsid w:val="0BD83DBB"/>
    <w:rsid w:val="0BDD0BDE"/>
    <w:rsid w:val="10267A14"/>
    <w:rsid w:val="10CA5500"/>
    <w:rsid w:val="1135525F"/>
    <w:rsid w:val="11CD3ED1"/>
    <w:rsid w:val="14F44483"/>
    <w:rsid w:val="150B0049"/>
    <w:rsid w:val="1788D054"/>
    <w:rsid w:val="1C196B18"/>
    <w:rsid w:val="1D65E5DF"/>
    <w:rsid w:val="203AB394"/>
    <w:rsid w:val="2060138B"/>
    <w:rsid w:val="24C9850D"/>
    <w:rsid w:val="2511498C"/>
    <w:rsid w:val="25B99E98"/>
    <w:rsid w:val="266CFF96"/>
    <w:rsid w:val="273964A0"/>
    <w:rsid w:val="273BD91A"/>
    <w:rsid w:val="2A19DD85"/>
    <w:rsid w:val="2A43CD68"/>
    <w:rsid w:val="2A9469EC"/>
    <w:rsid w:val="32066573"/>
    <w:rsid w:val="3540A952"/>
    <w:rsid w:val="35FE8455"/>
    <w:rsid w:val="37177E8F"/>
    <w:rsid w:val="37AB708C"/>
    <w:rsid w:val="3A0C342C"/>
    <w:rsid w:val="3BF700AB"/>
    <w:rsid w:val="3FDE2E1B"/>
    <w:rsid w:val="400935C2"/>
    <w:rsid w:val="4138B284"/>
    <w:rsid w:val="4558BA8E"/>
    <w:rsid w:val="479FF250"/>
    <w:rsid w:val="4815509E"/>
    <w:rsid w:val="49F80DDB"/>
    <w:rsid w:val="4A84024E"/>
    <w:rsid w:val="4AFD8972"/>
    <w:rsid w:val="52B5BC27"/>
    <w:rsid w:val="559041F5"/>
    <w:rsid w:val="55F01250"/>
    <w:rsid w:val="55FEC5F2"/>
    <w:rsid w:val="56E0627F"/>
    <w:rsid w:val="59B7B240"/>
    <w:rsid w:val="5C7F6D19"/>
    <w:rsid w:val="5FDBD9AB"/>
    <w:rsid w:val="60B38950"/>
    <w:rsid w:val="625C7E0B"/>
    <w:rsid w:val="62B0FEEC"/>
    <w:rsid w:val="6400DE52"/>
    <w:rsid w:val="66378C83"/>
    <w:rsid w:val="665A2B50"/>
    <w:rsid w:val="6746A063"/>
    <w:rsid w:val="67AF3858"/>
    <w:rsid w:val="696A97FD"/>
    <w:rsid w:val="6BEE00EC"/>
    <w:rsid w:val="6C4B2203"/>
    <w:rsid w:val="6F08E959"/>
    <w:rsid w:val="714FB7B4"/>
    <w:rsid w:val="721AA17D"/>
    <w:rsid w:val="77AFEA43"/>
    <w:rsid w:val="7B4895B1"/>
    <w:rsid w:val="7C06B413"/>
    <w:rsid w:val="7D1129B8"/>
    <w:rsid w:val="7E51A60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E1B2AE"/>
  <w15:docId w15:val="{CA19EFD7-95DA-4F94-8F0B-1BA28BA7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heme="minorEastAsia"/>
      <w:szCs w:val="24"/>
    </w:rPr>
  </w:style>
  <w:style w:type="paragraph" w:styleId="Heading1">
    <w:name w:val="heading 1"/>
    <w:aliases w:val="Cover title white"/>
    <w:next w:val="Normal"/>
    <w:link w:val="Heading1Char"/>
    <w:qFormat/>
    <w:pPr>
      <w:keepNext/>
      <w:keepLines/>
      <w:spacing w:after="0" w:line="240" w:lineRule="auto"/>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pPr>
      <w:numPr>
        <w:numId w:val="0"/>
      </w:numPr>
      <w:outlineLvl w:val="1"/>
    </w:pPr>
  </w:style>
  <w:style w:type="paragraph" w:styleId="Heading3">
    <w:name w:val="heading 3"/>
    <w:aliases w:val="Title 2"/>
    <w:basedOn w:val="Numberedtitlelevel2"/>
    <w:next w:val="Normal"/>
    <w:link w:val="Heading3Char"/>
    <w:uiPriority w:val="9"/>
    <w:semiHidden/>
    <w:pPr>
      <w:outlineLvl w:val="2"/>
    </w:pPr>
  </w:style>
  <w:style w:type="paragraph" w:styleId="Heading4">
    <w:name w:val="heading 4"/>
    <w:basedOn w:val="Normal"/>
    <w:next w:val="Normal"/>
    <w:link w:val="Heading4Char"/>
    <w:uiPriority w:val="9"/>
    <w:semiHidden/>
    <w:qFormat/>
    <w:pPr>
      <w:keepNext/>
      <w:keepLines/>
      <w:numPr>
        <w:ilvl w:val="3"/>
        <w:numId w:val="4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Cover subtitle white"/>
    <w:next w:val="Normal"/>
    <w:link w:val="Heading5Char"/>
    <w:semiHidden/>
    <w:qFormat/>
    <w:pPr>
      <w:keepNext/>
      <w:keepLines/>
      <w:spacing w:before="200" w:after="0" w:line="240" w:lineRule="auto"/>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pPr>
      <w:keepNext/>
      <w:keepLines/>
      <w:numPr>
        <w:ilvl w:val="5"/>
        <w:numId w:val="4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pPr>
      <w:keepNext/>
      <w:keepLines/>
      <w:numPr>
        <w:ilvl w:val="6"/>
        <w:numId w:val="4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4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4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rPr>
      <w:rFonts w:asciiTheme="majorHAnsi" w:eastAsiaTheme="majorEastAsia" w:hAnsiTheme="majorHAnsi" w:cstheme="majorBidi"/>
      <w:b/>
      <w:bCs/>
      <w:caps/>
      <w:color w:val="FFFFFF" w:themeColor="background1"/>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1F497D" w:themeColor="text2"/>
      <w:kern w:val="28"/>
      <w:sz w:val="52"/>
      <w:szCs w:val="52"/>
    </w:rPr>
  </w:style>
  <w:style w:type="character" w:customStyle="1" w:styleId="Heading3Char">
    <w:name w:val="Heading 3 Char"/>
    <w:aliases w:val="Title 2 Char"/>
    <w:basedOn w:val="DefaultParagraphFont"/>
    <w:link w:val="Heading3"/>
    <w:uiPriority w:val="9"/>
    <w:semiHidden/>
    <w:rPr>
      <w:rFonts w:asciiTheme="majorHAnsi" w:eastAsiaTheme="majorEastAsia" w:hAnsiTheme="majorHAnsi" w:cstheme="majorBidi"/>
      <w:bCs/>
      <w:color w:val="1F497D" w:themeColor="text2"/>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Cs w:val="24"/>
    </w:rPr>
  </w:style>
  <w:style w:type="character" w:customStyle="1" w:styleId="Heading5Char">
    <w:name w:val="Heading 5 Char"/>
    <w:aliases w:val="Cover subtitle white Char"/>
    <w:basedOn w:val="DefaultParagraphFont"/>
    <w:link w:val="Heading5"/>
    <w:semiHidden/>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Numberedtilelevel1">
    <w:name w:val="Numbered tile level 1"/>
    <w:basedOn w:val="Titlelevel1"/>
    <w:qFormat/>
    <w:pPr>
      <w:numPr>
        <w:numId w:val="63"/>
      </w:numPr>
    </w:pPr>
  </w:style>
  <w:style w:type="paragraph" w:customStyle="1" w:styleId="Numberedtitlelevel2">
    <w:name w:val="Numbered title level 2"/>
    <w:basedOn w:val="Titlelevel2"/>
    <w:next w:val="body"/>
    <w:qFormat/>
  </w:style>
  <w:style w:type="paragraph" w:customStyle="1" w:styleId="Titlelevel2">
    <w:name w:val="Title level 2"/>
    <w:qFormat/>
    <w:pPr>
      <w:spacing w:before="240" w:after="240" w:line="240" w:lineRule="auto"/>
    </w:pPr>
    <w:rPr>
      <w:rFonts w:asciiTheme="majorHAnsi" w:eastAsiaTheme="majorEastAsia" w:hAnsiTheme="majorHAnsi" w:cstheme="majorBidi"/>
      <w:bCs/>
      <w:color w:val="1F497D" w:themeColor="text2"/>
      <w:sz w:val="32"/>
      <w:szCs w:val="24"/>
    </w:rPr>
  </w:style>
  <w:style w:type="paragraph" w:customStyle="1" w:styleId="body">
    <w:name w:val="body"/>
    <w:qFormat/>
    <w:pPr>
      <w:spacing w:before="240" w:after="120"/>
      <w:jc w:val="both"/>
    </w:pPr>
    <w:rPr>
      <w:rFonts w:eastAsiaTheme="minorEastAsia"/>
      <w:szCs w:val="24"/>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Theme="minorEastAsia" w:hAnsi="Lucida Grande" w:cs="Lucida Grande"/>
      <w:sz w:val="18"/>
      <w:szCs w:val="18"/>
    </w:rPr>
  </w:style>
  <w:style w:type="paragraph" w:customStyle="1" w:styleId="Tableheader">
    <w:name w:val="Table header"/>
    <w:next w:val="Tabledata"/>
    <w:qFormat/>
    <w:pPr>
      <w:spacing w:after="80" w:line="240" w:lineRule="auto"/>
    </w:pPr>
    <w:rPr>
      <w:rFonts w:ascii="Calibri" w:eastAsia="Times New Roman" w:hAnsi="Calibri" w:cs="Times New Roman"/>
      <w:b/>
      <w:color w:val="000000"/>
    </w:rPr>
  </w:style>
  <w:style w:type="paragraph" w:customStyle="1" w:styleId="Tabledata">
    <w:name w:val="Table data"/>
    <w:basedOn w:val="body"/>
    <w:qFormat/>
    <w:pPr>
      <w:spacing w:before="120" w:line="240" w:lineRule="auto"/>
    </w:pPr>
    <w:rPr>
      <w:rFonts w:eastAsia="Times New Roman" w:cstheme="minorHAnsi"/>
      <w:bCs/>
      <w:color w:val="000000"/>
      <w:sz w:val="20"/>
      <w:szCs w:val="22"/>
    </w:rPr>
  </w:style>
  <w:style w:type="paragraph" w:customStyle="1" w:styleId="List1">
    <w:name w:val="List1"/>
    <w:autoRedefine/>
    <w:qFormat/>
    <w:pPr>
      <w:numPr>
        <w:numId w:val="47"/>
      </w:numPr>
      <w:spacing w:after="0" w:line="240" w:lineRule="auto"/>
    </w:pPr>
    <w:rPr>
      <w:rFonts w:eastAsiaTheme="minorEastAsi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heme="minorEastAsia"/>
      <w:szCs w:val="24"/>
    </w:rPr>
  </w:style>
  <w:style w:type="table" w:styleId="TableGrid">
    <w:name w:val="Table Grid"/>
    <w:basedOn w:val="TableProfessional"/>
    <w:uiPriority w:val="59"/>
    <w:rPr>
      <w:sz w:val="20"/>
      <w:szCs w:val="20"/>
      <w:lang w:val="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after="0" w:line="240" w:lineRule="auto"/>
    </w:pPr>
    <w:rPr>
      <w:rFonts w:eastAsiaTheme="minorEastAs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pPr>
      <w:numPr>
        <w:numId w:val="48"/>
      </w:numPr>
      <w:spacing w:before="240" w:after="120" w:line="240" w:lineRule="auto"/>
      <w:contextualSpacing/>
    </w:pPr>
    <w:rPr>
      <w:rFonts w:eastAsiaTheme="minorEastAsia"/>
      <w:szCs w:val="24"/>
    </w:rPr>
  </w:style>
  <w:style w:type="paragraph" w:customStyle="1" w:styleId="Titlelevel1">
    <w:name w:val="Title level 1"/>
    <w:autoRedefine/>
    <w:qFormat/>
    <w:pPr>
      <w:pBdr>
        <w:bottom w:val="single" w:sz="8" w:space="1" w:color="1F497D" w:themeColor="text2"/>
      </w:pBdr>
      <w:spacing w:before="360" w:after="600" w:line="560" w:lineRule="exact"/>
    </w:pPr>
    <w:rPr>
      <w:rFonts w:asciiTheme="majorHAnsi" w:eastAsiaTheme="majorEastAsia" w:hAnsiTheme="majorHAnsi" w:cstheme="majorBidi"/>
      <w:color w:val="1F497D" w:themeColor="text2"/>
      <w:kern w:val="28"/>
      <w:sz w:val="52"/>
      <w:szCs w:val="52"/>
    </w:rPr>
  </w:style>
  <w:style w:type="paragraph" w:customStyle="1" w:styleId="Titlelevel3">
    <w:name w:val="Title level 3"/>
    <w:qFormat/>
    <w:pPr>
      <w:spacing w:before="240" w:after="240" w:line="240" w:lineRule="auto"/>
    </w:pPr>
    <w:rPr>
      <w:rFonts w:eastAsiaTheme="minorEastAsia"/>
      <w:b/>
      <w:color w:val="1F497D" w:themeColor="text2"/>
      <w:sz w:val="24"/>
      <w:szCs w:val="24"/>
    </w:rPr>
  </w:style>
  <w:style w:type="paragraph" w:customStyle="1" w:styleId="Titlelevel4">
    <w:name w:val="Title level 4"/>
    <w:next w:val="body"/>
    <w:qFormat/>
    <w:pPr>
      <w:spacing w:before="240" w:after="240" w:line="240" w:lineRule="auto"/>
    </w:pPr>
    <w:rPr>
      <w:rFonts w:eastAsiaTheme="minorEastAsia"/>
      <w:color w:val="EEECE1" w:themeColor="background2"/>
      <w:sz w:val="24"/>
      <w:szCs w:val="24"/>
    </w:rPr>
  </w:style>
  <w:style w:type="paragraph" w:customStyle="1" w:styleId="Figuretitle">
    <w:name w:val="Figure title"/>
    <w:basedOn w:val="body"/>
    <w:next w:val="Normal"/>
    <w:autoRedefine/>
    <w:qFormat/>
    <w:pPr>
      <w:keepNext/>
      <w:spacing w:before="360" w:after="360"/>
    </w:pPr>
    <w:rPr>
      <w:rFonts w:eastAsia="Times New Roman" w:cs="Times New Roman"/>
      <w:bCs/>
      <w:color w:val="1F497D" w:themeColor="text2"/>
      <w:szCs w:val="20"/>
    </w:rPr>
  </w:style>
  <w:style w:type="table" w:customStyle="1" w:styleId="EBAtable">
    <w:name w:val="EBA table"/>
    <w:basedOn w:val="TableNormal"/>
    <w:uiPriority w:val="99"/>
    <w:pPr>
      <w:spacing w:after="0" w:line="240" w:lineRule="auto"/>
    </w:pPr>
    <w:rPr>
      <w:rFonts w:eastAsiaTheme="minorEastAsia"/>
      <w:sz w:val="24"/>
      <w:szCs w:val="24"/>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character" w:styleId="PageNumber">
    <w:name w:val="page number"/>
    <w:basedOn w:val="DefaultParagraphFont"/>
    <w:uiPriority w:val="99"/>
    <w:semiHidden/>
    <w:rPr>
      <w:rFonts w:asciiTheme="minorHAnsi" w:hAnsiTheme="minorHAnsi"/>
      <w:color w:val="auto"/>
      <w:sz w:val="22"/>
    </w:rPr>
  </w:style>
  <w:style w:type="paragraph" w:customStyle="1" w:styleId="Runningtitle">
    <w:name w:val="Running title"/>
    <w:qFormat/>
    <w:pPr>
      <w:spacing w:after="0" w:line="240" w:lineRule="auto"/>
    </w:pPr>
    <w:rPr>
      <w:rFonts w:eastAsiaTheme="minorEastAsia"/>
      <w:caps/>
      <w:sz w:val="16"/>
      <w:szCs w:val="18"/>
    </w:rPr>
  </w:style>
  <w:style w:type="paragraph" w:styleId="FootnoteText">
    <w:name w:val="footnote text"/>
    <w:aliases w:val="EBA_Footnote Text,fn,Footnote Text Char Char,Footnote,Fußnote,FSR footnote,lábléc,Char,Texto nota pie Car,notefranz,ARM footnote Text,Footnote Text Char2,Footnote Text Char11,Footnote Text Char3,Footnote Text Char4,Footnote Text Char5,Ch,f"/>
    <w:basedOn w:val="body"/>
    <w:link w:val="FootnoteTextChar"/>
    <w:autoRedefine/>
    <w:uiPriority w:val="99"/>
    <w:qFormat/>
    <w:pPr>
      <w:spacing w:before="80" w:after="0" w:line="200" w:lineRule="exact"/>
    </w:pPr>
    <w:rPr>
      <w:rFonts w:ascii="Times New Roman" w:hAnsi="Times New Roman" w:cs="Times New Roman"/>
      <w:sz w:val="18"/>
      <w:szCs w:val="18"/>
    </w:rPr>
  </w:style>
  <w:style w:type="character" w:customStyle="1" w:styleId="FootnoteTextChar">
    <w:name w:val="Footnote Text Char"/>
    <w:aliases w:val="EBA_Footnote Text Char,fn Char,Footnote Text Char Char Char,Footnote Char,Fußnote Char,FSR footnote Char,lábléc Char,Char Char,Texto nota pie Car Char,notefranz Char,ARM footnote Text Char,Footnote Text Char2 Char,Ch Char,f Char"/>
    <w:basedOn w:val="DefaultParagraphFont"/>
    <w:link w:val="FootnoteText"/>
    <w:uiPriority w:val="99"/>
    <w:rPr>
      <w:rFonts w:ascii="Times New Roman" w:eastAsiaTheme="minorEastAsia" w:hAnsi="Times New Roman" w:cs="Times New Roman"/>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ftref,fr,Ref"/>
    <w:basedOn w:val="DefaultParagraphFont"/>
    <w:uiPriority w:val="99"/>
    <w:qFormat/>
    <w:rPr>
      <w:rFonts w:asciiTheme="minorHAnsi" w:hAnsiTheme="minorHAnsi"/>
      <w:sz w:val="22"/>
      <w:szCs w:val="18"/>
      <w:vertAlign w:val="superscript"/>
    </w:rPr>
  </w:style>
  <w:style w:type="paragraph" w:customStyle="1" w:styleId="bullet1">
    <w:name w:val="bullet 1"/>
    <w:basedOn w:val="body"/>
    <w:next w:val="body"/>
    <w:qFormat/>
    <w:pPr>
      <w:numPr>
        <w:numId w:val="44"/>
      </w:numPr>
    </w:pPr>
    <w:rPr>
      <w:szCs w:val="22"/>
    </w:rPr>
  </w:style>
  <w:style w:type="paragraph" w:styleId="TOC1">
    <w:name w:val="toc 1"/>
    <w:autoRedefine/>
    <w:uiPriority w:val="39"/>
    <w:qFormat/>
    <w:pPr>
      <w:tabs>
        <w:tab w:val="left" w:pos="312"/>
        <w:tab w:val="left" w:pos="421"/>
        <w:tab w:val="right" w:pos="8771"/>
      </w:tabs>
      <w:spacing w:before="120" w:after="120" w:line="240" w:lineRule="auto"/>
      <w:outlineLvl w:val="0"/>
    </w:pPr>
    <w:rPr>
      <w:rFonts w:eastAsiaTheme="minorEastAsia"/>
      <w:b/>
      <w:bCs/>
      <w:color w:val="1F497D" w:themeColor="text2"/>
    </w:rPr>
  </w:style>
  <w:style w:type="paragraph" w:styleId="TOC2">
    <w:name w:val="toc 2"/>
    <w:next w:val="Normal"/>
    <w:autoRedefine/>
    <w:uiPriority w:val="39"/>
    <w:qFormat/>
    <w:pPr>
      <w:tabs>
        <w:tab w:val="left" w:pos="529"/>
        <w:tab w:val="right" w:pos="8771"/>
      </w:tabs>
      <w:spacing w:before="80" w:after="80" w:line="240" w:lineRule="auto"/>
    </w:pPr>
    <w:rPr>
      <w:rFonts w:eastAsiaTheme="minorEastAsia"/>
    </w:rPr>
  </w:style>
  <w:style w:type="paragraph" w:styleId="TOC3">
    <w:name w:val="toc 3"/>
    <w:basedOn w:val="Normal"/>
    <w:next w:val="Normal"/>
    <w:autoRedefine/>
    <w:uiPriority w:val="39"/>
    <w:qFormat/>
    <w:pPr>
      <w:tabs>
        <w:tab w:val="right" w:pos="8771"/>
      </w:tabs>
      <w:ind w:left="567"/>
    </w:pPr>
    <w:rPr>
      <w:szCs w:val="22"/>
    </w:rPr>
  </w:style>
  <w:style w:type="paragraph" w:styleId="TOC4">
    <w:name w:val="toc 4"/>
    <w:basedOn w:val="Normal"/>
    <w:next w:val="Normal"/>
    <w:autoRedefine/>
    <w:uiPriority w:val="39"/>
    <w:pPr>
      <w:tabs>
        <w:tab w:val="right" w:pos="8771"/>
      </w:tabs>
      <w:ind w:left="1134"/>
    </w:pPr>
    <w:rPr>
      <w:szCs w:val="22"/>
    </w:rPr>
  </w:style>
  <w:style w:type="paragraph" w:customStyle="1" w:styleId="bullet2">
    <w:name w:val="bullet 2"/>
    <w:basedOn w:val="body"/>
    <w:qFormat/>
    <w:pPr>
      <w:numPr>
        <w:numId w:val="43"/>
      </w:numPr>
    </w:pPr>
    <w:rPr>
      <w:szCs w:val="22"/>
    </w:rPr>
  </w:style>
  <w:style w:type="paragraph" w:customStyle="1" w:styleId="Numberedtitlelevel3">
    <w:name w:val="Numbered title level 3"/>
    <w:basedOn w:val="Titlelevel3"/>
    <w:next w:val="body"/>
    <w:qFormat/>
    <w:pPr>
      <w:ind w:left="720" w:hanging="432"/>
    </w:pPr>
  </w:style>
  <w:style w:type="table" w:customStyle="1" w:styleId="LightShading1">
    <w:name w:val="Light Shading1"/>
    <w:basedOn w:val="TableNormal"/>
    <w:uiPriority w:val="60"/>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pPr>
      <w:spacing w:after="0" w:line="240" w:lineRule="auto"/>
    </w:pPr>
    <w:rPr>
      <w:rFonts w:eastAsiaTheme="minorEastAsia"/>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style>
  <w:style w:type="paragraph" w:customStyle="1" w:styleId="Numberedtitlelevel4">
    <w:name w:val="Numbered title level 4"/>
    <w:basedOn w:val="Titlelevel4"/>
    <w:qFormat/>
    <w:pPr>
      <w:numPr>
        <w:numId w:val="46"/>
      </w:numPr>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eastAsiaTheme="minorEastAsia"/>
      <w:szCs w:val="24"/>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F497D" w:themeColor="text2"/>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F497D" w:themeColor="text2"/>
      <w:kern w:val="28"/>
      <w:sz w:val="52"/>
      <w:szCs w:val="52"/>
    </w:rPr>
  </w:style>
  <w:style w:type="paragraph" w:styleId="TableofFigures">
    <w:name w:val="table of figures"/>
    <w:basedOn w:val="Normal"/>
    <w:next w:val="Normal"/>
    <w:autoRedefine/>
    <w:uiPriority w:val="99"/>
    <w:qFormat/>
    <w:pPr>
      <w:spacing w:before="160"/>
    </w:pPr>
  </w:style>
  <w:style w:type="paragraph" w:styleId="Subtitle">
    <w:name w:val="Subtitle"/>
    <w:next w:val="Normal"/>
    <w:link w:val="SubtitleChar"/>
    <w:autoRedefine/>
    <w:uiPriority w:val="11"/>
    <w:qFormat/>
    <w:pPr>
      <w:numPr>
        <w:ilvl w:val="1"/>
      </w:numPr>
      <w:spacing w:before="240" w:after="120" w:line="240" w:lineRule="auto"/>
    </w:pPr>
    <w:rPr>
      <w:rFonts w:asciiTheme="majorHAnsi" w:eastAsiaTheme="majorEastAsia" w:hAnsiTheme="majorHAnsi" w:cstheme="majorBidi"/>
      <w:color w:val="4F81BD" w:themeColor="accent1"/>
      <w:sz w:val="32"/>
      <w:szCs w:val="32"/>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F81BD" w:themeColor="accent1"/>
      <w:sz w:val="32"/>
      <w:szCs w:val="32"/>
    </w:rPr>
  </w:style>
  <w:style w:type="character" w:styleId="BookTitle">
    <w:name w:val="Book Title"/>
    <w:basedOn w:val="DefaultParagraphFont"/>
    <w:uiPriority w:val="33"/>
    <w:qFormat/>
    <w:rPr>
      <w:b/>
      <w:bCs/>
      <w:smallCaps/>
    </w:rPr>
  </w:style>
  <w:style w:type="character" w:customStyle="1" w:styleId="Highlighttext">
    <w:name w:val="Highlight text"/>
    <w:basedOn w:val="DefaultParagraphFont"/>
    <w:uiPriority w:val="1"/>
    <w:semiHidden/>
    <w:qFormat/>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Pr>
      <w:bCs/>
    </w:rPr>
  </w:style>
  <w:style w:type="paragraph" w:styleId="ListBullet">
    <w:name w:val="List Bullet"/>
    <w:basedOn w:val="Normal"/>
    <w:semiHidden/>
    <w:qFormat/>
    <w:pPr>
      <w:numPr>
        <w:numId w:val="50"/>
      </w:numPr>
      <w:contextualSpacing/>
    </w:pPr>
  </w:style>
  <w:style w:type="character" w:styleId="Hyperlink">
    <w:name w:val="Hyperlink"/>
    <w:basedOn w:val="DefaultParagraphFont"/>
    <w:uiPriority w:val="99"/>
    <w:rPr>
      <w:color w:val="0000FF" w:themeColor="hyperlink"/>
      <w:u w:val="single"/>
    </w:rPr>
  </w:style>
  <w:style w:type="paragraph" w:customStyle="1" w:styleId="numberedparagraph">
    <w:name w:val="numbered paragraph"/>
    <w:basedOn w:val="body"/>
    <w:autoRedefine/>
    <w:qFormat/>
    <w:pPr>
      <w:numPr>
        <w:numId w:val="218"/>
      </w:numPr>
      <w:ind w:left="1134"/>
    </w:pPr>
    <w:rPr>
      <w:rFonts w:asciiTheme="majorHAnsi" w:hAnsiTheme="majorHAnsi"/>
      <w:color w:val="000000" w:themeColor="text1"/>
    </w:r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semiHidden/>
    <w:qFormat/>
    <w:pPr>
      <w:spacing w:before="480"/>
      <w:outlineLvl w:val="9"/>
    </w:pPr>
    <w:rPr>
      <w:caps w:val="0"/>
      <w:color w:val="365F91" w:themeColor="accent1" w:themeShade="BF"/>
      <w:sz w:val="28"/>
      <w:szCs w:val="28"/>
    </w:rPr>
  </w:style>
  <w:style w:type="character" w:customStyle="1" w:styleId="Marker">
    <w:name w:val="Marker"/>
    <w:rPr>
      <w:color w:val="0000FF"/>
      <w:shd w:val="clear" w:color="auto" w:fill="auto"/>
    </w:rPr>
  </w:style>
  <w:style w:type="character" w:customStyle="1" w:styleId="Marker2">
    <w:name w:val="Marker2"/>
    <w:rPr>
      <w:color w:val="FF0000"/>
      <w:shd w:val="clear" w:color="auto" w:fill="auto"/>
    </w:rPr>
  </w:style>
  <w:style w:type="paragraph" w:customStyle="1" w:styleId="Annexetitre">
    <w:name w:val="Annexe titre"/>
    <w:basedOn w:val="Normal"/>
    <w:next w:val="Normal"/>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pPr>
      <w:spacing w:before="480" w:after="120"/>
      <w:jc w:val="both"/>
    </w:pPr>
    <w:rPr>
      <w:rFonts w:ascii="Times New Roman" w:eastAsia="Times New Roman" w:hAnsi="Times New Roman" w:cs="Times New Roman"/>
      <w:sz w:val="24"/>
    </w:rPr>
  </w:style>
  <w:style w:type="paragraph" w:customStyle="1" w:styleId="Considrant">
    <w:name w:val="Considérant"/>
    <w:basedOn w:val="Normal"/>
    <w:pPr>
      <w:numPr>
        <w:numId w:val="51"/>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jc w:val="both"/>
    </w:pPr>
    <w:rPr>
      <w:rFonts w:ascii="Times New Roman" w:eastAsia="Times New Roman" w:hAnsi="Times New Roman" w:cs="Times New Roman"/>
      <w:sz w:val="24"/>
    </w:rPr>
  </w:style>
  <w:style w:type="paragraph" w:styleId="ListParagraph">
    <w:name w:val="List Paragraph"/>
    <w:aliases w:val="Paragraphe EI,Paragraphe de liste1,EC,Paragraphe de liste2,Colorful List Accent 1,Liste couleur - Accent 11,Paragraphe de liste11,RETRAIT 1,List Paragraph1,Colorful List - Accent 11,Párrafo de lista"/>
    <w:basedOn w:val="Normal"/>
    <w:link w:val="ListParagraphChar"/>
    <w:uiPriority w:val="34"/>
    <w:qFormat/>
    <w:pPr>
      <w:ind w:left="720"/>
    </w:pPr>
    <w:rPr>
      <w:rFonts w:ascii="Calibri" w:eastAsia="Calibri" w:hAnsi="Calibri" w:cs="Times New Roman"/>
      <w:szCs w:val="22"/>
    </w:rPr>
  </w:style>
  <w:style w:type="paragraph" w:customStyle="1" w:styleId="Questionforconsultation">
    <w:name w:val="Question for consultation"/>
    <w:basedOn w:val="ListParagraph"/>
    <w:link w:val="QuestionforconsultationChar"/>
    <w:qFormat/>
    <w:pPr>
      <w:numPr>
        <w:numId w:val="52"/>
      </w:numPr>
      <w:pBdr>
        <w:top w:val="single" w:sz="4" w:space="1" w:color="auto"/>
        <w:left w:val="single" w:sz="4" w:space="4" w:color="auto"/>
        <w:bottom w:val="single" w:sz="4" w:space="1" w:color="auto"/>
        <w:right w:val="single" w:sz="4" w:space="4" w:color="auto"/>
      </w:pBdr>
      <w:ind w:left="1134" w:hanging="1134"/>
      <w:contextualSpacing/>
      <w:jc w:val="both"/>
    </w:pPr>
    <w:rPr>
      <w:rFonts w:ascii="Times New Roman" w:hAnsi="Times New Roman"/>
    </w:rPr>
  </w:style>
  <w:style w:type="paragraph" w:customStyle="1" w:styleId="doc-ti">
    <w:name w:val="doc-ti"/>
    <w:basedOn w:val="Normal"/>
    <w:pPr>
      <w:spacing w:before="100" w:beforeAutospacing="1" w:after="100" w:afterAutospacing="1"/>
    </w:pPr>
    <w:rPr>
      <w:rFonts w:ascii="Times New Roman" w:eastAsia="Times New Roman" w:hAnsi="Times New Roman" w:cs="Times New Roman"/>
      <w:sz w:val="24"/>
    </w:rPr>
  </w:style>
  <w:style w:type="character" w:customStyle="1" w:styleId="ListParagraphChar">
    <w:name w:val="List Paragraph Char"/>
    <w:aliases w:val="Paragraphe EI Char,Paragraphe de liste1 Char,EC Char,Paragraphe de liste2 Char,Colorful List Accent 1 Char,Liste couleur - Accent 11 Char,Paragraphe de liste11 Char,RETRAIT 1 Char,List Paragraph1 Char,Colorful List - Accent 11 Char"/>
    <w:basedOn w:val="DefaultParagraphFont"/>
    <w:link w:val="ListParagraph"/>
    <w:uiPriority w:val="34"/>
    <w:rPr>
      <w:rFonts w:ascii="Calibri" w:eastAsia="Calibri" w:hAnsi="Calibri" w:cs="Times New Roman"/>
    </w:rPr>
  </w:style>
  <w:style w:type="character" w:customStyle="1" w:styleId="QuestionforconsultationChar">
    <w:name w:val="Question for consultation Char"/>
    <w:basedOn w:val="ListParagraphChar"/>
    <w:link w:val="Questionforconsultation"/>
    <w:rPr>
      <w:rFonts w:ascii="Times New Roman" w:eastAsia="Calibri" w:hAnsi="Times New Roman" w:cs="Times New Roman"/>
    </w:rPr>
  </w:style>
  <w:style w:type="paragraph" w:customStyle="1" w:styleId="Normal1">
    <w:name w:val="Normal1"/>
    <w:basedOn w:val="Normal"/>
    <w:pPr>
      <w:spacing w:before="100" w:beforeAutospacing="1" w:after="100" w:afterAutospacing="1"/>
    </w:pPr>
    <w:rPr>
      <w:rFonts w:ascii="Times New Roman" w:eastAsia="Times New Roman" w:hAnsi="Times New Roman" w:cs="Times New Roman"/>
      <w:sz w:val="24"/>
    </w:rPr>
  </w:style>
  <w:style w:type="character" w:customStyle="1" w:styleId="super">
    <w:name w:val="super"/>
    <w:basedOn w:val="DefaultParagraphFont"/>
  </w:style>
  <w:style w:type="paragraph" w:customStyle="1" w:styleId="ti-art">
    <w:name w:val="ti-art"/>
    <w:basedOn w:val="Normal"/>
    <w:pPr>
      <w:spacing w:before="100" w:beforeAutospacing="1" w:after="100" w:afterAutospacing="1"/>
    </w:pPr>
    <w:rPr>
      <w:rFonts w:ascii="Times New Roman" w:eastAsia="Times New Roman" w:hAnsi="Times New Roman" w:cs="Times New Roman"/>
      <w:sz w:val="24"/>
    </w:rPr>
  </w:style>
  <w:style w:type="paragraph" w:customStyle="1" w:styleId="sti-art">
    <w:name w:val="sti-art"/>
    <w:basedOn w:val="Normal"/>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style>
  <w:style w:type="character" w:customStyle="1" w:styleId="italic">
    <w:name w:val="italic"/>
    <w:basedOn w:val="DefaultParagraphFont"/>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customStyle="1" w:styleId="Point0number">
    <w:name w:val="Point 0 (number)"/>
    <w:basedOn w:val="Normal"/>
    <w:pPr>
      <w:numPr>
        <w:numId w:val="53"/>
      </w:numPr>
      <w:spacing w:before="120" w:after="120"/>
      <w:jc w:val="both"/>
    </w:pPr>
    <w:rPr>
      <w:rFonts w:ascii="Times New Roman" w:eastAsiaTheme="minorHAnsi" w:hAnsi="Times New Roman" w:cs="Times New Roman"/>
      <w:sz w:val="24"/>
      <w:szCs w:val="22"/>
    </w:rPr>
  </w:style>
  <w:style w:type="paragraph" w:customStyle="1" w:styleId="Point1number">
    <w:name w:val="Point 1 (number)"/>
    <w:basedOn w:val="Normal"/>
    <w:pPr>
      <w:numPr>
        <w:ilvl w:val="2"/>
        <w:numId w:val="53"/>
      </w:numPr>
      <w:spacing w:before="120" w:after="120"/>
      <w:jc w:val="both"/>
    </w:pPr>
    <w:rPr>
      <w:rFonts w:ascii="Times New Roman" w:eastAsiaTheme="minorHAnsi" w:hAnsi="Times New Roman" w:cs="Times New Roman"/>
      <w:sz w:val="24"/>
      <w:szCs w:val="22"/>
    </w:rPr>
  </w:style>
  <w:style w:type="paragraph" w:customStyle="1" w:styleId="Point2number">
    <w:name w:val="Point 2 (number)"/>
    <w:basedOn w:val="Normal"/>
    <w:pPr>
      <w:numPr>
        <w:ilvl w:val="4"/>
        <w:numId w:val="53"/>
      </w:numPr>
      <w:spacing w:before="120" w:after="120"/>
      <w:jc w:val="both"/>
    </w:pPr>
    <w:rPr>
      <w:rFonts w:ascii="Times New Roman" w:eastAsiaTheme="minorHAnsi" w:hAnsi="Times New Roman" w:cs="Times New Roman"/>
      <w:sz w:val="24"/>
      <w:szCs w:val="22"/>
    </w:rPr>
  </w:style>
  <w:style w:type="paragraph" w:customStyle="1" w:styleId="Point3number">
    <w:name w:val="Point 3 (number)"/>
    <w:basedOn w:val="Normal"/>
    <w:pPr>
      <w:numPr>
        <w:ilvl w:val="6"/>
        <w:numId w:val="53"/>
      </w:numPr>
      <w:spacing w:before="120" w:after="120"/>
      <w:jc w:val="both"/>
    </w:pPr>
    <w:rPr>
      <w:rFonts w:ascii="Times New Roman" w:eastAsiaTheme="minorHAnsi" w:hAnsi="Times New Roman" w:cs="Times New Roman"/>
      <w:sz w:val="24"/>
      <w:szCs w:val="22"/>
    </w:rPr>
  </w:style>
  <w:style w:type="paragraph" w:customStyle="1" w:styleId="Point0letter">
    <w:name w:val="Point 0 (letter)"/>
    <w:basedOn w:val="Normal"/>
    <w:pPr>
      <w:numPr>
        <w:ilvl w:val="1"/>
        <w:numId w:val="53"/>
      </w:numPr>
      <w:spacing w:before="120" w:after="120"/>
      <w:jc w:val="both"/>
    </w:pPr>
    <w:rPr>
      <w:rFonts w:ascii="Times New Roman" w:eastAsiaTheme="minorHAnsi" w:hAnsi="Times New Roman" w:cs="Times New Roman"/>
      <w:sz w:val="24"/>
      <w:szCs w:val="22"/>
    </w:rPr>
  </w:style>
  <w:style w:type="paragraph" w:customStyle="1" w:styleId="Point1letter">
    <w:name w:val="Point 1 (letter)"/>
    <w:basedOn w:val="Normal"/>
    <w:pPr>
      <w:numPr>
        <w:ilvl w:val="3"/>
        <w:numId w:val="53"/>
      </w:numPr>
      <w:spacing w:before="120" w:after="120"/>
      <w:jc w:val="both"/>
    </w:pPr>
    <w:rPr>
      <w:rFonts w:ascii="Times New Roman" w:eastAsiaTheme="minorHAnsi" w:hAnsi="Times New Roman" w:cs="Times New Roman"/>
      <w:sz w:val="24"/>
      <w:szCs w:val="22"/>
    </w:rPr>
  </w:style>
  <w:style w:type="paragraph" w:customStyle="1" w:styleId="Point2letter">
    <w:name w:val="Point 2 (letter)"/>
    <w:basedOn w:val="Normal"/>
    <w:pPr>
      <w:numPr>
        <w:ilvl w:val="5"/>
        <w:numId w:val="53"/>
      </w:numPr>
      <w:spacing w:before="120" w:after="120"/>
      <w:jc w:val="both"/>
    </w:pPr>
    <w:rPr>
      <w:rFonts w:ascii="Times New Roman" w:eastAsiaTheme="minorHAnsi" w:hAnsi="Times New Roman" w:cs="Times New Roman"/>
      <w:sz w:val="24"/>
      <w:szCs w:val="22"/>
    </w:rPr>
  </w:style>
  <w:style w:type="paragraph" w:customStyle="1" w:styleId="Point3letter">
    <w:name w:val="Point 3 (letter)"/>
    <w:basedOn w:val="Normal"/>
    <w:pPr>
      <w:numPr>
        <w:ilvl w:val="7"/>
        <w:numId w:val="53"/>
      </w:numPr>
      <w:spacing w:before="120" w:after="120"/>
      <w:jc w:val="both"/>
    </w:pPr>
    <w:rPr>
      <w:rFonts w:ascii="Times New Roman" w:eastAsiaTheme="minorHAnsi" w:hAnsi="Times New Roman" w:cs="Times New Roman"/>
      <w:sz w:val="24"/>
      <w:szCs w:val="22"/>
    </w:rPr>
  </w:style>
  <w:style w:type="paragraph" w:customStyle="1" w:styleId="Point4letter">
    <w:name w:val="Point 4 (letter)"/>
    <w:basedOn w:val="Normal"/>
    <w:pPr>
      <w:numPr>
        <w:ilvl w:val="8"/>
        <w:numId w:val="53"/>
      </w:numPr>
      <w:spacing w:before="120" w:after="120"/>
      <w:jc w:val="both"/>
    </w:pPr>
    <w:rPr>
      <w:rFonts w:ascii="Times New Roman" w:eastAsiaTheme="minorHAnsi" w:hAnsi="Times New Roman" w:cs="Times New Roman"/>
      <w:sz w:val="24"/>
      <w:szCs w:val="22"/>
    </w:rPr>
  </w:style>
  <w:style w:type="paragraph" w:styleId="BodyText">
    <w:name w:val="Body Text"/>
    <w:basedOn w:val="Normal"/>
    <w:link w:val="BodyTextChar"/>
    <w:uiPriority w:val="1"/>
    <w:qFormat/>
    <w:pPr>
      <w:widowControl w:val="0"/>
      <w:ind w:left="20"/>
    </w:pPr>
    <w:rPr>
      <w:rFonts w:ascii="Cambria" w:eastAsia="Cambria" w:hAnsi="Cambria"/>
      <w:sz w:val="19"/>
      <w:szCs w:val="19"/>
    </w:rPr>
  </w:style>
  <w:style w:type="character" w:customStyle="1" w:styleId="BodyTextChar">
    <w:name w:val="Body Text Char"/>
    <w:basedOn w:val="DefaultParagraphFont"/>
    <w:link w:val="BodyText"/>
    <w:uiPriority w:val="1"/>
    <w:rPr>
      <w:rFonts w:ascii="Cambria" w:eastAsia="Cambria" w:hAnsi="Cambria"/>
      <w:sz w:val="19"/>
      <w:szCs w:val="19"/>
    </w:rPr>
  </w:style>
  <w:style w:type="paragraph" w:customStyle="1" w:styleId="TableParagraph">
    <w:name w:val="Table Paragraph"/>
    <w:basedOn w:val="Normal"/>
    <w:uiPriority w:val="1"/>
    <w:qFormat/>
    <w:pPr>
      <w:widowControl w:val="0"/>
    </w:pPr>
    <w:rPr>
      <w:rFonts w:eastAsiaTheme="minorHAnsi"/>
      <w:szCs w:val="22"/>
    </w:rPr>
  </w:style>
  <w:style w:type="paragraph" w:customStyle="1" w:styleId="Instructionsberschrift2">
    <w:name w:val="Instructions Überschrift 2"/>
    <w:basedOn w:val="Heading2"/>
    <w:link w:val="Instructionsberschrift2Char"/>
    <w:pPr>
      <w:keepNext/>
      <w:pBdr>
        <w:bottom w:val="none" w:sz="0" w:space="0" w:color="auto"/>
      </w:pBdr>
      <w:spacing w:before="240" w:after="240" w:line="240" w:lineRule="auto"/>
      <w:jc w:val="both"/>
    </w:pPr>
    <w:rPr>
      <w:rFonts w:ascii="Verdana" w:eastAsia="Times New Roman" w:hAnsi="Verdana" w:cs="Arial"/>
      <w:color w:val="auto"/>
      <w:kern w:val="0"/>
      <w:sz w:val="20"/>
      <w:szCs w:val="24"/>
      <w:u w:val="single"/>
    </w:rPr>
  </w:style>
  <w:style w:type="paragraph" w:customStyle="1" w:styleId="InstructionsText">
    <w:name w:val="Instructions Text"/>
    <w:basedOn w:val="Normal"/>
    <w:link w:val="InstructionsTextChar"/>
    <w:autoRedefine/>
    <w:pPr>
      <w:spacing w:before="108"/>
      <w:ind w:firstLine="221"/>
      <w:jc w:val="both"/>
    </w:pPr>
    <w:rPr>
      <w:rFonts w:asciiTheme="majorHAnsi" w:eastAsia="Times New Roman" w:hAnsiTheme="majorHAnsi" w:cs="Arial"/>
      <w:szCs w:val="22"/>
    </w:rPr>
  </w:style>
  <w:style w:type="character" w:customStyle="1" w:styleId="InstructionsTextChar">
    <w:name w:val="Instructions Text Char"/>
    <w:link w:val="InstructionsText"/>
    <w:locked/>
    <w:rPr>
      <w:rFonts w:asciiTheme="majorHAnsi" w:eastAsia="Times New Roman" w:hAnsiTheme="majorHAnsi" w:cs="Arial"/>
    </w:rPr>
  </w:style>
  <w:style w:type="paragraph" w:customStyle="1" w:styleId="InstructionsText2">
    <w:name w:val="Instructions Text 2"/>
    <w:basedOn w:val="InstructionsText"/>
    <w:qFormat/>
    <w:pPr>
      <w:numPr>
        <w:numId w:val="72"/>
      </w:numPr>
      <w:spacing w:after="240"/>
    </w:pPr>
  </w:style>
  <w:style w:type="character" w:customStyle="1" w:styleId="Instructionsberschrift2Char">
    <w:name w:val="Instructions Überschrift 2 Char"/>
    <w:link w:val="Instructionsberschrift2"/>
    <w:locked/>
    <w:rPr>
      <w:rFonts w:ascii="Verdana" w:eastAsia="Times New Roman" w:hAnsi="Verdana" w:cs="Arial"/>
      <w:sz w:val="20"/>
      <w:szCs w:val="24"/>
      <w:u w:val="single"/>
    </w:rPr>
  </w:style>
  <w:style w:type="paragraph" w:styleId="NormalWeb">
    <w:name w:val="Normal (Web)"/>
    <w:basedOn w:val="Normal"/>
    <w:uiPriority w:val="99"/>
    <w:unhideWhenUsed/>
    <w:pPr>
      <w:spacing w:before="100" w:beforeAutospacing="1" w:after="100" w:afterAutospacing="1"/>
    </w:pPr>
    <w:rPr>
      <w:rFonts w:ascii="Times New Roman" w:eastAsiaTheme="minorHAnsi" w:hAnsi="Times New Roman" w:cs="Times New Roman"/>
      <w:sz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customStyle="1" w:styleId="Baseparagraphnumbered">
    <w:name w:val="Base paragraph numbered"/>
    <w:basedOn w:val="Normal"/>
    <w:link w:val="BaseparagraphnumberedChar"/>
    <w:qFormat/>
    <w:pPr>
      <w:numPr>
        <w:numId w:val="59"/>
      </w:numPr>
      <w:spacing w:after="240"/>
      <w:jc w:val="both"/>
    </w:pPr>
    <w:rPr>
      <w:rFonts w:ascii="Times New Roman" w:eastAsia="Times New Roman" w:hAnsi="Times New Roman" w:cs="Times New Roman"/>
      <w:sz w:val="24"/>
    </w:rPr>
  </w:style>
  <w:style w:type="character" w:customStyle="1" w:styleId="BaseparagraphnumberedChar">
    <w:name w:val="Base paragraph numbered Char"/>
    <w:link w:val="Baseparagraphnumbered"/>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eastAsiaTheme="minorEastAsia"/>
      <w:szCs w:val="24"/>
    </w:rPr>
  </w:style>
  <w:style w:type="character" w:styleId="Emphasis">
    <w:name w:val="Emphasis"/>
    <w:basedOn w:val="DefaultParagraphFont"/>
    <w:uiPriority w:val="20"/>
    <w:qFormat/>
    <w:rPr>
      <w:i/>
      <w:iCs/>
    </w:rPr>
  </w:style>
  <w:style w:type="character" w:customStyle="1" w:styleId="InstructionsTabelleberschrift">
    <w:name w:val="Instructions Tabelle Überschrift"/>
    <w:qFormat/>
    <w:rPr>
      <w:rFonts w:ascii="Verdana" w:hAnsi="Verdana" w:cs="Times New Roman"/>
      <w:b/>
      <w:bCs/>
      <w:sz w:val="20"/>
      <w:u w:val="single"/>
    </w:rPr>
  </w:style>
  <w:style w:type="paragraph" w:customStyle="1" w:styleId="Instructionsberschrift3">
    <w:name w:val="Instructions Überschrift 3"/>
    <w:basedOn w:val="Numberedtitlelevel3"/>
    <w:pPr>
      <w:numPr>
        <w:ilvl w:val="2"/>
        <w:numId w:val="260"/>
      </w:numPr>
    </w:pPr>
    <w:rPr>
      <w:rFonts w:ascii="Times New Roman" w:hAnsi="Times New Roman" w:cs="Times New Roman"/>
      <w:b w:val="0"/>
      <w:color w:val="000000" w:themeColor="text1"/>
      <w:sz w:val="20"/>
      <w:szCs w:val="20"/>
      <w:u w:val="single"/>
    </w:rPr>
  </w:style>
  <w:style w:type="table" w:customStyle="1" w:styleId="TableGrid0">
    <w:name w:val="Table Grid0"/>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ql-indent-1">
    <w:name w:val="ql-indent-1"/>
    <w:basedOn w:val="Normal"/>
    <w:pPr>
      <w:spacing w:before="100" w:beforeAutospacing="1" w:after="100" w:afterAutospacing="1"/>
    </w:pPr>
    <w:rPr>
      <w:rFonts w:ascii="Times New Roman" w:eastAsia="Times New Roman" w:hAnsi="Times New Roman" w:cs="Times New Roman"/>
      <w:sz w:val="24"/>
    </w:rPr>
  </w:style>
  <w:style w:type="paragraph" w:customStyle="1" w:styleId="ql-indent-3">
    <w:name w:val="ql-indent-3"/>
    <w:basedOn w:val="Normal"/>
    <w:pPr>
      <w:spacing w:before="100" w:beforeAutospacing="1" w:after="100" w:afterAutospacing="1"/>
    </w:pPr>
    <w:rPr>
      <w:rFonts w:ascii="Times New Roman" w:eastAsia="Times New Roman" w:hAnsi="Times New Roman" w:cs="Times New Roman"/>
      <w:sz w:val="24"/>
    </w:rPr>
  </w:style>
  <w:style w:type="paragraph" w:customStyle="1" w:styleId="norm">
    <w:name w:val="norm"/>
    <w:basedOn w:val="Normal"/>
    <w:pPr>
      <w:spacing w:before="100" w:beforeAutospacing="1" w:after="100" w:afterAutospacing="1"/>
    </w:pPr>
    <w:rPr>
      <w:rFonts w:ascii="Times New Roman" w:eastAsia="Times New Roman" w:hAnsi="Times New Roman" w:cs="Times New Roman"/>
      <w:sz w:val="24"/>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rFonts w:eastAsiaTheme="minorHAnsi"/>
      <w:sz w:val="20"/>
      <w:szCs w:val="20"/>
    </w:rPr>
  </w:style>
  <w:style w:type="character" w:customStyle="1" w:styleId="EndnoteTextChar1">
    <w:name w:val="Endnote Text Char1"/>
    <w:basedOn w:val="DefaultParagraphFont"/>
    <w:uiPriority w:val="99"/>
    <w:semiHidden/>
    <w:rPr>
      <w:rFonts w:eastAsiaTheme="minorEastAsia"/>
      <w:sz w:val="20"/>
      <w:szCs w:val="20"/>
    </w:rPr>
  </w:style>
  <w:style w:type="table" w:customStyle="1" w:styleId="TableGrid11">
    <w:name w:val="Table Grid1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76B0"/>
    <w:rPr>
      <w:color w:val="605E5C"/>
      <w:shd w:val="clear" w:color="auto" w:fill="E1DFDD"/>
    </w:rPr>
  </w:style>
  <w:style w:type="character" w:customStyle="1" w:styleId="PrrafodelistaCar">
    <w:name w:val="Párrafo de lista Car"/>
    <w:aliases w:val="Paragraphe EI Car,Paragraphe de liste1 Car,EC Car,Paragraphe de liste2 Car,Colorful List Accent 1 Car,Liste couleur - Accent 11 Car,Paragraphe de liste11 Car,RETRAIT 1 Car,List Paragraph1 Car,Colorful List - Accent 11 Car"/>
    <w:basedOn w:val="DefaultParagraphFont"/>
    <w:uiPriority w:val="34"/>
    <w:locked/>
    <w:rsid w:val="0046145A"/>
    <w:rPr>
      <w:rFonts w:ascii="Aptos" w:hAnsi="Aptos"/>
      <w14:ligatures w14:val="standardContextual"/>
    </w:rPr>
  </w:style>
  <w:style w:type="paragraph" w:customStyle="1" w:styleId="P68B1DB1-ListParagraph1">
    <w:name w:val="P68B1DB1-ListParagraph1"/>
    <w:basedOn w:val="ListParagraph"/>
    <w:rPr>
      <w:rFonts w:ascii="Times New Roman" w:hAnsi="Times New Roman"/>
      <w:b/>
      <w:color w:val="000000" w:themeColor="text1"/>
      <w:sz w:val="20"/>
      <w:szCs w:val="20"/>
    </w:rPr>
  </w:style>
  <w:style w:type="paragraph" w:customStyle="1" w:styleId="P68B1DB1-TOC22">
    <w:name w:val="P68B1DB1-TOC22"/>
    <w:basedOn w:val="TOC2"/>
    <w:rPr>
      <w:sz w:val="20"/>
      <w:szCs w:val="20"/>
    </w:rPr>
  </w:style>
  <w:style w:type="paragraph" w:customStyle="1" w:styleId="P68B1DB1-Normal3">
    <w:name w:val="P68B1DB1-Normal3"/>
    <w:basedOn w:val="Normal"/>
    <w:rPr>
      <w:rFonts w:ascii="Times New Roman" w:hAnsi="Times New Roman" w:cs="Times New Roman"/>
      <w:color w:val="000000" w:themeColor="text1"/>
      <w:sz w:val="20"/>
      <w:szCs w:val="20"/>
    </w:rPr>
  </w:style>
  <w:style w:type="paragraph" w:customStyle="1" w:styleId="P68B1DB1-Instructionsberschrift24">
    <w:name w:val="P68B1DB1-Instructionsberschrift24"/>
    <w:basedOn w:val="Instructionsberschrift2"/>
    <w:rPr>
      <w:rFonts w:ascii="Times New Roman" w:hAnsi="Times New Roman" w:cs="Times New Roman"/>
      <w:szCs w:val="20"/>
    </w:rPr>
  </w:style>
  <w:style w:type="paragraph" w:customStyle="1" w:styleId="P68B1DB1-Instructionsberschrift25">
    <w:name w:val="P68B1DB1-Instructionsberschrift25"/>
    <w:basedOn w:val="Instructionsberschrift2"/>
    <w:rPr>
      <w:rFonts w:ascii="Times New Roman" w:hAnsi="Times New Roman" w:cs="Times New Roman"/>
    </w:rPr>
  </w:style>
  <w:style w:type="paragraph" w:customStyle="1" w:styleId="P68B1DB1-InstructionsText26">
    <w:name w:val="P68B1DB1-InstructionsText26"/>
    <w:basedOn w:val="InstructionsText2"/>
    <w:rPr>
      <w:rFonts w:ascii="Times New Roman" w:hAnsi="Times New Roman" w:cs="Times New Roman"/>
      <w:sz w:val="20"/>
      <w:szCs w:val="20"/>
    </w:rPr>
  </w:style>
  <w:style w:type="paragraph" w:customStyle="1" w:styleId="P68B1DB1-body7">
    <w:name w:val="P68B1DB1-body7"/>
    <w:basedOn w:val="body"/>
    <w:rPr>
      <w:rFonts w:ascii="Times New Roman" w:hAnsi="Times New Roman" w:cs="Times New Roman"/>
      <w:color w:val="000000" w:themeColor="text1"/>
      <w:sz w:val="20"/>
      <w:szCs w:val="20"/>
    </w:rPr>
  </w:style>
  <w:style w:type="paragraph" w:customStyle="1" w:styleId="P68B1DB1-ListParagraph8">
    <w:name w:val="P68B1DB1-ListParagraph8"/>
    <w:basedOn w:val="ListParagraph"/>
    <w:rPr>
      <w:rFonts w:ascii="Times New Roman" w:hAnsi="Times New Roman"/>
      <w:color w:val="000000" w:themeColor="text1"/>
      <w:sz w:val="20"/>
      <w:szCs w:val="20"/>
    </w:rPr>
  </w:style>
  <w:style w:type="paragraph" w:customStyle="1" w:styleId="P68B1DB1-ListParagraph9">
    <w:name w:val="P68B1DB1-ListParagraph9"/>
    <w:basedOn w:val="ListParagraph"/>
    <w:rPr>
      <w:rFonts w:ascii="Times New Roman" w:hAnsi="Times New Roman"/>
    </w:rPr>
  </w:style>
  <w:style w:type="paragraph" w:customStyle="1" w:styleId="P68B1DB1-Instructionsberschrift310">
    <w:name w:val="P68B1DB1-Instructionsberschrift310"/>
    <w:basedOn w:val="Instructionsberschrift3"/>
    <w:rPr>
      <w:u w:val="none"/>
    </w:rPr>
  </w:style>
  <w:style w:type="paragraph" w:customStyle="1" w:styleId="P68B1DB1-numberedparagraph11">
    <w:name w:val="P68B1DB1-numberedparagraph11"/>
    <w:basedOn w:val="numberedparagraph"/>
    <w:rPr>
      <w:rFonts w:ascii="Times New Roman" w:hAnsi="Times New Roman" w:cs="Times New Roman"/>
    </w:rPr>
  </w:style>
  <w:style w:type="paragraph" w:customStyle="1" w:styleId="P68B1DB1-Instructionsberschrift312">
    <w:name w:val="P68B1DB1-Instructionsberschrift312"/>
    <w:basedOn w:val="Instructionsberschrift3"/>
    <w:rPr>
      <w:b/>
    </w:rPr>
  </w:style>
  <w:style w:type="paragraph" w:customStyle="1" w:styleId="P68B1DB1-TableParagraph13">
    <w:name w:val="P68B1DB1-TableParagraph13"/>
    <w:basedOn w:val="TableParagraph"/>
    <w:rPr>
      <w:rFonts w:ascii="Times New Roman" w:hAnsi="Times New Roman" w:cs="Times New Roman"/>
      <w:color w:val="000000" w:themeColor="text1"/>
      <w:sz w:val="20"/>
      <w:szCs w:val="20"/>
    </w:rPr>
  </w:style>
  <w:style w:type="paragraph" w:customStyle="1" w:styleId="P68B1DB1-TableParagraph14">
    <w:name w:val="P68B1DB1-TableParagraph14"/>
    <w:basedOn w:val="TableParagraph"/>
    <w:rPr>
      <w:rFonts w:ascii="Times New Roman" w:hAnsi="Times New Roman" w:cs="Times New Roman"/>
      <w:b/>
      <w:color w:val="000000" w:themeColor="text1"/>
      <w:sz w:val="20"/>
      <w:szCs w:val="20"/>
    </w:rPr>
  </w:style>
  <w:style w:type="paragraph" w:customStyle="1" w:styleId="P68B1DB1-TableParagraph15">
    <w:name w:val="P68B1DB1-TableParagraph15"/>
    <w:basedOn w:val="TableParagraph"/>
    <w:rPr>
      <w:rFonts w:ascii="Times New Roman" w:eastAsia="Book Antiqua" w:hAnsi="Times New Roman" w:cs="Times New Roman"/>
      <w:color w:val="000000" w:themeColor="text1"/>
      <w:sz w:val="20"/>
      <w:szCs w:val="20"/>
    </w:rPr>
  </w:style>
  <w:style w:type="paragraph" w:customStyle="1" w:styleId="P68B1DB1-TableParagraph16">
    <w:name w:val="P68B1DB1-TableParagraph16"/>
    <w:basedOn w:val="TableParagraph"/>
    <w:rPr>
      <w:rFonts w:ascii="Times New Roman" w:hAnsi="Times New Roman" w:cs="Times New Roman"/>
    </w:rPr>
  </w:style>
  <w:style w:type="paragraph" w:customStyle="1" w:styleId="P68B1DB1-TableParagraph17">
    <w:name w:val="P68B1DB1-TableParagraph17"/>
    <w:basedOn w:val="TableParagraph"/>
    <w:rPr>
      <w:rFonts w:ascii="Times New Roman" w:eastAsia="Cambria" w:hAnsi="Times New Roman" w:cs="Times New Roman"/>
      <w:color w:val="000000" w:themeColor="text1"/>
      <w:sz w:val="20"/>
      <w:szCs w:val="20"/>
    </w:rPr>
  </w:style>
  <w:style w:type="paragraph" w:customStyle="1" w:styleId="P68B1DB1-Normal18">
    <w:name w:val="P68B1DB1-Normal18"/>
    <w:basedOn w:val="Normal"/>
    <w:rPr>
      <w:rFonts w:ascii="Times New Roman" w:eastAsia="Cambria" w:hAnsi="Times New Roman" w:cs="Times New Roman"/>
      <w:color w:val="000000" w:themeColor="text1"/>
      <w:sz w:val="20"/>
      <w:szCs w:val="20"/>
    </w:rPr>
  </w:style>
  <w:style w:type="paragraph" w:customStyle="1" w:styleId="P68B1DB1-Normal19">
    <w:name w:val="P68B1DB1-Normal19"/>
    <w:basedOn w:val="Normal"/>
    <w:rPr>
      <w:rFonts w:ascii="Times New Roman" w:hAnsi="Times New Roman" w:cs="Times New Roman"/>
      <w:sz w:val="20"/>
      <w:szCs w:val="20"/>
    </w:rPr>
  </w:style>
  <w:style w:type="paragraph" w:customStyle="1" w:styleId="P68B1DB1-TableParagraph20">
    <w:name w:val="P68B1DB1-TableParagraph20"/>
    <w:basedOn w:val="TableParagraph"/>
    <w:rPr>
      <w:rFonts w:ascii="Times New Roman" w:eastAsia="Cambria" w:hAnsi="Times New Roman" w:cs="Times New Roman"/>
      <w:sz w:val="20"/>
      <w:szCs w:val="20"/>
    </w:rPr>
  </w:style>
  <w:style w:type="paragraph" w:customStyle="1" w:styleId="P68B1DB1-Normal21">
    <w:name w:val="P68B1DB1-Normal21"/>
    <w:basedOn w:val="Normal"/>
    <w:rPr>
      <w:rFonts w:ascii="Times New Roman" w:eastAsia="Cambria" w:hAnsi="Times New Roman" w:cs="Times New Roman"/>
      <w:sz w:val="20"/>
      <w:szCs w:val="20"/>
    </w:rPr>
  </w:style>
  <w:style w:type="paragraph" w:customStyle="1" w:styleId="P68B1DB1-InstructionsText22">
    <w:name w:val="P68B1DB1-InstructionsText22"/>
    <w:basedOn w:val="InstructionsText"/>
    <w:rPr>
      <w:rFonts w:ascii="Times New Roman" w:hAnsi="Times New Roman" w:cs="Times New Roman"/>
      <w:color w:val="000000" w:themeColor="text1"/>
      <w:sz w:val="20"/>
      <w:szCs w:val="20"/>
    </w:rPr>
  </w:style>
  <w:style w:type="paragraph" w:customStyle="1" w:styleId="P68B1DB1-ListParagraph23">
    <w:name w:val="P68B1DB1-ListParagraph23"/>
    <w:basedOn w:val="ListParagraph"/>
    <w:rPr>
      <w:rFonts w:ascii="Times New Roman" w:eastAsiaTheme="minorEastAsia" w:hAnsi="Times New Roman"/>
      <w:color w:val="000000" w:themeColor="text1"/>
      <w:sz w:val="20"/>
      <w:szCs w:val="20"/>
      <w:u w:val="single"/>
    </w:rPr>
  </w:style>
  <w:style w:type="paragraph" w:customStyle="1" w:styleId="P68B1DB1-TableParagraph24">
    <w:name w:val="P68B1DB1-TableParagraph24"/>
    <w:basedOn w:val="TableParagraph"/>
    <w:rPr>
      <w:rFonts w:ascii="Times New Roman" w:eastAsia="Cambria" w:hAnsi="Times New Roman" w:cs="Times New Roman"/>
      <w:color w:val="000000" w:themeColor="text1"/>
      <w:sz w:val="20"/>
      <w:szCs w:val="20"/>
      <w:u w:val="single"/>
    </w:rPr>
  </w:style>
  <w:style w:type="paragraph" w:customStyle="1" w:styleId="P68B1DB1-ListParagraph25">
    <w:name w:val="P68B1DB1-ListParagraph25"/>
    <w:basedOn w:val="ListParagraph"/>
    <w:rPr>
      <w:rFonts w:ascii="Times New Roman" w:eastAsia="Cambria" w:hAnsi="Times New Roman"/>
      <w:color w:val="000000" w:themeColor="text1"/>
      <w:sz w:val="20"/>
      <w:szCs w:val="20"/>
    </w:rPr>
  </w:style>
  <w:style w:type="paragraph" w:customStyle="1" w:styleId="P68B1DB1-body26">
    <w:name w:val="P68B1DB1-body26"/>
    <w:basedOn w:val="body"/>
    <w:rPr>
      <w:u w:val="single"/>
    </w:rPr>
  </w:style>
  <w:style w:type="paragraph" w:customStyle="1" w:styleId="P68B1DB1-List127">
    <w:name w:val="P68B1DB1-List127"/>
    <w:basedOn w:val="List1"/>
    <w:rPr>
      <w:rFonts w:ascii="Times New Roman" w:eastAsia="Cambria" w:hAnsi="Times New Roman" w:cs="Times New Roman"/>
      <w:color w:val="000000" w:themeColor="text1"/>
      <w:sz w:val="20"/>
      <w:szCs w:val="20"/>
    </w:rPr>
  </w:style>
  <w:style w:type="paragraph" w:customStyle="1" w:styleId="P68B1DB1-TableParagraph28">
    <w:name w:val="P68B1DB1-TableParagraph28"/>
    <w:basedOn w:val="TableParagraph"/>
    <w:rPr>
      <w:rFonts w:ascii="Times New Roman" w:eastAsia="Cambria" w:hAnsi="Times New Roman" w:cs="Times New Roman"/>
      <w:b/>
      <w:color w:val="000000" w:themeColor="text1"/>
      <w:sz w:val="20"/>
      <w:szCs w:val="20"/>
      <w:u w:val="single"/>
    </w:rPr>
  </w:style>
  <w:style w:type="paragraph" w:customStyle="1" w:styleId="P68B1DB1-InstructionsText229">
    <w:name w:val="P68B1DB1-InstructionsText229"/>
    <w:basedOn w:val="InstructionsText2"/>
    <w:rPr>
      <w:rFonts w:ascii="Times New Roman" w:hAnsi="Times New Roman" w:cs="Times New Roman"/>
    </w:rPr>
  </w:style>
  <w:style w:type="paragraph" w:customStyle="1" w:styleId="P68B1DB1-body30">
    <w:name w:val="P68B1DB1-body30"/>
    <w:basedOn w:val="body"/>
    <w:rPr>
      <w:rFonts w:ascii="Times New Roman" w:hAnsi="Times New Roman" w:cs="Times New Roman"/>
      <w:sz w:val="20"/>
      <w:szCs w:val="20"/>
      <w:u w:val="single"/>
    </w:rPr>
  </w:style>
  <w:style w:type="paragraph" w:customStyle="1" w:styleId="P68B1DB1-Normal31">
    <w:name w:val="P68B1DB1-Normal31"/>
    <w:basedOn w:val="Normal"/>
    <w:rPr>
      <w:rFonts w:ascii="Times New Roman" w:eastAsia="Times New Roman" w:hAnsi="Times New Roman" w:cs="Times New Roman"/>
      <w:sz w:val="20"/>
      <w:szCs w:val="20"/>
    </w:rPr>
  </w:style>
  <w:style w:type="paragraph" w:customStyle="1" w:styleId="P68B1DB1-ListParagraph32">
    <w:name w:val="P68B1DB1-ListParagraph32"/>
    <w:basedOn w:val="ListParagraph"/>
    <w:rPr>
      <w:rFonts w:ascii="Times New Roman" w:eastAsia="Times New Roman" w:hAnsi="Times New Roman"/>
      <w:sz w:val="20"/>
      <w:szCs w:val="20"/>
    </w:rPr>
  </w:style>
  <w:style w:type="paragraph" w:customStyle="1" w:styleId="P68B1DB1-TableParagraph33">
    <w:name w:val="P68B1DB1-TableParagraph33"/>
    <w:basedOn w:val="TableParagraph"/>
    <w:rPr>
      <w:rFonts w:ascii="Times New Roman" w:eastAsia="Times New Roman" w:hAnsi="Times New Roman"/>
      <w:sz w:val="20"/>
      <w:szCs w:val="20"/>
    </w:rPr>
  </w:style>
  <w:style w:type="paragraph" w:customStyle="1" w:styleId="P68B1DB1-Normal34">
    <w:name w:val="P68B1DB1-Normal34"/>
    <w:basedOn w:val="Normal"/>
    <w:rPr>
      <w:rFonts w:ascii="Times New Roman" w:eastAsia="Times New Roman" w:hAnsi="Times New Roman"/>
      <w:sz w:val="20"/>
      <w:szCs w:val="20"/>
    </w:rPr>
  </w:style>
  <w:style w:type="paragraph" w:customStyle="1" w:styleId="P68B1DB1-Normal35">
    <w:name w:val="P68B1DB1-Normal35"/>
    <w:basedOn w:val="Normal"/>
    <w:rPr>
      <w:rFonts w:ascii="Times New Roman" w:eastAsia="Times New Roman" w:hAnsi="Times New Roman" w:cs="Times New Roman"/>
      <w:b/>
      <w:color w:val="000000" w:themeColor="text1"/>
      <w:sz w:val="20"/>
      <w:szCs w:val="20"/>
    </w:rPr>
  </w:style>
  <w:style w:type="paragraph" w:customStyle="1" w:styleId="P68B1DB1-Normal36">
    <w:name w:val="P68B1DB1-Normal36"/>
    <w:basedOn w:val="Normal"/>
    <w:rPr>
      <w:rFonts w:ascii="Times New Roman" w:eastAsia="Times New Roman" w:hAnsi="Times New Roman" w:cs="Times New Roman"/>
      <w:color w:val="000000" w:themeColor="text1"/>
      <w:sz w:val="20"/>
      <w:szCs w:val="20"/>
    </w:rPr>
  </w:style>
  <w:style w:type="paragraph" w:customStyle="1" w:styleId="P68B1DB1-ListParagraph37">
    <w:name w:val="P68B1DB1-ListParagraph37"/>
    <w:basedOn w:val="ListParagraph"/>
    <w:rPr>
      <w:rFonts w:ascii="Times New Roman" w:eastAsia="Times New Roman" w:hAnsi="Times New Roman"/>
      <w:color w:val="000000" w:themeColor="text1"/>
      <w:sz w:val="20"/>
      <w:szCs w:val="20"/>
    </w:rPr>
  </w:style>
  <w:style w:type="paragraph" w:customStyle="1" w:styleId="P68B1DB1-ListParagraph38">
    <w:name w:val="P68B1DB1-ListParagraph38"/>
    <w:basedOn w:val="ListParagraph"/>
    <w:rPr>
      <w:rFonts w:ascii="Times New Roman" w:eastAsiaTheme="minorHAnsi" w:hAnsi="Times New Roman"/>
      <w:color w:val="000000" w:themeColor="text1"/>
      <w:sz w:val="20"/>
      <w:szCs w:val="20"/>
    </w:rPr>
  </w:style>
  <w:style w:type="paragraph" w:customStyle="1" w:styleId="P68B1DB1-ListParagraph39">
    <w:name w:val="P68B1DB1-ListParagraph39"/>
    <w:basedOn w:val="ListParagraph"/>
    <w:rPr>
      <w:rFonts w:ascii="Times New Roman" w:eastAsiaTheme="minorEastAsia" w:hAnsi="Times New Roman"/>
      <w:color w:val="000000" w:themeColor="text1"/>
      <w:sz w:val="20"/>
      <w:szCs w:val="20"/>
    </w:rPr>
  </w:style>
  <w:style w:type="paragraph" w:customStyle="1" w:styleId="P68B1DB1-TableParagraph40">
    <w:name w:val="P68B1DB1-TableParagraph40"/>
    <w:basedOn w:val="TableParagraph"/>
    <w:rPr>
      <w:rFonts w:ascii="Times New Roman" w:eastAsia="Times New Roman" w:hAnsi="Times New Roman" w:cs="Times New Roman"/>
      <w:sz w:val="20"/>
      <w:szCs w:val="20"/>
    </w:rPr>
  </w:style>
  <w:style w:type="paragraph" w:customStyle="1" w:styleId="P68B1DB1-TableParagraph41">
    <w:name w:val="P68B1DB1-TableParagraph41"/>
    <w:basedOn w:val="TableParagraph"/>
    <w:rPr>
      <w:sz w:val="20"/>
      <w:szCs w:val="20"/>
    </w:rPr>
  </w:style>
  <w:style w:type="paragraph" w:customStyle="1" w:styleId="P68B1DB1-Normal42">
    <w:name w:val="P68B1DB1-Normal42"/>
    <w:basedOn w:val="Normal"/>
    <w:rPr>
      <w:rFonts w:ascii="Times New Roman" w:eastAsiaTheme="minorHAnsi" w:hAnsi="Times New Roman" w:cs="Times New Roman"/>
      <w:b/>
      <w:color w:val="000000" w:themeColor="text1"/>
      <w:sz w:val="20"/>
      <w:szCs w:val="20"/>
    </w:rPr>
  </w:style>
  <w:style w:type="paragraph" w:customStyle="1" w:styleId="P68B1DB1-Normal43">
    <w:name w:val="P68B1DB1-Normal43"/>
    <w:basedOn w:val="Normal"/>
    <w:rPr>
      <w:rFonts w:ascii="Times New Roman" w:eastAsiaTheme="minorHAnsi" w:hAnsi="Times New Roman" w:cs="Times New Roman"/>
      <w:color w:val="000000" w:themeColor="text1"/>
      <w:sz w:val="20"/>
      <w:szCs w:val="20"/>
    </w:rPr>
  </w:style>
  <w:style w:type="paragraph" w:customStyle="1" w:styleId="P68B1DB1-Instructionsberschrift244">
    <w:name w:val="P68B1DB1-Instructionsberschrift244"/>
    <w:basedOn w:val="Instructionsberschrift2"/>
    <w:rPr>
      <w:rFonts w:ascii="Times New Roman" w:eastAsia="Calibri" w:hAnsi="Times New Roman" w:cs="Times New Roman"/>
    </w:rPr>
  </w:style>
  <w:style w:type="paragraph" w:customStyle="1" w:styleId="P68B1DB1-Normal45">
    <w:name w:val="P68B1DB1-Normal45"/>
    <w:basedOn w:val="Normal"/>
    <w:rPr>
      <w:rFonts w:ascii="Times New Roman" w:eastAsia="Calibri" w:hAnsi="Times New Roman" w:cs="Times New Roman"/>
      <w:sz w:val="20"/>
    </w:rPr>
  </w:style>
  <w:style w:type="paragraph" w:customStyle="1" w:styleId="P68B1DB1-Instructionsberschrift346">
    <w:name w:val="P68B1DB1-Instructionsberschrift346"/>
    <w:basedOn w:val="Instructionsberschrift3"/>
    <w:rPr>
      <w:rFonts w:eastAsia="MS Mincho"/>
      <w:u w:val="none"/>
    </w:rPr>
  </w:style>
  <w:style w:type="paragraph" w:customStyle="1" w:styleId="P68B1DB1-Instructionsberschrift347">
    <w:name w:val="P68B1DB1-Instructionsberschrift347"/>
    <w:basedOn w:val="Instructionsberschrift3"/>
    <w:rPr>
      <w:color w:val="auto"/>
      <w:u w:val="none"/>
    </w:rPr>
  </w:style>
  <w:style w:type="paragraph" w:customStyle="1" w:styleId="P68B1DB1-Instructionsberschrift348">
    <w:name w:val="P68B1DB1-Instructionsberschrift348"/>
    <w:basedOn w:val="Instructionsberschrift3"/>
    <w:rPr>
      <w:rFonts w:eastAsia="MS Mincho"/>
      <w:szCs w:val="24"/>
      <w:u w:val="none"/>
    </w:rPr>
  </w:style>
  <w:style w:type="paragraph" w:customStyle="1" w:styleId="P68B1DB1-Normal49">
    <w:name w:val="P68B1DB1-Normal49"/>
    <w:basedOn w:val="Normal"/>
    <w:rPr>
      <w:rFonts w:ascii="Times New Roman" w:eastAsia="Calibri" w:hAnsi="Times New Roman" w:cs="Times New Roman"/>
      <w:b/>
      <w:sz w:val="20"/>
      <w:szCs w:val="20"/>
    </w:rPr>
  </w:style>
  <w:style w:type="paragraph" w:customStyle="1" w:styleId="P68B1DB1-Normal50">
    <w:name w:val="P68B1DB1-Normal50"/>
    <w:basedOn w:val="Normal"/>
    <w:rPr>
      <w:rFonts w:ascii="Times New Roman" w:eastAsia="Calibri" w:hAnsi="Times New Roman" w:cs="Times New Roman"/>
      <w:sz w:val="20"/>
      <w:szCs w:val="20"/>
    </w:rPr>
  </w:style>
  <w:style w:type="paragraph" w:customStyle="1" w:styleId="P68B1DB1-Normal51">
    <w:name w:val="P68B1DB1-Normal51"/>
    <w:basedOn w:val="Normal"/>
    <w:rPr>
      <w:rFonts w:ascii="Times New Roman" w:eastAsia="Calibri" w:hAnsi="Times New Roman" w:cs="Times New Roman"/>
      <w:i/>
      <w:sz w:val="20"/>
      <w:szCs w:val="20"/>
    </w:rPr>
  </w:style>
  <w:style w:type="paragraph" w:customStyle="1" w:styleId="P68B1DB1-Normal52">
    <w:name w:val="P68B1DB1-Normal52"/>
    <w:basedOn w:val="Normal"/>
    <w:rPr>
      <w:rFonts w:ascii="Times New Roman" w:eastAsia="MS Mincho" w:hAnsi="Times New Roman" w:cs="Times New Roman"/>
      <w:sz w:val="20"/>
      <w:szCs w:val="20"/>
    </w:rPr>
  </w:style>
  <w:style w:type="paragraph" w:customStyle="1" w:styleId="P68B1DB1-ListParagraph53">
    <w:name w:val="P68B1DB1-ListParagraph53"/>
    <w:basedOn w:val="ListParagraph"/>
    <w:rPr>
      <w:rFonts w:ascii="Times New Roman" w:eastAsia="MS Mincho" w:hAnsi="Times New Roman"/>
      <w:sz w:val="20"/>
      <w:szCs w:val="20"/>
    </w:rPr>
  </w:style>
  <w:style w:type="paragraph" w:customStyle="1" w:styleId="P68B1DB1-Normal54">
    <w:name w:val="P68B1DB1-Normal54"/>
    <w:basedOn w:val="Normal"/>
    <w:rPr>
      <w:rFonts w:ascii="Times New Roman" w:eastAsia="MS Mincho" w:hAnsi="Times New Roman" w:cs="Times New Roman"/>
      <w:szCs w:val="20"/>
    </w:rPr>
  </w:style>
  <w:style w:type="paragraph" w:customStyle="1" w:styleId="P68B1DB1-Normal55">
    <w:name w:val="P68B1DB1-Normal55"/>
    <w:basedOn w:val="Normal"/>
    <w:rPr>
      <w:rFonts w:ascii="Times New Roman" w:eastAsia="Calibri" w:hAnsi="Times New Roman" w:cs="Times New Roman"/>
      <w:b/>
      <w:sz w:val="20"/>
    </w:rPr>
  </w:style>
  <w:style w:type="paragraph" w:customStyle="1" w:styleId="P68B1DB1-Normal56">
    <w:name w:val="P68B1DB1-Normal56"/>
    <w:basedOn w:val="Normal"/>
    <w:rPr>
      <w:rFonts w:ascii="Times New Roman" w:eastAsia="Calibri" w:hAnsi="Times New Roman" w:cs="Times New Roman"/>
      <w:i/>
      <w:sz w:val="20"/>
    </w:rPr>
  </w:style>
  <w:style w:type="paragraph" w:customStyle="1" w:styleId="P68B1DB1-Normal57">
    <w:name w:val="P68B1DB1-Normal57"/>
    <w:basedOn w:val="Normal"/>
    <w:rPr>
      <w:rFonts w:ascii="Times New Roman" w:hAnsi="Times New Roman"/>
      <w:color w:val="000000" w:themeColor="text1"/>
      <w:sz w:val="20"/>
      <w:szCs w:val="20"/>
    </w:rPr>
  </w:style>
  <w:style w:type="paragraph" w:customStyle="1" w:styleId="P68B1DB1-ListParagraph58">
    <w:name w:val="P68B1DB1-ListParagraph58"/>
    <w:basedOn w:val="ListParagraph"/>
    <w:rPr>
      <w:rFonts w:ascii="Times New Roman" w:hAnsi="Times New Roman"/>
      <w:sz w:val="20"/>
    </w:rPr>
  </w:style>
  <w:style w:type="paragraph" w:customStyle="1" w:styleId="P68B1DB1-NormalWeb59">
    <w:name w:val="P68B1DB1-NormalWeb59"/>
    <w:basedOn w:val="NormalWeb"/>
    <w:rPr>
      <w:rFonts w:eastAsia="Calibri"/>
      <w:sz w:val="20"/>
    </w:rPr>
  </w:style>
  <w:style w:type="paragraph" w:customStyle="1" w:styleId="P68B1DB1-ListParagraph60">
    <w:name w:val="P68B1DB1-ListParagraph60"/>
    <w:basedOn w:val="ListParagraph"/>
    <w:rPr>
      <w:rFonts w:ascii="Times New Roman" w:hAnsi="Times New Roman"/>
      <w:sz w:val="20"/>
      <w:szCs w:val="20"/>
    </w:rPr>
  </w:style>
  <w:style w:type="paragraph" w:customStyle="1" w:styleId="P68B1DB1-Normal61">
    <w:name w:val="P68B1DB1-Normal61"/>
    <w:basedOn w:val="Normal"/>
    <w:rPr>
      <w:rFonts w:ascii="Times New Roman" w:hAnsi="Times New Roman"/>
      <w:b/>
      <w:sz w:val="20"/>
      <w:szCs w:val="20"/>
    </w:rPr>
  </w:style>
  <w:style w:type="paragraph" w:customStyle="1" w:styleId="P68B1DB1-Normal62">
    <w:name w:val="P68B1DB1-Normal62"/>
    <w:basedOn w:val="Normal"/>
    <w:rPr>
      <w:rFonts w:ascii="Times New Roman" w:hAnsi="Times New Roman"/>
      <w:sz w:val="20"/>
      <w:szCs w:val="20"/>
    </w:rPr>
  </w:style>
  <w:style w:type="paragraph" w:customStyle="1" w:styleId="P68B1DB1-Normal63">
    <w:name w:val="P68B1DB1-Normal63"/>
    <w:basedOn w:val="Normal"/>
    <w:rPr>
      <w:rFonts w:ascii="Times New Roman" w:eastAsia="MS Mincho" w:hAnsi="Times New Roman"/>
      <w:sz w:val="20"/>
      <w:szCs w:val="20"/>
    </w:rPr>
  </w:style>
  <w:style w:type="paragraph" w:customStyle="1" w:styleId="P68B1DB1-Normal64">
    <w:name w:val="P68B1DB1-Normal64"/>
    <w:basedOn w:val="Normal"/>
    <w:rPr>
      <w:rFonts w:ascii="Times New Roman" w:hAnsi="Times New Roman"/>
      <w:sz w:val="20"/>
    </w:rPr>
  </w:style>
  <w:style w:type="paragraph" w:customStyle="1" w:styleId="P68B1DB1-Normal65">
    <w:name w:val="P68B1DB1-Normal65"/>
    <w:basedOn w:val="Normal"/>
    <w:rPr>
      <w:rFonts w:ascii="Times New Roman" w:hAnsi="Times New Roman"/>
      <w:b/>
      <w:sz w:val="20"/>
    </w:rPr>
  </w:style>
  <w:style w:type="paragraph" w:customStyle="1" w:styleId="P68B1DB1-Normal66">
    <w:name w:val="P68B1DB1-Normal66"/>
    <w:basedOn w:val="Normal"/>
    <w:rPr>
      <w:rFonts w:ascii="Times New Roman" w:eastAsia="MS Mincho" w:hAnsi="Times New Roman"/>
      <w:sz w:val="20"/>
    </w:rPr>
  </w:style>
  <w:style w:type="paragraph" w:customStyle="1" w:styleId="P68B1DB1-Normal67">
    <w:name w:val="P68B1DB1-Normal67"/>
    <w:basedOn w:val="Normal"/>
    <w:rPr>
      <w:rFonts w:ascii="Times New Roman" w:hAnsi="Times New Roman"/>
    </w:rPr>
  </w:style>
  <w:style w:type="paragraph" w:customStyle="1" w:styleId="P68B1DB1-Instructionsberschrift368">
    <w:name w:val="P68B1DB1-Instructionsberschrift368"/>
    <w:basedOn w:val="Instructionsberschrift3"/>
    <w:rPr>
      <w:rFonts w:eastAsia="MS Mincho"/>
      <w:color w:val="auto"/>
      <w:szCs w:val="24"/>
      <w:u w:val="none"/>
    </w:rPr>
  </w:style>
  <w:style w:type="paragraph" w:customStyle="1" w:styleId="P68B1DB1-Instructionsberschrift269">
    <w:name w:val="P68B1DB1-Instructionsberschrift269"/>
    <w:basedOn w:val="Instructionsberschrift2"/>
    <w:rPr>
      <w:rFonts w:ascii="Times New Roman" w:eastAsia="MS Mincho" w:hAnsi="Times New Roman" w:cs="Times New Roman"/>
      <w:szCs w:val="20"/>
    </w:rPr>
  </w:style>
  <w:style w:type="paragraph" w:customStyle="1" w:styleId="P68B1DB1-Normal70">
    <w:name w:val="P68B1DB1-Normal70"/>
    <w:basedOn w:val="Normal"/>
    <w:rPr>
      <w:rFonts w:ascii="Times New Roman" w:eastAsia="Calibri" w:hAnsi="Times New Roman" w:cs="Times New Roman"/>
      <w:u w:val="single"/>
    </w:rPr>
  </w:style>
  <w:style w:type="paragraph" w:customStyle="1" w:styleId="P68B1DB1-Instructionsberschrift271">
    <w:name w:val="P68B1DB1-Instructionsberschrift271"/>
    <w:basedOn w:val="Instructionsberschrift2"/>
    <w:rPr>
      <w:rFonts w:ascii="Times New Roman" w:eastAsia="Calibri" w:hAnsi="Times New Roman" w:cs="Times New Roman"/>
      <w:szCs w:val="20"/>
    </w:rPr>
  </w:style>
  <w:style w:type="paragraph" w:customStyle="1" w:styleId="P68B1DB1-Numberedtitlelevel372">
    <w:name w:val="P68B1DB1-Numberedtitlelevel372"/>
    <w:basedOn w:val="Numberedtitlelevel3"/>
    <w:rPr>
      <w:rFonts w:ascii="Times New Roman" w:hAnsi="Times New Roman" w:cs="Times New Roman"/>
      <w:b w:val="0"/>
      <w:color w:val="000000" w:themeColor="text1"/>
      <w:sz w:val="20"/>
      <w:szCs w:val="20"/>
      <w:u w:val="single"/>
    </w:rPr>
  </w:style>
  <w:style w:type="paragraph" w:customStyle="1" w:styleId="P68B1DB1-TableParagraph73">
    <w:name w:val="P68B1DB1-TableParagraph73"/>
    <w:basedOn w:val="TableParagraph"/>
    <w:rPr>
      <w:rFonts w:ascii="Times New Roman" w:eastAsia="Times New Roman" w:hAnsi="Times New Roman" w:cs="Times New Roman"/>
      <w:b/>
      <w:sz w:val="20"/>
      <w:szCs w:val="20"/>
    </w:rPr>
  </w:style>
  <w:style w:type="paragraph" w:customStyle="1" w:styleId="P68B1DB1-Normal74">
    <w:name w:val="P68B1DB1-Normal74"/>
    <w:basedOn w:val="Normal"/>
    <w:rPr>
      <w:rFonts w:ascii="Times New Roman" w:eastAsia="Times New Roman" w:hAnsi="Times New Roman" w:cs="Times New Roman"/>
      <w:i/>
      <w:sz w:val="20"/>
      <w:szCs w:val="20"/>
    </w:rPr>
  </w:style>
  <w:style w:type="paragraph" w:customStyle="1" w:styleId="P68B1DB1-TableParagraph75">
    <w:name w:val="P68B1DB1-TableParagraph75"/>
    <w:basedOn w:val="TableParagraph"/>
    <w:rPr>
      <w:rFonts w:ascii="Times New Roman" w:eastAsia="Times New Roman" w:hAnsi="Times New Roman" w:cs="Times New Roman"/>
      <w:b/>
      <w:i/>
      <w:sz w:val="20"/>
      <w:szCs w:val="20"/>
    </w:rPr>
  </w:style>
  <w:style w:type="paragraph" w:customStyle="1" w:styleId="P68B1DB1-Normal76">
    <w:name w:val="P68B1DB1-Normal76"/>
    <w:basedOn w:val="Normal"/>
    <w:rPr>
      <w:rFonts w:ascii="Times New Roman" w:eastAsia="Times New Roman" w:hAnsi="Times New Roman" w:cs="Times New Roman"/>
      <w:b/>
      <w:sz w:val="20"/>
      <w:szCs w:val="20"/>
    </w:rPr>
  </w:style>
  <w:style w:type="paragraph" w:customStyle="1" w:styleId="P68B1DB1-Normal77">
    <w:name w:val="P68B1DB1-Normal77"/>
    <w:basedOn w:val="Normal"/>
    <w:rPr>
      <w:rFonts w:ascii="Times New Roman" w:eastAsia="Times New Roman" w:hAnsi="Times New Roman" w:cs="Times New Roman"/>
      <w:b/>
      <w:i/>
      <w:sz w:val="20"/>
      <w:szCs w:val="20"/>
    </w:rPr>
  </w:style>
  <w:style w:type="paragraph" w:customStyle="1" w:styleId="P68B1DB1-Normal78">
    <w:name w:val="P68B1DB1-Normal78"/>
    <w:basedOn w:val="Normal"/>
    <w:rPr>
      <w:rFonts w:ascii="Times New Roman" w:hAnsi="Times New Roman" w:cs="Times New Roman"/>
    </w:rPr>
  </w:style>
  <w:style w:type="paragraph" w:customStyle="1" w:styleId="P68B1DB1-InstructionsText279">
    <w:name w:val="P68B1DB1-InstructionsText279"/>
    <w:basedOn w:val="InstructionsText2"/>
    <w:rPr>
      <w:rFonts w:ascii="Times New Roman" w:eastAsiaTheme="majorEastAsia" w:hAnsi="Times New Roman" w:cs="Times New Roman"/>
      <w:sz w:val="20"/>
      <w:szCs w:val="20"/>
    </w:rPr>
  </w:style>
  <w:style w:type="paragraph" w:customStyle="1" w:styleId="P68B1DB1-ListParagraph80">
    <w:name w:val="P68B1DB1-ListParagraph80"/>
    <w:basedOn w:val="ListParagraph"/>
    <w:rPr>
      <w:rFonts w:ascii="Times New Roman" w:eastAsiaTheme="majorEastAsia" w:hAnsi="Times New Roman"/>
      <w:sz w:val="20"/>
      <w:szCs w:val="20"/>
    </w:rPr>
  </w:style>
  <w:style w:type="paragraph" w:customStyle="1" w:styleId="P68B1DB1-Heading481">
    <w:name w:val="P68B1DB1-Heading481"/>
    <w:basedOn w:val="Heading4"/>
    <w:rPr>
      <w:rFonts w:ascii="Times New Roman" w:eastAsia="Times New Roman" w:hAnsi="Times New Roman" w:cs="Times New Roman"/>
      <w:color w:val="auto"/>
      <w:sz w:val="20"/>
      <w:szCs w:val="20"/>
    </w:rPr>
  </w:style>
  <w:style w:type="paragraph" w:customStyle="1" w:styleId="P68B1DB1-Heading482">
    <w:name w:val="P68B1DB1-Heading482"/>
    <w:basedOn w:val="Heading4"/>
    <w:rPr>
      <w:rFonts w:ascii="Times New Roman" w:eastAsia="Times New Roman" w:hAnsi="Times New Roman" w:cs="Times New Roman"/>
      <w:b w:val="0"/>
      <w:bCs w:val="0"/>
      <w:i w:val="0"/>
      <w:iCs w:val="0"/>
      <w:color w:val="auto"/>
      <w:sz w:val="20"/>
      <w:szCs w:val="20"/>
    </w:rPr>
  </w:style>
  <w:style w:type="paragraph" w:customStyle="1" w:styleId="P68B1DB1-Numberedtitlelevel383">
    <w:name w:val="P68B1DB1-Numberedtitlelevel383"/>
    <w:basedOn w:val="Numberedtitlelevel3"/>
    <w:rPr>
      <w:rFonts w:ascii="Times New Roman" w:hAnsi="Times New Roman" w:cs="Times New Roman"/>
      <w:color w:val="000000" w:themeColor="text1"/>
      <w:sz w:val="20"/>
      <w:szCs w:val="20"/>
      <w:u w:val="single"/>
    </w:rPr>
  </w:style>
  <w:style w:type="paragraph" w:customStyle="1" w:styleId="P68B1DB1-Instructionsberschrift284">
    <w:name w:val="P68B1DB1-Instructionsberschrift284"/>
    <w:basedOn w:val="Instructionsberschrift2"/>
    <w:rPr>
      <w:rFonts w:ascii="Times New Roman" w:eastAsiaTheme="minorEastAsia" w:hAnsi="Times New Roman" w:cs="Times New Roman"/>
    </w:rPr>
  </w:style>
  <w:style w:type="paragraph" w:customStyle="1" w:styleId="P68B1DB1-Numberedtitlelevel385">
    <w:name w:val="P68B1DB1-Numberedtitlelevel385"/>
    <w:basedOn w:val="Numberedtitlelevel3"/>
    <w:rPr>
      <w:rFonts w:ascii="Times New Roman" w:eastAsia="Times New Roman" w:hAnsi="Times New Roman" w:cs="Times New Roman"/>
      <w:b w:val="0"/>
      <w:color w:val="auto"/>
      <w:sz w:val="20"/>
      <w:szCs w:val="20"/>
    </w:rPr>
  </w:style>
  <w:style w:type="paragraph" w:customStyle="1" w:styleId="P68B1DB1-InstructionsText286">
    <w:name w:val="P68B1DB1-InstructionsText286"/>
    <w:basedOn w:val="InstructionsText2"/>
    <w:rPr>
      <w:rFonts w:ascii="Times New Roman" w:eastAsia="Cambria" w:hAnsi="Times New Roman" w:cs="Times New Roman"/>
      <w:sz w:val="20"/>
      <w:szCs w:val="20"/>
    </w:rPr>
  </w:style>
  <w:style w:type="paragraph" w:customStyle="1" w:styleId="P68B1DB1-InstructionsText287">
    <w:name w:val="P68B1DB1-InstructionsText287"/>
    <w:basedOn w:val="InstructionsText2"/>
    <w:rPr>
      <w:rFonts w:ascii="Times New Roman" w:hAnsi="Times New Roman" w:cs="Times New Roman"/>
      <w:color w:val="000000" w:themeColor="text1"/>
      <w:sz w:val="20"/>
      <w:szCs w:val="20"/>
      <w:u w:val="single"/>
    </w:rPr>
  </w:style>
  <w:style w:type="paragraph" w:customStyle="1" w:styleId="P68B1DB1-Numberedtitlelevel388">
    <w:name w:val="P68B1DB1-Numberedtitlelevel388"/>
    <w:basedOn w:val="Numberedtitlelevel3"/>
    <w:rPr>
      <w:rFonts w:ascii="Times New Roman" w:hAnsi="Times New Roman" w:cs="Times New Roman"/>
      <w:b w:val="0"/>
      <w:color w:val="auto"/>
      <w:sz w:val="20"/>
      <w:szCs w:val="20"/>
    </w:rPr>
  </w:style>
  <w:style w:type="paragraph" w:customStyle="1" w:styleId="P68B1DB1-Instructionsberschrift289">
    <w:name w:val="P68B1DB1-Instructionsberschrift289"/>
    <w:basedOn w:val="Instructionsberschrift2"/>
    <w:rPr>
      <w:rFonts w:ascii="Times New Roman" w:hAnsi="Times New Roman" w:cs="Times New Roman"/>
      <w:u w:val="none"/>
    </w:rPr>
  </w:style>
  <w:style w:type="paragraph" w:customStyle="1" w:styleId="P68B1DB1-Normal90">
    <w:name w:val="P68B1DB1-Normal90"/>
    <w:basedOn w:val="Normal"/>
    <w:rPr>
      <w:rFonts w:eastAsia="Times New Roman" w:cs="Calibri"/>
      <w:b/>
      <w:color w:val="000000"/>
      <w:sz w:val="18"/>
      <w:szCs w:val="18"/>
    </w:rPr>
  </w:style>
  <w:style w:type="paragraph" w:customStyle="1" w:styleId="P68B1DB1-Normal91">
    <w:name w:val="P68B1DB1-Normal91"/>
    <w:basedOn w:val="Normal"/>
    <w:rPr>
      <w:rFonts w:eastAsia="Times New Roman" w:cs="Calibri"/>
      <w:color w:val="000000"/>
      <w:sz w:val="18"/>
      <w:szCs w:val="18"/>
    </w:rPr>
  </w:style>
  <w:style w:type="paragraph" w:customStyle="1" w:styleId="P68B1DB1-Normal92">
    <w:name w:val="P68B1DB1-Normal92"/>
    <w:basedOn w:val="Normal"/>
    <w:rPr>
      <w:b/>
      <w:sz w:val="18"/>
      <w:szCs w:val="18"/>
    </w:rPr>
  </w:style>
  <w:style w:type="paragraph" w:customStyle="1" w:styleId="P68B1DB1-Normal93">
    <w:name w:val="P68B1DB1-Normal93"/>
    <w:basedOn w:val="Normal"/>
    <w:rPr>
      <w:rFonts w:ascii="Calibri" w:eastAsia="Calibri" w:hAnsi="Calibri" w:cs="Calibri"/>
      <w:color w:val="000000"/>
      <w:sz w:val="24"/>
    </w:rPr>
  </w:style>
  <w:style w:type="paragraph" w:customStyle="1" w:styleId="P68B1DB1-Header94">
    <w:name w:val="P68B1DB1-Header94"/>
    <w:basedOn w:val="Heade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988">
      <w:bodyDiv w:val="1"/>
      <w:marLeft w:val="0"/>
      <w:marRight w:val="0"/>
      <w:marTop w:val="0"/>
      <w:marBottom w:val="0"/>
      <w:divBdr>
        <w:top w:val="none" w:sz="0" w:space="0" w:color="auto"/>
        <w:left w:val="none" w:sz="0" w:space="0" w:color="auto"/>
        <w:bottom w:val="none" w:sz="0" w:space="0" w:color="auto"/>
        <w:right w:val="none" w:sz="0" w:space="0" w:color="auto"/>
      </w:divBdr>
    </w:div>
    <w:div w:id="76292858">
      <w:bodyDiv w:val="1"/>
      <w:marLeft w:val="0"/>
      <w:marRight w:val="0"/>
      <w:marTop w:val="0"/>
      <w:marBottom w:val="0"/>
      <w:divBdr>
        <w:top w:val="none" w:sz="0" w:space="0" w:color="auto"/>
        <w:left w:val="none" w:sz="0" w:space="0" w:color="auto"/>
        <w:bottom w:val="none" w:sz="0" w:space="0" w:color="auto"/>
        <w:right w:val="none" w:sz="0" w:space="0" w:color="auto"/>
      </w:divBdr>
    </w:div>
    <w:div w:id="124078880">
      <w:bodyDiv w:val="1"/>
      <w:marLeft w:val="0"/>
      <w:marRight w:val="0"/>
      <w:marTop w:val="0"/>
      <w:marBottom w:val="0"/>
      <w:divBdr>
        <w:top w:val="none" w:sz="0" w:space="0" w:color="auto"/>
        <w:left w:val="none" w:sz="0" w:space="0" w:color="auto"/>
        <w:bottom w:val="none" w:sz="0" w:space="0" w:color="auto"/>
        <w:right w:val="none" w:sz="0" w:space="0" w:color="auto"/>
      </w:divBdr>
    </w:div>
    <w:div w:id="195777798">
      <w:bodyDiv w:val="1"/>
      <w:marLeft w:val="0"/>
      <w:marRight w:val="0"/>
      <w:marTop w:val="0"/>
      <w:marBottom w:val="0"/>
      <w:divBdr>
        <w:top w:val="none" w:sz="0" w:space="0" w:color="auto"/>
        <w:left w:val="none" w:sz="0" w:space="0" w:color="auto"/>
        <w:bottom w:val="none" w:sz="0" w:space="0" w:color="auto"/>
        <w:right w:val="none" w:sz="0" w:space="0" w:color="auto"/>
      </w:divBdr>
      <w:divsChild>
        <w:div w:id="2133983776">
          <w:marLeft w:val="0"/>
          <w:marRight w:val="0"/>
          <w:marTop w:val="120"/>
          <w:marBottom w:val="0"/>
          <w:divBdr>
            <w:top w:val="none" w:sz="0" w:space="0" w:color="auto"/>
            <w:left w:val="none" w:sz="0" w:space="0" w:color="auto"/>
            <w:bottom w:val="none" w:sz="0" w:space="0" w:color="auto"/>
            <w:right w:val="none" w:sz="0" w:space="0" w:color="auto"/>
          </w:divBdr>
        </w:div>
        <w:div w:id="233244626">
          <w:marLeft w:val="0"/>
          <w:marRight w:val="0"/>
          <w:marTop w:val="0"/>
          <w:marBottom w:val="0"/>
          <w:divBdr>
            <w:top w:val="none" w:sz="0" w:space="0" w:color="auto"/>
            <w:left w:val="none" w:sz="0" w:space="0" w:color="auto"/>
            <w:bottom w:val="none" w:sz="0" w:space="0" w:color="auto"/>
            <w:right w:val="none" w:sz="0" w:space="0" w:color="auto"/>
          </w:divBdr>
        </w:div>
      </w:divsChild>
    </w:div>
    <w:div w:id="236551278">
      <w:bodyDiv w:val="1"/>
      <w:marLeft w:val="0"/>
      <w:marRight w:val="0"/>
      <w:marTop w:val="0"/>
      <w:marBottom w:val="0"/>
      <w:divBdr>
        <w:top w:val="none" w:sz="0" w:space="0" w:color="auto"/>
        <w:left w:val="none" w:sz="0" w:space="0" w:color="auto"/>
        <w:bottom w:val="none" w:sz="0" w:space="0" w:color="auto"/>
        <w:right w:val="none" w:sz="0" w:space="0" w:color="auto"/>
      </w:divBdr>
    </w:div>
    <w:div w:id="260647293">
      <w:bodyDiv w:val="1"/>
      <w:marLeft w:val="0"/>
      <w:marRight w:val="0"/>
      <w:marTop w:val="0"/>
      <w:marBottom w:val="0"/>
      <w:divBdr>
        <w:top w:val="none" w:sz="0" w:space="0" w:color="auto"/>
        <w:left w:val="none" w:sz="0" w:space="0" w:color="auto"/>
        <w:bottom w:val="none" w:sz="0" w:space="0" w:color="auto"/>
        <w:right w:val="none" w:sz="0" w:space="0" w:color="auto"/>
      </w:divBdr>
    </w:div>
    <w:div w:id="317619041">
      <w:bodyDiv w:val="1"/>
      <w:marLeft w:val="0"/>
      <w:marRight w:val="0"/>
      <w:marTop w:val="0"/>
      <w:marBottom w:val="0"/>
      <w:divBdr>
        <w:top w:val="none" w:sz="0" w:space="0" w:color="auto"/>
        <w:left w:val="none" w:sz="0" w:space="0" w:color="auto"/>
        <w:bottom w:val="none" w:sz="0" w:space="0" w:color="auto"/>
        <w:right w:val="none" w:sz="0" w:space="0" w:color="auto"/>
      </w:divBdr>
    </w:div>
    <w:div w:id="529950855">
      <w:bodyDiv w:val="1"/>
      <w:marLeft w:val="0"/>
      <w:marRight w:val="0"/>
      <w:marTop w:val="0"/>
      <w:marBottom w:val="0"/>
      <w:divBdr>
        <w:top w:val="none" w:sz="0" w:space="0" w:color="auto"/>
        <w:left w:val="none" w:sz="0" w:space="0" w:color="auto"/>
        <w:bottom w:val="none" w:sz="0" w:space="0" w:color="auto"/>
        <w:right w:val="none" w:sz="0" w:space="0" w:color="auto"/>
      </w:divBdr>
    </w:div>
    <w:div w:id="674499920">
      <w:bodyDiv w:val="1"/>
      <w:marLeft w:val="0"/>
      <w:marRight w:val="0"/>
      <w:marTop w:val="0"/>
      <w:marBottom w:val="0"/>
      <w:divBdr>
        <w:top w:val="none" w:sz="0" w:space="0" w:color="auto"/>
        <w:left w:val="none" w:sz="0" w:space="0" w:color="auto"/>
        <w:bottom w:val="none" w:sz="0" w:space="0" w:color="auto"/>
        <w:right w:val="none" w:sz="0" w:space="0" w:color="auto"/>
      </w:divBdr>
    </w:div>
    <w:div w:id="695078397">
      <w:bodyDiv w:val="1"/>
      <w:marLeft w:val="0"/>
      <w:marRight w:val="0"/>
      <w:marTop w:val="0"/>
      <w:marBottom w:val="0"/>
      <w:divBdr>
        <w:top w:val="none" w:sz="0" w:space="0" w:color="auto"/>
        <w:left w:val="none" w:sz="0" w:space="0" w:color="auto"/>
        <w:bottom w:val="none" w:sz="0" w:space="0" w:color="auto"/>
        <w:right w:val="none" w:sz="0" w:space="0" w:color="auto"/>
      </w:divBdr>
    </w:div>
    <w:div w:id="713970764">
      <w:bodyDiv w:val="1"/>
      <w:marLeft w:val="0"/>
      <w:marRight w:val="0"/>
      <w:marTop w:val="0"/>
      <w:marBottom w:val="0"/>
      <w:divBdr>
        <w:top w:val="none" w:sz="0" w:space="0" w:color="auto"/>
        <w:left w:val="none" w:sz="0" w:space="0" w:color="auto"/>
        <w:bottom w:val="none" w:sz="0" w:space="0" w:color="auto"/>
        <w:right w:val="none" w:sz="0" w:space="0" w:color="auto"/>
      </w:divBdr>
    </w:div>
    <w:div w:id="773789282">
      <w:bodyDiv w:val="1"/>
      <w:marLeft w:val="0"/>
      <w:marRight w:val="0"/>
      <w:marTop w:val="0"/>
      <w:marBottom w:val="0"/>
      <w:divBdr>
        <w:top w:val="none" w:sz="0" w:space="0" w:color="auto"/>
        <w:left w:val="none" w:sz="0" w:space="0" w:color="auto"/>
        <w:bottom w:val="none" w:sz="0" w:space="0" w:color="auto"/>
        <w:right w:val="none" w:sz="0" w:space="0" w:color="auto"/>
      </w:divBdr>
    </w:div>
    <w:div w:id="809515557">
      <w:bodyDiv w:val="1"/>
      <w:marLeft w:val="0"/>
      <w:marRight w:val="0"/>
      <w:marTop w:val="0"/>
      <w:marBottom w:val="0"/>
      <w:divBdr>
        <w:top w:val="none" w:sz="0" w:space="0" w:color="auto"/>
        <w:left w:val="none" w:sz="0" w:space="0" w:color="auto"/>
        <w:bottom w:val="none" w:sz="0" w:space="0" w:color="auto"/>
        <w:right w:val="none" w:sz="0" w:space="0" w:color="auto"/>
      </w:divBdr>
    </w:div>
    <w:div w:id="824517146">
      <w:bodyDiv w:val="1"/>
      <w:marLeft w:val="0"/>
      <w:marRight w:val="0"/>
      <w:marTop w:val="0"/>
      <w:marBottom w:val="0"/>
      <w:divBdr>
        <w:top w:val="none" w:sz="0" w:space="0" w:color="auto"/>
        <w:left w:val="none" w:sz="0" w:space="0" w:color="auto"/>
        <w:bottom w:val="none" w:sz="0" w:space="0" w:color="auto"/>
        <w:right w:val="none" w:sz="0" w:space="0" w:color="auto"/>
      </w:divBdr>
    </w:div>
    <w:div w:id="827524307">
      <w:bodyDiv w:val="1"/>
      <w:marLeft w:val="0"/>
      <w:marRight w:val="0"/>
      <w:marTop w:val="0"/>
      <w:marBottom w:val="0"/>
      <w:divBdr>
        <w:top w:val="none" w:sz="0" w:space="0" w:color="auto"/>
        <w:left w:val="none" w:sz="0" w:space="0" w:color="auto"/>
        <w:bottom w:val="none" w:sz="0" w:space="0" w:color="auto"/>
        <w:right w:val="none" w:sz="0" w:space="0" w:color="auto"/>
      </w:divBdr>
    </w:div>
    <w:div w:id="846289926">
      <w:bodyDiv w:val="1"/>
      <w:marLeft w:val="0"/>
      <w:marRight w:val="0"/>
      <w:marTop w:val="0"/>
      <w:marBottom w:val="0"/>
      <w:divBdr>
        <w:top w:val="none" w:sz="0" w:space="0" w:color="auto"/>
        <w:left w:val="none" w:sz="0" w:space="0" w:color="auto"/>
        <w:bottom w:val="none" w:sz="0" w:space="0" w:color="auto"/>
        <w:right w:val="none" w:sz="0" w:space="0" w:color="auto"/>
      </w:divBdr>
    </w:div>
    <w:div w:id="847601636">
      <w:bodyDiv w:val="1"/>
      <w:marLeft w:val="0"/>
      <w:marRight w:val="0"/>
      <w:marTop w:val="0"/>
      <w:marBottom w:val="0"/>
      <w:divBdr>
        <w:top w:val="none" w:sz="0" w:space="0" w:color="auto"/>
        <w:left w:val="none" w:sz="0" w:space="0" w:color="auto"/>
        <w:bottom w:val="none" w:sz="0" w:space="0" w:color="auto"/>
        <w:right w:val="none" w:sz="0" w:space="0" w:color="auto"/>
      </w:divBdr>
    </w:div>
    <w:div w:id="866332713">
      <w:bodyDiv w:val="1"/>
      <w:marLeft w:val="0"/>
      <w:marRight w:val="0"/>
      <w:marTop w:val="0"/>
      <w:marBottom w:val="0"/>
      <w:divBdr>
        <w:top w:val="none" w:sz="0" w:space="0" w:color="auto"/>
        <w:left w:val="none" w:sz="0" w:space="0" w:color="auto"/>
        <w:bottom w:val="none" w:sz="0" w:space="0" w:color="auto"/>
        <w:right w:val="none" w:sz="0" w:space="0" w:color="auto"/>
      </w:divBdr>
    </w:div>
    <w:div w:id="938098268">
      <w:bodyDiv w:val="1"/>
      <w:marLeft w:val="0"/>
      <w:marRight w:val="0"/>
      <w:marTop w:val="0"/>
      <w:marBottom w:val="0"/>
      <w:divBdr>
        <w:top w:val="none" w:sz="0" w:space="0" w:color="auto"/>
        <w:left w:val="none" w:sz="0" w:space="0" w:color="auto"/>
        <w:bottom w:val="none" w:sz="0" w:space="0" w:color="auto"/>
        <w:right w:val="none" w:sz="0" w:space="0" w:color="auto"/>
      </w:divBdr>
    </w:div>
    <w:div w:id="1005669059">
      <w:bodyDiv w:val="1"/>
      <w:marLeft w:val="0"/>
      <w:marRight w:val="0"/>
      <w:marTop w:val="0"/>
      <w:marBottom w:val="0"/>
      <w:divBdr>
        <w:top w:val="none" w:sz="0" w:space="0" w:color="auto"/>
        <w:left w:val="none" w:sz="0" w:space="0" w:color="auto"/>
        <w:bottom w:val="none" w:sz="0" w:space="0" w:color="auto"/>
        <w:right w:val="none" w:sz="0" w:space="0" w:color="auto"/>
      </w:divBdr>
    </w:div>
    <w:div w:id="1159618785">
      <w:bodyDiv w:val="1"/>
      <w:marLeft w:val="0"/>
      <w:marRight w:val="0"/>
      <w:marTop w:val="0"/>
      <w:marBottom w:val="0"/>
      <w:divBdr>
        <w:top w:val="none" w:sz="0" w:space="0" w:color="auto"/>
        <w:left w:val="none" w:sz="0" w:space="0" w:color="auto"/>
        <w:bottom w:val="none" w:sz="0" w:space="0" w:color="auto"/>
        <w:right w:val="none" w:sz="0" w:space="0" w:color="auto"/>
      </w:divBdr>
    </w:div>
    <w:div w:id="1175147099">
      <w:bodyDiv w:val="1"/>
      <w:marLeft w:val="0"/>
      <w:marRight w:val="0"/>
      <w:marTop w:val="0"/>
      <w:marBottom w:val="0"/>
      <w:divBdr>
        <w:top w:val="none" w:sz="0" w:space="0" w:color="auto"/>
        <w:left w:val="none" w:sz="0" w:space="0" w:color="auto"/>
        <w:bottom w:val="none" w:sz="0" w:space="0" w:color="auto"/>
        <w:right w:val="none" w:sz="0" w:space="0" w:color="auto"/>
      </w:divBdr>
    </w:div>
    <w:div w:id="1264335604">
      <w:bodyDiv w:val="1"/>
      <w:marLeft w:val="0"/>
      <w:marRight w:val="0"/>
      <w:marTop w:val="0"/>
      <w:marBottom w:val="0"/>
      <w:divBdr>
        <w:top w:val="none" w:sz="0" w:space="0" w:color="auto"/>
        <w:left w:val="none" w:sz="0" w:space="0" w:color="auto"/>
        <w:bottom w:val="none" w:sz="0" w:space="0" w:color="auto"/>
        <w:right w:val="none" w:sz="0" w:space="0" w:color="auto"/>
      </w:divBdr>
    </w:div>
    <w:div w:id="1287001860">
      <w:bodyDiv w:val="1"/>
      <w:marLeft w:val="0"/>
      <w:marRight w:val="0"/>
      <w:marTop w:val="0"/>
      <w:marBottom w:val="0"/>
      <w:divBdr>
        <w:top w:val="none" w:sz="0" w:space="0" w:color="auto"/>
        <w:left w:val="none" w:sz="0" w:space="0" w:color="auto"/>
        <w:bottom w:val="none" w:sz="0" w:space="0" w:color="auto"/>
        <w:right w:val="none" w:sz="0" w:space="0" w:color="auto"/>
      </w:divBdr>
    </w:div>
    <w:div w:id="1302812721">
      <w:bodyDiv w:val="1"/>
      <w:marLeft w:val="0"/>
      <w:marRight w:val="0"/>
      <w:marTop w:val="0"/>
      <w:marBottom w:val="0"/>
      <w:divBdr>
        <w:top w:val="none" w:sz="0" w:space="0" w:color="auto"/>
        <w:left w:val="none" w:sz="0" w:space="0" w:color="auto"/>
        <w:bottom w:val="none" w:sz="0" w:space="0" w:color="auto"/>
        <w:right w:val="none" w:sz="0" w:space="0" w:color="auto"/>
      </w:divBdr>
    </w:div>
    <w:div w:id="1347171786">
      <w:bodyDiv w:val="1"/>
      <w:marLeft w:val="0"/>
      <w:marRight w:val="0"/>
      <w:marTop w:val="0"/>
      <w:marBottom w:val="0"/>
      <w:divBdr>
        <w:top w:val="none" w:sz="0" w:space="0" w:color="auto"/>
        <w:left w:val="none" w:sz="0" w:space="0" w:color="auto"/>
        <w:bottom w:val="none" w:sz="0" w:space="0" w:color="auto"/>
        <w:right w:val="none" w:sz="0" w:space="0" w:color="auto"/>
      </w:divBdr>
    </w:div>
    <w:div w:id="1367751175">
      <w:bodyDiv w:val="1"/>
      <w:marLeft w:val="0"/>
      <w:marRight w:val="0"/>
      <w:marTop w:val="0"/>
      <w:marBottom w:val="0"/>
      <w:divBdr>
        <w:top w:val="none" w:sz="0" w:space="0" w:color="auto"/>
        <w:left w:val="none" w:sz="0" w:space="0" w:color="auto"/>
        <w:bottom w:val="none" w:sz="0" w:space="0" w:color="auto"/>
        <w:right w:val="none" w:sz="0" w:space="0" w:color="auto"/>
      </w:divBdr>
    </w:div>
    <w:div w:id="1462071193">
      <w:bodyDiv w:val="1"/>
      <w:marLeft w:val="0"/>
      <w:marRight w:val="0"/>
      <w:marTop w:val="0"/>
      <w:marBottom w:val="0"/>
      <w:divBdr>
        <w:top w:val="none" w:sz="0" w:space="0" w:color="auto"/>
        <w:left w:val="none" w:sz="0" w:space="0" w:color="auto"/>
        <w:bottom w:val="none" w:sz="0" w:space="0" w:color="auto"/>
        <w:right w:val="none" w:sz="0" w:space="0" w:color="auto"/>
      </w:divBdr>
    </w:div>
    <w:div w:id="1540239448">
      <w:bodyDiv w:val="1"/>
      <w:marLeft w:val="0"/>
      <w:marRight w:val="0"/>
      <w:marTop w:val="0"/>
      <w:marBottom w:val="0"/>
      <w:divBdr>
        <w:top w:val="none" w:sz="0" w:space="0" w:color="auto"/>
        <w:left w:val="none" w:sz="0" w:space="0" w:color="auto"/>
        <w:bottom w:val="none" w:sz="0" w:space="0" w:color="auto"/>
        <w:right w:val="none" w:sz="0" w:space="0" w:color="auto"/>
      </w:divBdr>
    </w:div>
    <w:div w:id="1587953271">
      <w:bodyDiv w:val="1"/>
      <w:marLeft w:val="0"/>
      <w:marRight w:val="0"/>
      <w:marTop w:val="0"/>
      <w:marBottom w:val="0"/>
      <w:divBdr>
        <w:top w:val="none" w:sz="0" w:space="0" w:color="auto"/>
        <w:left w:val="none" w:sz="0" w:space="0" w:color="auto"/>
        <w:bottom w:val="none" w:sz="0" w:space="0" w:color="auto"/>
        <w:right w:val="none" w:sz="0" w:space="0" w:color="auto"/>
      </w:divBdr>
    </w:div>
    <w:div w:id="1589803825">
      <w:bodyDiv w:val="1"/>
      <w:marLeft w:val="0"/>
      <w:marRight w:val="0"/>
      <w:marTop w:val="0"/>
      <w:marBottom w:val="0"/>
      <w:divBdr>
        <w:top w:val="none" w:sz="0" w:space="0" w:color="auto"/>
        <w:left w:val="none" w:sz="0" w:space="0" w:color="auto"/>
        <w:bottom w:val="none" w:sz="0" w:space="0" w:color="auto"/>
        <w:right w:val="none" w:sz="0" w:space="0" w:color="auto"/>
      </w:divBdr>
    </w:div>
    <w:div w:id="1656642731">
      <w:bodyDiv w:val="1"/>
      <w:marLeft w:val="0"/>
      <w:marRight w:val="0"/>
      <w:marTop w:val="0"/>
      <w:marBottom w:val="0"/>
      <w:divBdr>
        <w:top w:val="none" w:sz="0" w:space="0" w:color="auto"/>
        <w:left w:val="none" w:sz="0" w:space="0" w:color="auto"/>
        <w:bottom w:val="none" w:sz="0" w:space="0" w:color="auto"/>
        <w:right w:val="none" w:sz="0" w:space="0" w:color="auto"/>
      </w:divBdr>
    </w:div>
    <w:div w:id="1702129057">
      <w:bodyDiv w:val="1"/>
      <w:marLeft w:val="0"/>
      <w:marRight w:val="0"/>
      <w:marTop w:val="0"/>
      <w:marBottom w:val="0"/>
      <w:divBdr>
        <w:top w:val="none" w:sz="0" w:space="0" w:color="auto"/>
        <w:left w:val="none" w:sz="0" w:space="0" w:color="auto"/>
        <w:bottom w:val="none" w:sz="0" w:space="0" w:color="auto"/>
        <w:right w:val="none" w:sz="0" w:space="0" w:color="auto"/>
      </w:divBdr>
    </w:div>
    <w:div w:id="1721401296">
      <w:bodyDiv w:val="1"/>
      <w:marLeft w:val="0"/>
      <w:marRight w:val="0"/>
      <w:marTop w:val="0"/>
      <w:marBottom w:val="0"/>
      <w:divBdr>
        <w:top w:val="none" w:sz="0" w:space="0" w:color="auto"/>
        <w:left w:val="none" w:sz="0" w:space="0" w:color="auto"/>
        <w:bottom w:val="none" w:sz="0" w:space="0" w:color="auto"/>
        <w:right w:val="none" w:sz="0" w:space="0" w:color="auto"/>
      </w:divBdr>
    </w:div>
    <w:div w:id="1722945214">
      <w:bodyDiv w:val="1"/>
      <w:marLeft w:val="0"/>
      <w:marRight w:val="0"/>
      <w:marTop w:val="0"/>
      <w:marBottom w:val="0"/>
      <w:divBdr>
        <w:top w:val="none" w:sz="0" w:space="0" w:color="auto"/>
        <w:left w:val="none" w:sz="0" w:space="0" w:color="auto"/>
        <w:bottom w:val="none" w:sz="0" w:space="0" w:color="auto"/>
        <w:right w:val="none" w:sz="0" w:space="0" w:color="auto"/>
      </w:divBdr>
    </w:div>
    <w:div w:id="1813332176">
      <w:bodyDiv w:val="1"/>
      <w:marLeft w:val="0"/>
      <w:marRight w:val="0"/>
      <w:marTop w:val="0"/>
      <w:marBottom w:val="0"/>
      <w:divBdr>
        <w:top w:val="none" w:sz="0" w:space="0" w:color="auto"/>
        <w:left w:val="none" w:sz="0" w:space="0" w:color="auto"/>
        <w:bottom w:val="none" w:sz="0" w:space="0" w:color="auto"/>
        <w:right w:val="none" w:sz="0" w:space="0" w:color="auto"/>
      </w:divBdr>
    </w:div>
    <w:div w:id="1831828968">
      <w:bodyDiv w:val="1"/>
      <w:marLeft w:val="0"/>
      <w:marRight w:val="0"/>
      <w:marTop w:val="0"/>
      <w:marBottom w:val="0"/>
      <w:divBdr>
        <w:top w:val="none" w:sz="0" w:space="0" w:color="auto"/>
        <w:left w:val="none" w:sz="0" w:space="0" w:color="auto"/>
        <w:bottom w:val="none" w:sz="0" w:space="0" w:color="auto"/>
        <w:right w:val="none" w:sz="0" w:space="0" w:color="auto"/>
      </w:divBdr>
    </w:div>
    <w:div w:id="1843740471">
      <w:bodyDiv w:val="1"/>
      <w:marLeft w:val="0"/>
      <w:marRight w:val="0"/>
      <w:marTop w:val="0"/>
      <w:marBottom w:val="0"/>
      <w:divBdr>
        <w:top w:val="none" w:sz="0" w:space="0" w:color="auto"/>
        <w:left w:val="none" w:sz="0" w:space="0" w:color="auto"/>
        <w:bottom w:val="none" w:sz="0" w:space="0" w:color="auto"/>
        <w:right w:val="none" w:sz="0" w:space="0" w:color="auto"/>
      </w:divBdr>
    </w:div>
    <w:div w:id="1933272222">
      <w:bodyDiv w:val="1"/>
      <w:marLeft w:val="0"/>
      <w:marRight w:val="0"/>
      <w:marTop w:val="0"/>
      <w:marBottom w:val="0"/>
      <w:divBdr>
        <w:top w:val="none" w:sz="0" w:space="0" w:color="auto"/>
        <w:left w:val="none" w:sz="0" w:space="0" w:color="auto"/>
        <w:bottom w:val="none" w:sz="0" w:space="0" w:color="auto"/>
        <w:right w:val="none" w:sz="0" w:space="0" w:color="auto"/>
      </w:divBdr>
    </w:div>
    <w:div w:id="2000233818">
      <w:bodyDiv w:val="1"/>
      <w:marLeft w:val="0"/>
      <w:marRight w:val="0"/>
      <w:marTop w:val="0"/>
      <w:marBottom w:val="0"/>
      <w:divBdr>
        <w:top w:val="none" w:sz="0" w:space="0" w:color="auto"/>
        <w:left w:val="none" w:sz="0" w:space="0" w:color="auto"/>
        <w:bottom w:val="none" w:sz="0" w:space="0" w:color="auto"/>
        <w:right w:val="none" w:sz="0" w:space="0" w:color="auto"/>
      </w:divBdr>
    </w:div>
    <w:div w:id="2020546108">
      <w:bodyDiv w:val="1"/>
      <w:marLeft w:val="0"/>
      <w:marRight w:val="0"/>
      <w:marTop w:val="0"/>
      <w:marBottom w:val="0"/>
      <w:divBdr>
        <w:top w:val="none" w:sz="0" w:space="0" w:color="auto"/>
        <w:left w:val="none" w:sz="0" w:space="0" w:color="auto"/>
        <w:bottom w:val="none" w:sz="0" w:space="0" w:color="auto"/>
        <w:right w:val="none" w:sz="0" w:space="0" w:color="auto"/>
      </w:divBdr>
    </w:div>
    <w:div w:id="2073964584">
      <w:bodyDiv w:val="1"/>
      <w:marLeft w:val="0"/>
      <w:marRight w:val="0"/>
      <w:marTop w:val="0"/>
      <w:marBottom w:val="0"/>
      <w:divBdr>
        <w:top w:val="none" w:sz="0" w:space="0" w:color="auto"/>
        <w:left w:val="none" w:sz="0" w:space="0" w:color="auto"/>
        <w:bottom w:val="none" w:sz="0" w:space="0" w:color="auto"/>
        <w:right w:val="none" w:sz="0" w:space="0" w:color="auto"/>
      </w:divBdr>
    </w:div>
    <w:div w:id="2100130620">
      <w:bodyDiv w:val="1"/>
      <w:marLeft w:val="0"/>
      <w:marRight w:val="0"/>
      <w:marTop w:val="0"/>
      <w:marBottom w:val="0"/>
      <w:divBdr>
        <w:top w:val="none" w:sz="0" w:space="0" w:color="auto"/>
        <w:left w:val="none" w:sz="0" w:space="0" w:color="auto"/>
        <w:bottom w:val="none" w:sz="0" w:space="0" w:color="auto"/>
        <w:right w:val="none" w:sz="0" w:space="0" w:color="auto"/>
      </w:divBdr>
    </w:div>
    <w:div w:id="21332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iroc.org" TargetMode="External"/><Relationship Id="rId5" Type="http://schemas.openxmlformats.org/officeDocument/2006/relationships/numbering" Target="numbering.xml"/><Relationship Id="rId15"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4/311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B2671E3DAA274C89DACECC5CECCBB8" ma:contentTypeVersion="12" ma:contentTypeDescription="Create a new document." ma:contentTypeScope="" ma:versionID="070dc083818780dc567d45c6955e1e67">
  <xsd:schema xmlns:xsd="http://www.w3.org/2001/XMLSchema" xmlns:xs="http://www.w3.org/2001/XMLSchema" xmlns:p="http://schemas.microsoft.com/office/2006/metadata/properties" xmlns:ns2="fa427300-7f5d-452c-b5c3-f39f7814d426" xmlns:ns3="6cb8331c-4f20-4b36-9838-191c4ac52f93" targetNamespace="http://schemas.microsoft.com/office/2006/metadata/properties" ma:root="true" ma:fieldsID="dfa59396d8adf247419ec6c72ae98b68" ns2:_="" ns3:_="">
    <xsd:import namespace="fa427300-7f5d-452c-b5c3-f39f7814d426"/>
    <xsd:import namespace="6cb8331c-4f20-4b36-9838-191c4ac52f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27300-7f5d-452c-b5c3-f39f7814d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8331c-4f20-4b36-9838-191c4ac52f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53495-2AAF-4864-9657-EF708C1A4EA3}">
  <ds:schemaRefs>
    <ds:schemaRef ds:uri="http://schemas.microsoft.com/sharepoint/v3/contenttype/forms"/>
  </ds:schemaRefs>
</ds:datastoreItem>
</file>

<file path=customXml/itemProps2.xml><?xml version="1.0" encoding="utf-8"?>
<ds:datastoreItem xmlns:ds="http://schemas.openxmlformats.org/officeDocument/2006/customXml" ds:itemID="{831D0DEE-19BF-4267-8504-BC231A3CF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27300-7f5d-452c-b5c3-f39f7814d426"/>
    <ds:schemaRef ds:uri="6cb8331c-4f20-4b36-9838-191c4ac52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18EF0B-2BAD-4B12-9190-3D3A50D9EE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6D94E3-D2E2-4C29-BE1B-0CB7BAC142C0}">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1</TotalTime>
  <Pages>110</Pages>
  <Words>39321</Words>
  <Characters>224136</Characters>
  <Application>Microsoft Office Word</Application>
  <DocSecurity>0</DocSecurity>
  <Lines>1867</Lines>
  <Paragraphs>525</Paragraphs>
  <ScaleCrop>false</ScaleCrop>
  <Company/>
  <LinksUpToDate>false</LinksUpToDate>
  <CharactersWithSpaces>262932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Kornelia Wilinska</cp:lastModifiedBy>
  <cp:revision>3</cp:revision>
  <dcterms:created xsi:type="dcterms:W3CDTF">2025-09-08T13:11:00Z</dcterms:created>
  <dcterms:modified xsi:type="dcterms:W3CDTF">2025-09-08T15:34:00Z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0x01010039B2671E3DAA274C89DACECC5CECCBB8</vt:lpwstr>
  </property>
  <property fmtid="{D5CDD505-2E9C-101B-9397-08002B2CF9AE}" pid="3" name="_dlc_DocIdItemGuid">
    <vt:lpwstr>9d716253-81f4-4e26-8708-2721b02b61da</vt:lpwstr>
  </property>
  <property fmtid="{D5CDD505-2E9C-101B-9397-08002B2CF9AE}" pid="4" name="f197afdb08d545b88364d84d5f12dbd8">
    <vt:lpwstr>11.01.005.050.010 Resolution Projects - LDT 1|39dd8d8f-bc69-4518-b38b-aa8718ae2236</vt:lpwstr>
  </property>
  <property fmtid="{D5CDD505-2E9C-101B-9397-08002B2CF9AE}" pid="5" name="SRBFilePlan">
    <vt:lpwstr>4;#11.01.005.050.010 Resolution Projects - LDT 1|39dd8d8f-bc69-4518-b38b-aa8718ae2236</vt:lpwstr>
  </property>
</Properties>
</file>